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2" w:afterAutospacing="0"/>
        <w:jc w:val="center"/>
        <w:rPr>
          <w:rFonts w:hint="eastAsia" w:ascii="方正小标宋简体" w:hAnsi="Calibri" w:eastAsia="方正小标宋简体" w:cs="Calibri"/>
          <w:color w:val="000000"/>
          <w:sz w:val="36"/>
          <w:szCs w:val="36"/>
        </w:rPr>
      </w:pPr>
      <w:r>
        <w:rPr>
          <w:rFonts w:hint="eastAsia" w:ascii="方正小标宋简体" w:hAnsi="Calibri" w:eastAsia="方正小标宋简体" w:cs="Calibri"/>
          <w:color w:val="000000"/>
          <w:sz w:val="36"/>
          <w:szCs w:val="36"/>
        </w:rPr>
        <w:t>2021年度中国共产党永州市冷水滩区纪律检查委员会永州市冷水滩区监察委员会部门整体支出绩效自评报告</w:t>
      </w:r>
    </w:p>
    <w:p>
      <w:pPr>
        <w:ind w:firstLine="602" w:firstLineChars="200"/>
        <w:rPr>
          <w:rFonts w:ascii="宋体" w:hAnsi="宋体"/>
          <w:b/>
          <w:sz w:val="30"/>
          <w:szCs w:val="30"/>
        </w:rPr>
      </w:pPr>
    </w:p>
    <w:p>
      <w:pPr>
        <w:pStyle w:val="8"/>
        <w:keepNext w:val="0"/>
        <w:keepLines w:val="0"/>
        <w:widowControl w:val="0"/>
        <w:shd w:val="clear" w:color="auto" w:fill="auto"/>
        <w:tabs>
          <w:tab w:val="left" w:pos="1538"/>
        </w:tabs>
        <w:bidi w:val="0"/>
        <w:spacing w:before="0" w:after="0" w:line="614" w:lineRule="exact"/>
        <w:ind w:left="0" w:leftChars="0" w:right="0" w:firstLine="640" w:firstLineChars="2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一、部门概况</w:t>
      </w:r>
    </w:p>
    <w:p>
      <w:pPr>
        <w:ind w:firstLine="560" w:firstLineChars="200"/>
        <w:rPr>
          <w:rFonts w:ascii="宋体" w:hAnsi="宋体"/>
          <w:sz w:val="28"/>
          <w:szCs w:val="28"/>
        </w:rPr>
      </w:pPr>
      <w:r>
        <w:rPr>
          <w:rFonts w:ascii="宋体" w:hAnsi="宋体"/>
          <w:sz w:val="28"/>
          <w:szCs w:val="28"/>
        </w:rPr>
        <w:t>（一）部门基本情况</w:t>
      </w:r>
    </w:p>
    <w:p>
      <w:pPr>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机构设置：202</w:t>
      </w:r>
      <w:r>
        <w:rPr>
          <w:rFonts w:hint="eastAsia" w:ascii="宋体" w:hAnsi="宋体"/>
          <w:sz w:val="28"/>
          <w:szCs w:val="28"/>
          <w:lang w:val="en-US" w:eastAsia="zh-CN"/>
        </w:rPr>
        <w:t>1</w:t>
      </w:r>
      <w:r>
        <w:rPr>
          <w:rFonts w:hint="eastAsia" w:ascii="宋体" w:hAnsi="宋体"/>
          <w:sz w:val="28"/>
          <w:szCs w:val="28"/>
        </w:rPr>
        <w:t>年纳入部门预算范围的行政单位一个。下属股级事业单位</w:t>
      </w:r>
      <w:r>
        <w:rPr>
          <w:rFonts w:hint="eastAsia" w:ascii="宋体" w:hAnsi="宋体"/>
          <w:sz w:val="28"/>
          <w:szCs w:val="28"/>
          <w:lang w:val="en-US" w:eastAsia="zh-CN"/>
        </w:rPr>
        <w:t>一</w:t>
      </w:r>
      <w:r>
        <w:rPr>
          <w:rFonts w:hint="eastAsia" w:ascii="宋体" w:hAnsi="宋体"/>
          <w:sz w:val="28"/>
          <w:szCs w:val="28"/>
        </w:rPr>
        <w:t>个：</w:t>
      </w:r>
      <w:r>
        <w:rPr>
          <w:rFonts w:hint="eastAsia" w:ascii="宋体" w:hAnsi="宋体"/>
          <w:sz w:val="28"/>
          <w:szCs w:val="28"/>
          <w:lang w:eastAsia="zh-CN"/>
        </w:rPr>
        <w:t>反腐倡廉</w:t>
      </w:r>
      <w:r>
        <w:rPr>
          <w:rFonts w:hint="eastAsia" w:ascii="宋体" w:hAnsi="宋体"/>
          <w:sz w:val="28"/>
          <w:szCs w:val="28"/>
        </w:rPr>
        <w:t>中心。</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2.冷水滩区纪委共115个编制，其中行政编制人数103人，事业编制人数10人，工勤人员编制数2人。现有在职人数为107人，退休人员16人。本单位有7辆公务执法车。</w:t>
      </w:r>
    </w:p>
    <w:p>
      <w:pPr>
        <w:ind w:firstLine="560" w:firstLineChars="200"/>
        <w:rPr>
          <w:rFonts w:hint="eastAsia" w:ascii="宋体" w:hAnsi="宋体"/>
          <w:sz w:val="28"/>
          <w:szCs w:val="28"/>
        </w:rPr>
      </w:pPr>
      <w:r>
        <w:rPr>
          <w:rFonts w:hint="eastAsia" w:ascii="宋体" w:hAnsi="宋体"/>
          <w:sz w:val="28"/>
          <w:szCs w:val="28"/>
        </w:rPr>
        <w:t>（二）</w:t>
      </w:r>
      <w:r>
        <w:rPr>
          <w:rFonts w:hint="eastAsia" w:ascii="宋体" w:hAnsi="宋体"/>
          <w:sz w:val="28"/>
          <w:szCs w:val="28"/>
          <w:lang w:eastAsia="zh-CN"/>
        </w:rPr>
        <w:t>2021</w:t>
      </w:r>
      <w:r>
        <w:rPr>
          <w:rFonts w:hint="eastAsia" w:ascii="宋体" w:hAnsi="宋体"/>
          <w:sz w:val="28"/>
          <w:szCs w:val="28"/>
        </w:rPr>
        <w:t>年的重点工作：</w:t>
      </w:r>
    </w:p>
    <w:p>
      <w:pPr>
        <w:ind w:firstLine="560" w:firstLineChars="200"/>
        <w:rPr>
          <w:rFonts w:hint="eastAsia" w:ascii="宋体" w:hAnsi="宋体"/>
          <w:sz w:val="28"/>
          <w:szCs w:val="28"/>
          <w:lang w:eastAsia="zh-CN"/>
        </w:rPr>
      </w:pPr>
      <w:r>
        <w:rPr>
          <w:rFonts w:hint="eastAsia" w:ascii="宋体" w:hAnsi="宋体"/>
          <w:sz w:val="28"/>
          <w:szCs w:val="28"/>
        </w:rPr>
        <w:t>1</w:t>
      </w:r>
      <w:r>
        <w:rPr>
          <w:rFonts w:hint="eastAsia" w:ascii="宋体" w:hAnsi="宋体"/>
          <w:sz w:val="28"/>
          <w:szCs w:val="28"/>
          <w:lang w:eastAsia="zh-CN"/>
        </w:rPr>
        <w:t>.保证单位经费运转，完成人员工资福利发放；</w:t>
      </w:r>
    </w:p>
    <w:p>
      <w:pPr>
        <w:ind w:left="559" w:leftChars="266" w:firstLine="0" w:firstLineChars="0"/>
        <w:jc w:val="left"/>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 xml:space="preserve">加强党风廉政建设和纪检监察工作。                                   </w:t>
      </w:r>
      <w:r>
        <w:rPr>
          <w:rFonts w:hint="eastAsia" w:ascii="宋体" w:hAnsi="宋体"/>
          <w:sz w:val="28"/>
          <w:szCs w:val="28"/>
          <w:lang w:val="en-US" w:eastAsia="zh-CN"/>
        </w:rPr>
        <w:t>3.</w:t>
      </w:r>
      <w:r>
        <w:rPr>
          <w:rFonts w:hint="eastAsia" w:ascii="宋体" w:hAnsi="宋体"/>
          <w:sz w:val="28"/>
          <w:szCs w:val="28"/>
          <w:lang w:eastAsia="zh-CN"/>
        </w:rPr>
        <w:t xml:space="preserve">建立健全党内监督制度，查办腐败案件，落实监督责任。 </w:t>
      </w:r>
    </w:p>
    <w:p>
      <w:pPr>
        <w:ind w:firstLine="560" w:firstLineChars="200"/>
        <w:rPr>
          <w:rFonts w:hint="eastAsia" w:ascii="宋体" w:hAnsi="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开展群众身边腐败和作风问题、查处违反中央八项规定精神、形式主义官僚主义问题等专项整治活动</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5.</w:t>
      </w:r>
      <w:r>
        <w:rPr>
          <w:rFonts w:hint="eastAsia" w:ascii="宋体" w:hAnsi="宋体"/>
          <w:sz w:val="28"/>
          <w:szCs w:val="28"/>
          <w:lang w:eastAsia="zh-CN"/>
        </w:rPr>
        <w:t>加强巡视、巡察工作力度。</w:t>
      </w:r>
    </w:p>
    <w:p>
      <w:pPr>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6.完成区委、区政府及上级部门交办的其他工作</w:t>
      </w:r>
    </w:p>
    <w:p>
      <w:pPr>
        <w:ind w:firstLine="560" w:firstLineChars="200"/>
        <w:rPr>
          <w:rFonts w:hint="eastAsia" w:ascii="宋体" w:hAnsi="宋体"/>
          <w:sz w:val="28"/>
          <w:szCs w:val="28"/>
          <w:lang w:eastAsia="zh-CN"/>
        </w:rPr>
      </w:pPr>
      <w:r>
        <w:rPr>
          <w:rFonts w:hint="eastAsia" w:ascii="宋体" w:hAnsi="宋体"/>
          <w:sz w:val="28"/>
          <w:szCs w:val="28"/>
          <w:lang w:eastAsia="zh-CN"/>
        </w:rPr>
        <w:t>（三）部门整体支出情况：</w:t>
      </w:r>
      <w:r>
        <w:rPr>
          <w:rFonts w:hint="eastAsia" w:ascii="宋体" w:hAnsi="宋体"/>
          <w:sz w:val="28"/>
          <w:szCs w:val="28"/>
        </w:rPr>
        <w:t>全年基本支出</w:t>
      </w:r>
      <w:r>
        <w:rPr>
          <w:rFonts w:hint="eastAsia" w:ascii="宋体" w:hAnsi="宋体"/>
          <w:sz w:val="28"/>
          <w:szCs w:val="28"/>
          <w:lang w:val="en-US" w:eastAsia="zh-CN"/>
        </w:rPr>
        <w:t>2526.96</w:t>
      </w:r>
      <w:r>
        <w:rPr>
          <w:rFonts w:hint="eastAsia" w:ascii="宋体" w:hAnsi="宋体"/>
          <w:sz w:val="28"/>
          <w:szCs w:val="28"/>
        </w:rPr>
        <w:t>万元，其中：</w:t>
      </w:r>
      <w:r>
        <w:rPr>
          <w:rFonts w:hint="eastAsia" w:ascii="宋体" w:hAnsi="宋体"/>
          <w:sz w:val="28"/>
          <w:szCs w:val="28"/>
          <w:lang w:eastAsia="zh-CN"/>
        </w:rPr>
        <w:t>人员</w:t>
      </w:r>
      <w:r>
        <w:rPr>
          <w:rFonts w:hint="eastAsia" w:ascii="宋体" w:hAnsi="宋体"/>
          <w:sz w:val="28"/>
          <w:szCs w:val="28"/>
        </w:rPr>
        <w:t>支出</w:t>
      </w:r>
      <w:r>
        <w:rPr>
          <w:rFonts w:hint="eastAsia" w:ascii="宋体" w:hAnsi="宋体"/>
          <w:sz w:val="28"/>
          <w:szCs w:val="28"/>
          <w:lang w:val="en-US" w:eastAsia="zh-CN"/>
        </w:rPr>
        <w:t>1456.70</w:t>
      </w:r>
      <w:r>
        <w:rPr>
          <w:rFonts w:hint="eastAsia" w:ascii="宋体" w:hAnsi="宋体"/>
          <w:sz w:val="28"/>
          <w:szCs w:val="28"/>
        </w:rPr>
        <w:t>万元，一般商品和服务支出</w:t>
      </w:r>
      <w:r>
        <w:rPr>
          <w:rFonts w:hint="eastAsia" w:ascii="宋体" w:hAnsi="宋体"/>
          <w:sz w:val="28"/>
          <w:szCs w:val="28"/>
          <w:lang w:val="en-US" w:eastAsia="zh-CN"/>
        </w:rPr>
        <w:t>277.9</w:t>
      </w:r>
      <w:r>
        <w:rPr>
          <w:rFonts w:hint="eastAsia" w:ascii="宋体" w:hAnsi="宋体"/>
          <w:sz w:val="28"/>
          <w:szCs w:val="28"/>
        </w:rPr>
        <w:t>万元，</w:t>
      </w:r>
      <w:r>
        <w:rPr>
          <w:rFonts w:hint="eastAsia" w:ascii="宋体" w:hAnsi="宋体"/>
          <w:sz w:val="28"/>
          <w:szCs w:val="28"/>
          <w:lang w:eastAsia="zh-CN"/>
        </w:rPr>
        <w:t>项目支出</w:t>
      </w:r>
      <w:r>
        <w:rPr>
          <w:rFonts w:hint="eastAsia" w:ascii="宋体" w:hAnsi="宋体"/>
          <w:sz w:val="28"/>
          <w:szCs w:val="28"/>
          <w:lang w:val="en-US" w:eastAsia="zh-CN"/>
        </w:rPr>
        <w:t>792.36</w:t>
      </w:r>
      <w:r>
        <w:rPr>
          <w:rFonts w:hint="eastAsia" w:ascii="宋体" w:hAnsi="宋体"/>
          <w:sz w:val="28"/>
          <w:szCs w:val="28"/>
        </w:rPr>
        <w:t>万元</w:t>
      </w:r>
      <w:r>
        <w:rPr>
          <w:rFonts w:hint="eastAsia" w:ascii="宋体" w:hAnsi="宋体"/>
          <w:sz w:val="28"/>
          <w:szCs w:val="28"/>
          <w:lang w:eastAsia="zh-CN"/>
        </w:rPr>
        <w:t>。</w:t>
      </w:r>
    </w:p>
    <w:p>
      <w:pPr>
        <w:ind w:firstLine="560" w:firstLineChars="200"/>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四</w:t>
      </w:r>
      <w:r>
        <w:rPr>
          <w:rFonts w:hint="eastAsia" w:ascii="宋体" w:hAnsi="宋体"/>
          <w:sz w:val="28"/>
          <w:szCs w:val="28"/>
          <w:lang w:eastAsia="zh-CN"/>
        </w:rPr>
        <w:t>）预算收支平衡情况：收支平衡。</w:t>
      </w:r>
    </w:p>
    <w:p>
      <w:pPr>
        <w:ind w:firstLine="640" w:firstLineChars="200"/>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二、</w:t>
      </w:r>
      <w:r>
        <w:rPr>
          <w:rFonts w:hint="eastAsia" w:ascii="黑体" w:hAnsi="黑体" w:eastAsia="黑体" w:cs="黑体"/>
          <w:color w:val="000000"/>
          <w:spacing w:val="0"/>
          <w:w w:val="100"/>
          <w:position w:val="0"/>
          <w:sz w:val="32"/>
          <w:szCs w:val="32"/>
          <w:lang w:val="en-US" w:eastAsia="zh-CN"/>
        </w:rPr>
        <w:t>一般公共预算</w:t>
      </w:r>
      <w:r>
        <w:rPr>
          <w:rFonts w:hint="eastAsia" w:ascii="黑体" w:hAnsi="黑体" w:eastAsia="黑体" w:cs="黑体"/>
          <w:color w:val="000000"/>
          <w:spacing w:val="0"/>
          <w:w w:val="100"/>
          <w:position w:val="0"/>
          <w:sz w:val="32"/>
          <w:szCs w:val="32"/>
        </w:rPr>
        <w:t>支出情况</w:t>
      </w:r>
    </w:p>
    <w:p>
      <w:pPr>
        <w:ind w:firstLine="600" w:firstLineChars="200"/>
        <w:rPr>
          <w:rFonts w:ascii="宋体" w:hAnsi="宋体"/>
          <w:sz w:val="30"/>
          <w:szCs w:val="30"/>
        </w:rPr>
      </w:pPr>
      <w:r>
        <w:rPr>
          <w:rFonts w:ascii="宋体" w:hAnsi="宋体"/>
          <w:sz w:val="30"/>
          <w:szCs w:val="30"/>
        </w:rPr>
        <w:t>（一）基本支出情况。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2021年，冷区纪委基本支出情况：工资福利支出1454.21万元(含住房公积金85.559万元)；一般商品和服务支出</w:t>
      </w:r>
      <w:r>
        <w:rPr>
          <w:rFonts w:hint="eastAsia" w:ascii="宋体" w:hAnsi="宋体"/>
          <w:color w:val="000000" w:themeColor="text1"/>
          <w:sz w:val="28"/>
          <w:szCs w:val="28"/>
          <w:lang w:val="en-US" w:eastAsia="zh-CN"/>
          <w14:textFill>
            <w14:solidFill>
              <w14:schemeClr w14:val="tx1"/>
            </w14:solidFill>
          </w14:textFill>
        </w:rPr>
        <w:t>277.9</w:t>
      </w:r>
      <w:r>
        <w:rPr>
          <w:rFonts w:hint="eastAsia" w:ascii="宋体" w:hAnsi="宋体"/>
          <w:sz w:val="28"/>
          <w:szCs w:val="28"/>
          <w:lang w:val="en-US" w:eastAsia="zh-CN"/>
        </w:rPr>
        <w:t>万元（含党组织活动经费）；对个人和家庭的补助2.484万元；</w:t>
      </w:r>
    </w:p>
    <w:p>
      <w:pPr>
        <w:numPr>
          <w:ilvl w:val="0"/>
          <w:numId w:val="1"/>
        </w:numPr>
        <w:spacing w:line="360" w:lineRule="auto"/>
        <w:ind w:firstLine="600" w:firstLineChars="200"/>
        <w:rPr>
          <w:rFonts w:hint="eastAsia" w:ascii="宋体" w:hAnsi="宋体"/>
          <w:sz w:val="28"/>
          <w:szCs w:val="28"/>
        </w:rPr>
      </w:pPr>
      <w:r>
        <w:rPr>
          <w:rFonts w:ascii="宋体" w:hAnsi="宋体"/>
          <w:sz w:val="30"/>
          <w:szCs w:val="30"/>
        </w:rPr>
        <w:t>项目支出情况</w:t>
      </w:r>
      <w:r>
        <w:rPr>
          <w:rFonts w:hint="eastAsia" w:ascii="宋体" w:hAnsi="宋体"/>
          <w:sz w:val="30"/>
          <w:szCs w:val="30"/>
          <w:lang w:eastAsia="zh-CN"/>
        </w:rPr>
        <w:t>。</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2021年，冷区纪委项目支出792.36万元，其中：含派驻纪检监察组工作经费</w:t>
      </w:r>
      <w:bookmarkStart w:id="3" w:name="_GoBack"/>
      <w:bookmarkEnd w:id="3"/>
      <w:r>
        <w:rPr>
          <w:rFonts w:hint="eastAsia" w:ascii="宋体" w:hAnsi="宋体"/>
          <w:sz w:val="28"/>
          <w:szCs w:val="28"/>
          <w:lang w:val="en-US" w:eastAsia="zh-CN"/>
        </w:rPr>
        <w:t>130万元，巡察组工作经费80万元，区纪委、监察委工作经费120万元，乡镇、街道纪委工作经费206万元，专项整治经费256.36万元。</w:t>
      </w:r>
      <w:bookmarkStart w:id="0" w:name="bookmark81"/>
    </w:p>
    <w:p>
      <w:pPr>
        <w:numPr>
          <w:ilvl w:val="0"/>
          <w:numId w:val="0"/>
        </w:numPr>
        <w:spacing w:line="360" w:lineRule="auto"/>
        <w:ind w:firstLine="640" w:firstLineChars="200"/>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、政府性基金预算支出情况</w:t>
      </w:r>
    </w:p>
    <w:p>
      <w:pPr>
        <w:numPr>
          <w:ilvl w:val="0"/>
          <w:numId w:val="0"/>
        </w:numPr>
        <w:spacing w:line="360" w:lineRule="auto"/>
        <w:ind w:firstLine="640" w:firstLineChars="200"/>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无</w:t>
      </w:r>
      <w:bookmarkStart w:id="1" w:name="bookmark82"/>
    </w:p>
    <w:bookmarkEnd w:id="1"/>
    <w:p>
      <w:pPr>
        <w:numPr>
          <w:ilvl w:val="0"/>
          <w:numId w:val="2"/>
        </w:numPr>
        <w:spacing w:line="360" w:lineRule="auto"/>
        <w:ind w:firstLine="640" w:firstLineChars="200"/>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numPr>
          <w:ilvl w:val="0"/>
          <w:numId w:val="0"/>
        </w:numPr>
        <w:spacing w:line="360" w:lineRule="auto"/>
        <w:ind w:firstLine="640" w:firstLineChars="200"/>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无</w:t>
      </w:r>
      <w:bookmarkStart w:id="2" w:name="bookmark83"/>
    </w:p>
    <w:bookmarkEnd w:id="2"/>
    <w:p>
      <w:pPr>
        <w:numPr>
          <w:ilvl w:val="0"/>
          <w:numId w:val="2"/>
        </w:numPr>
        <w:spacing w:line="360" w:lineRule="auto"/>
        <w:ind w:left="0" w:leftChars="0" w:firstLine="640" w:firstLineChars="200"/>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pStyle w:val="2"/>
        <w:rPr>
          <w:rFonts w:hint="default" w:eastAsia="黑体"/>
          <w:lang w:val="en-US" w:eastAsia="zh-CN"/>
        </w:rPr>
      </w:pPr>
      <w:r>
        <w:rPr>
          <w:rFonts w:hint="eastAsia" w:ascii="黑体" w:hAnsi="黑体" w:eastAsia="黑体" w:cs="黑体"/>
          <w:color w:val="000000"/>
          <w:spacing w:val="0"/>
          <w:w w:val="100"/>
          <w:position w:val="0"/>
          <w:sz w:val="32"/>
          <w:szCs w:val="32"/>
          <w:lang w:val="en-US" w:eastAsia="zh-CN"/>
        </w:rPr>
        <w:t xml:space="preserve">    无</w:t>
      </w:r>
    </w:p>
    <w:p>
      <w:pPr>
        <w:numPr>
          <w:ilvl w:val="0"/>
          <w:numId w:val="2"/>
        </w:numPr>
        <w:spacing w:line="360" w:lineRule="auto"/>
        <w:ind w:left="0" w:leftChars="0" w:firstLine="640" w:firstLineChars="200"/>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部门整体支出绩效情况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2021年度冷区纪委部门整体支出主要在基本支出和专项项目支出，一年以来，在区委、区政府的领导下，严格按照区财政局的相关文件的要求，遵循客观、公平、公正的原则，运用了目标比较法、定性与定量相结合的方法，组织完成部门单位绩效评价工作，实现了绩效目标，不断提升了全区人民群众安全感、幸福感，营造出了良好的社会治安环境，主要绩效情况如下:</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经济性评价</w:t>
      </w:r>
    </w:p>
    <w:p>
      <w:pPr>
        <w:numPr>
          <w:ilvl w:val="0"/>
          <w:numId w:val="3"/>
        </w:numPr>
        <w:ind w:firstLine="560" w:firstLineChars="200"/>
        <w:rPr>
          <w:rFonts w:hint="eastAsia" w:ascii="宋体" w:hAnsi="宋体"/>
          <w:sz w:val="28"/>
          <w:szCs w:val="28"/>
          <w:lang w:val="en-US" w:eastAsia="zh-CN"/>
        </w:rPr>
      </w:pPr>
      <w:r>
        <w:rPr>
          <w:rFonts w:hint="eastAsia" w:ascii="宋体" w:hAnsi="宋体"/>
          <w:sz w:val="28"/>
          <w:szCs w:val="28"/>
          <w:lang w:val="en-US" w:eastAsia="zh-CN"/>
        </w:rPr>
        <w:t xml:space="preserve">“三公”经费情况。其中: </w:t>
      </w:r>
    </w:p>
    <w:p>
      <w:pPr>
        <w:numPr>
          <w:ilvl w:val="0"/>
          <w:numId w:val="0"/>
        </w:numPr>
        <w:ind w:firstLine="560" w:firstLineChars="200"/>
        <w:rPr>
          <w:rFonts w:hint="default" w:ascii="宋体" w:hAnsi="宋体"/>
          <w:sz w:val="28"/>
          <w:szCs w:val="28"/>
          <w:lang w:val="en-US" w:eastAsia="zh-CN"/>
        </w:rPr>
      </w:pPr>
      <w:r>
        <w:rPr>
          <w:rFonts w:hint="eastAsia" w:ascii="宋体" w:hAnsi="宋体"/>
          <w:sz w:val="28"/>
          <w:szCs w:val="28"/>
          <w:lang w:val="en-US" w:eastAsia="zh-CN"/>
        </w:rPr>
        <w:t>因公出国（境）费用：无。</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公务接待费：全年公务接待6.17万元，比上年增加0.41万元增加7.12%，主要原因是信访案件增加、办案经费增大。</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公务用车购置及运行费：16.61万元，比上年增加3.76万元增加29.22%，主要原因是信访案件增加、办案经费增大。</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2.预算执行方面，支出总额控制在预算内，除机构改革，年中临时调整其他专项支出（如民生保险类支出），均控制在预算之内，整体压缩30%，做好过紧日子准备；</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3.本年转移支付，不存在截留或滞留专项资金。</w:t>
      </w:r>
    </w:p>
    <w:p>
      <w:pPr>
        <w:spacing w:line="360" w:lineRule="auto"/>
        <w:ind w:firstLine="602" w:firstLineChars="200"/>
        <w:rPr>
          <w:rFonts w:ascii="黑体" w:hAnsi="黑体" w:eastAsia="黑体" w:cs="Calibri"/>
          <w:b/>
          <w:sz w:val="32"/>
          <w:szCs w:val="32"/>
        </w:rPr>
      </w:pPr>
      <w:r>
        <w:rPr>
          <w:rFonts w:hint="eastAsia" w:ascii="宋体" w:hAnsi="宋体"/>
          <w:b/>
          <w:sz w:val="30"/>
          <w:szCs w:val="30"/>
          <w:lang w:eastAsia="zh-CN"/>
        </w:rPr>
        <w:t>七</w:t>
      </w:r>
      <w:r>
        <w:rPr>
          <w:rFonts w:hint="eastAsia" w:ascii="宋体" w:hAnsi="宋体"/>
          <w:b/>
          <w:sz w:val="30"/>
          <w:szCs w:val="30"/>
        </w:rPr>
        <w:t>、绩效自评得分情况及绩效等级。</w:t>
      </w:r>
    </w:p>
    <w:p>
      <w:pPr>
        <w:spacing w:line="600" w:lineRule="exact"/>
        <w:ind w:firstLine="640" w:firstLineChars="200"/>
        <w:rPr>
          <w:rFonts w:ascii="仿宋" w:hAnsi="仿宋" w:eastAsia="仿宋" w:cs="Calibri"/>
          <w:b/>
          <w:sz w:val="32"/>
          <w:szCs w:val="32"/>
        </w:rPr>
      </w:pPr>
      <w:r>
        <w:rPr>
          <w:rFonts w:hint="eastAsia" w:ascii="仿宋" w:hAnsi="仿宋" w:eastAsia="仿宋" w:cs="Calibri"/>
          <w:sz w:val="32"/>
          <w:szCs w:val="32"/>
          <w:lang w:eastAsia="zh-CN"/>
        </w:rPr>
        <w:t>2021</w:t>
      </w:r>
      <w:r>
        <w:rPr>
          <w:rFonts w:hint="eastAsia" w:ascii="宋体" w:hAnsi="宋体"/>
          <w:sz w:val="28"/>
          <w:szCs w:val="28"/>
        </w:rPr>
        <w:t>年度绩效自评得分为：9</w:t>
      </w:r>
      <w:r>
        <w:rPr>
          <w:rFonts w:hint="eastAsia" w:ascii="宋体" w:hAnsi="宋体"/>
          <w:sz w:val="28"/>
          <w:szCs w:val="28"/>
          <w:lang w:val="en-US" w:eastAsia="zh-CN"/>
        </w:rPr>
        <w:t>5</w:t>
      </w:r>
      <w:r>
        <w:rPr>
          <w:rFonts w:hint="eastAsia" w:ascii="宋体" w:hAnsi="宋体"/>
          <w:sz w:val="28"/>
          <w:szCs w:val="28"/>
        </w:rPr>
        <w:t>分。绩效等级：优秀。</w:t>
      </w:r>
    </w:p>
    <w:p>
      <w:pPr>
        <w:spacing w:line="360" w:lineRule="auto"/>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2021</w:t>
      </w:r>
      <w:r>
        <w:rPr>
          <w:rFonts w:hint="eastAsia" w:ascii="宋体" w:hAnsi="宋体" w:eastAsia="宋体" w:cs="宋体"/>
          <w:sz w:val="28"/>
          <w:szCs w:val="28"/>
        </w:rPr>
        <w:t>年主要存在的问题</w:t>
      </w:r>
      <w:r>
        <w:rPr>
          <w:rFonts w:hint="eastAsia" w:ascii="宋体" w:hAnsi="宋体" w:eastAsia="宋体" w:cs="宋体"/>
          <w:sz w:val="28"/>
          <w:szCs w:val="28"/>
          <w:lang w:eastAsia="zh-CN"/>
        </w:rPr>
        <w:t>及原因</w:t>
      </w:r>
      <w:r>
        <w:rPr>
          <w:rFonts w:hint="eastAsia" w:ascii="宋体" w:hAnsi="宋体" w:eastAsia="宋体" w:cs="宋体"/>
          <w:sz w:val="28"/>
          <w:szCs w:val="28"/>
        </w:rPr>
        <w:t>有：1</w:t>
      </w:r>
      <w:r>
        <w:rPr>
          <w:rFonts w:hint="eastAsia" w:ascii="宋体" w:hAnsi="宋体" w:eastAsia="宋体" w:cs="宋体"/>
          <w:sz w:val="28"/>
          <w:szCs w:val="28"/>
          <w:lang w:eastAsia="zh-CN"/>
        </w:rPr>
        <w:t>、</w:t>
      </w:r>
      <w:r>
        <w:rPr>
          <w:rFonts w:hint="eastAsia" w:ascii="宋体" w:hAnsi="宋体" w:eastAsia="宋体" w:cs="宋体"/>
          <w:sz w:val="28"/>
          <w:szCs w:val="28"/>
        </w:rPr>
        <w:t>部分绩效指标及目标值有待进一步细化和量化。2</w:t>
      </w:r>
      <w:r>
        <w:rPr>
          <w:rFonts w:hint="eastAsia" w:ascii="宋体" w:hAnsi="宋体" w:eastAsia="宋体" w:cs="宋体"/>
          <w:sz w:val="28"/>
          <w:szCs w:val="28"/>
          <w:lang w:eastAsia="zh-CN"/>
        </w:rPr>
        <w:t>、</w:t>
      </w:r>
      <w:r>
        <w:rPr>
          <w:rFonts w:hint="eastAsia" w:ascii="宋体" w:hAnsi="宋体" w:eastAsia="宋体" w:cs="宋体"/>
          <w:sz w:val="28"/>
          <w:szCs w:val="28"/>
        </w:rPr>
        <w:t>尚未针对绩效考评制定比较明确的实施细则，有待进一步完善。</w:t>
      </w:r>
      <w:r>
        <w:rPr>
          <w:rFonts w:hint="eastAsia" w:ascii="宋体" w:hAnsi="宋体" w:eastAsia="宋体" w:cs="宋体"/>
          <w:sz w:val="28"/>
          <w:szCs w:val="28"/>
          <w:lang w:val="en-US" w:eastAsia="zh-CN"/>
        </w:rPr>
        <w:t>3、预算的执行有待进一步提高，如每年年初制定的预算数，能够及时的拨付，以确保工作有序开展；</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改进措施：1、进一步做好测算，加大工作落实力度，确保各项工作有序开展，减少一切不必要开支。</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科学合理地设置绩效指标，提高预算绩效指标的针对性和可测性，充分发挥预算绩效目标管理的导向作用；</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将预算编制与部门工作有机结合，进一步强化预算执行，提升财政资金使用效益；</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4、做好基础信息的收集和分析工作，建立相关数据库，为绩</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效指标值的设置提高有益参考。</w:t>
      </w:r>
    </w:p>
    <w:p>
      <w:pPr>
        <w:numPr>
          <w:ilvl w:val="0"/>
          <w:numId w:val="4"/>
        </w:numPr>
        <w:ind w:firstLine="602" w:firstLineChars="200"/>
        <w:rPr>
          <w:rFonts w:hint="eastAsia" w:ascii="宋体" w:hAnsi="宋体"/>
          <w:b/>
          <w:sz w:val="30"/>
          <w:szCs w:val="30"/>
          <w:lang w:eastAsia="zh-CN"/>
        </w:rPr>
      </w:pPr>
      <w:r>
        <w:rPr>
          <w:rFonts w:hint="eastAsia" w:ascii="宋体" w:hAnsi="宋体"/>
          <w:b/>
          <w:sz w:val="30"/>
          <w:szCs w:val="30"/>
          <w:lang w:eastAsia="zh-CN"/>
        </w:rPr>
        <w:t>其他需要说明的情况</w:t>
      </w:r>
    </w:p>
    <w:p>
      <w:pPr>
        <w:numPr>
          <w:ilvl w:val="0"/>
          <w:numId w:val="0"/>
        </w:numPr>
        <w:rPr>
          <w:rFonts w:hint="default" w:ascii="宋体" w:hAnsi="宋体"/>
          <w:b/>
          <w:sz w:val="30"/>
          <w:szCs w:val="30"/>
          <w:lang w:val="en-US" w:eastAsia="zh-CN"/>
        </w:rPr>
      </w:pPr>
      <w:r>
        <w:rPr>
          <w:rFonts w:hint="eastAsia" w:ascii="宋体" w:hAnsi="宋体"/>
          <w:b/>
          <w:sz w:val="30"/>
          <w:szCs w:val="30"/>
          <w:lang w:val="en-US" w:eastAsia="zh-CN"/>
        </w:rPr>
        <w:t xml:space="preserve">  无</w:t>
      </w: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78D7B"/>
    <w:multiLevelType w:val="singleLevel"/>
    <w:tmpl w:val="85178D7B"/>
    <w:lvl w:ilvl="0" w:tentative="0">
      <w:start w:val="10"/>
      <w:numFmt w:val="chineseCounting"/>
      <w:suff w:val="nothing"/>
      <w:lvlText w:val="%1、"/>
      <w:lvlJc w:val="left"/>
      <w:rPr>
        <w:rFonts w:hint="eastAsia"/>
      </w:rPr>
    </w:lvl>
  </w:abstractNum>
  <w:abstractNum w:abstractNumId="1">
    <w:nsid w:val="BBC1CC9D"/>
    <w:multiLevelType w:val="singleLevel"/>
    <w:tmpl w:val="BBC1CC9D"/>
    <w:lvl w:ilvl="0" w:tentative="0">
      <w:start w:val="2"/>
      <w:numFmt w:val="chineseCounting"/>
      <w:suff w:val="nothing"/>
      <w:lvlText w:val="（%1）"/>
      <w:lvlJc w:val="left"/>
      <w:rPr>
        <w:rFonts w:hint="eastAsia"/>
      </w:rPr>
    </w:lvl>
  </w:abstractNum>
  <w:abstractNum w:abstractNumId="2">
    <w:nsid w:val="D32E4BAC"/>
    <w:multiLevelType w:val="singleLevel"/>
    <w:tmpl w:val="D32E4BAC"/>
    <w:lvl w:ilvl="0" w:tentative="0">
      <w:start w:val="1"/>
      <w:numFmt w:val="decimal"/>
      <w:lvlText w:val="%1."/>
      <w:lvlJc w:val="left"/>
      <w:pPr>
        <w:tabs>
          <w:tab w:val="left" w:pos="312"/>
        </w:tabs>
      </w:pPr>
    </w:lvl>
  </w:abstractNum>
  <w:abstractNum w:abstractNumId="3">
    <w:nsid w:val="3C29BEE4"/>
    <w:multiLevelType w:val="singleLevel"/>
    <w:tmpl w:val="3C29BEE4"/>
    <w:lvl w:ilvl="0" w:tentative="0">
      <w:start w:val="4"/>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1D687C4E"/>
    <w:rsid w:val="008D1F76"/>
    <w:rsid w:val="03C56558"/>
    <w:rsid w:val="04E80B60"/>
    <w:rsid w:val="0D584706"/>
    <w:rsid w:val="0F5602B3"/>
    <w:rsid w:val="115800E9"/>
    <w:rsid w:val="11CB673E"/>
    <w:rsid w:val="13E74F25"/>
    <w:rsid w:val="15F773ED"/>
    <w:rsid w:val="160D7A67"/>
    <w:rsid w:val="167B7C2E"/>
    <w:rsid w:val="19B56FE4"/>
    <w:rsid w:val="1AC901DE"/>
    <w:rsid w:val="1CCF6BF9"/>
    <w:rsid w:val="1D687C4E"/>
    <w:rsid w:val="20537EE0"/>
    <w:rsid w:val="21AA4E00"/>
    <w:rsid w:val="29AE68FC"/>
    <w:rsid w:val="2D490171"/>
    <w:rsid w:val="2F4335F7"/>
    <w:rsid w:val="338F3844"/>
    <w:rsid w:val="46E70528"/>
    <w:rsid w:val="4A0B2445"/>
    <w:rsid w:val="4ADD2D07"/>
    <w:rsid w:val="4F7F0C7E"/>
    <w:rsid w:val="54F31984"/>
    <w:rsid w:val="7098240E"/>
    <w:rsid w:val="70E82ED7"/>
    <w:rsid w:val="71BC4167"/>
    <w:rsid w:val="7B4B6285"/>
    <w:rsid w:val="7C423BC4"/>
    <w:rsid w:val="7D141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99"/>
    <w:pPr>
      <w:ind w:left="80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1342</Words>
  <Characters>1469</Characters>
  <Lines>0</Lines>
  <Paragraphs>0</Paragraphs>
  <TotalTime>0</TotalTime>
  <ScaleCrop>false</ScaleCrop>
  <LinksUpToDate>false</LinksUpToDate>
  <CharactersWithSpaces>1512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2020-06-16T01:00:00Z</dcterms:created>
  <dc:creator>@深夜食堂</dc:creator>
  <cp:lastModifiedBy>东来</cp:lastModifiedBy>
  <dcterms:modified xsi:type="dcterms:W3CDTF">2023-09-22T06:47:42Z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37A9D1379DF9459FB0AB58B9100B7F95</vt:lpwstr>
  </property>
</Properties>
</file>