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afterAutospacing="0"/>
        <w:jc w:val="center"/>
        <w:rPr>
          <w:color w:val="000000"/>
          <w:lang w:val="en-US"/>
        </w:rPr>
      </w:pPr>
      <w:r>
        <w:rPr>
          <w:rFonts w:hint="eastAsia" w:ascii="宋体" w:hAnsi="宋体" w:eastAsia="宋体" w:cs="宋体"/>
          <w:color w:val="000000"/>
          <w:sz w:val="44"/>
          <w:szCs w:val="44"/>
          <w:lang w:val="en-US"/>
        </w:rPr>
        <w:t>2021</w:t>
      </w:r>
      <w:r>
        <w:rPr>
          <w:rFonts w:hint="eastAsia" w:ascii="宋体" w:hAnsi="宋体" w:eastAsia="宋体" w:cs="宋体"/>
          <w:color w:val="000000"/>
          <w:sz w:val="44"/>
          <w:szCs w:val="44"/>
          <w:lang w:eastAsia="zh-CN"/>
        </w:rPr>
        <w:t>年度永州市冷水滩区林业局部门决算</w:t>
      </w:r>
      <w:r>
        <w:rPr>
          <w:color w:val="000000"/>
          <w:lang w:eastAsia="zh-CN"/>
        </w:rPr>
        <w:t xml:space="preserve"> </w:t>
      </w:r>
    </w:p>
    <w:p>
      <w:pPr>
        <w:spacing w:after="2" w:afterAutospacing="0"/>
        <w:jc w:val="center"/>
        <w:rPr>
          <w:color w:val="000000"/>
          <w:szCs w:val="21"/>
          <w:lang w:val="en-US"/>
        </w:rPr>
      </w:pPr>
      <w:r>
        <w:rPr>
          <w:color w:val="000000"/>
          <w:sz w:val="32"/>
          <w:szCs w:val="32"/>
          <w:lang w:val="en-US"/>
        </w:rPr>
        <w:t> </w:t>
      </w:r>
      <w:r>
        <w:rPr>
          <w:color w:val="000000"/>
          <w:szCs w:val="21"/>
          <w:lang w:val="en-US"/>
        </w:rPr>
        <w:t xml:space="preserve"> </w:t>
      </w:r>
    </w:p>
    <w:p>
      <w:pPr>
        <w:spacing w:after="2" w:afterAutospacing="0"/>
        <w:jc w:val="center"/>
        <w:rPr>
          <w:rFonts w:hint="eastAsia" w:ascii="宋体" w:hAnsi="宋体" w:eastAsia="宋体" w:cs="宋体"/>
          <w:color w:val="000000"/>
          <w:szCs w:val="21"/>
          <w:lang w:val="en-US"/>
        </w:rPr>
      </w:pPr>
      <w:r>
        <w:rPr>
          <w:rFonts w:hint="eastAsia" w:ascii="宋体" w:hAnsi="宋体" w:eastAsia="宋体" w:cs="宋体"/>
          <w:color w:val="000000"/>
          <w:sz w:val="32"/>
          <w:szCs w:val="32"/>
          <w:lang w:eastAsia="zh-CN"/>
        </w:rPr>
        <w:t>目 录</w:t>
      </w:r>
      <w:r>
        <w:rPr>
          <w:rFonts w:hint="eastAsia" w:ascii="宋体" w:hAnsi="宋体" w:eastAsia="宋体" w:cs="宋体"/>
          <w:color w:val="000000"/>
          <w:szCs w:val="21"/>
          <w:lang w:eastAsia="zh-CN"/>
        </w:rPr>
        <w:t xml:space="preserve"> </w:t>
      </w:r>
    </w:p>
    <w:p>
      <w:pPr>
        <w:spacing w:after="2" w:afterAutospacing="0"/>
        <w:jc w:val="center"/>
        <w:rPr>
          <w:color w:val="000000"/>
          <w:szCs w:val="21"/>
          <w:lang w:val="en-US"/>
        </w:rPr>
      </w:pP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第一部分</w:t>
      </w:r>
      <w:r>
        <w:rPr>
          <w:rFonts w:hint="eastAsia" w:ascii="宋体" w:hAnsi="宋体" w:eastAsia="宋体" w:cs="宋体"/>
          <w:b/>
          <w:bCs/>
          <w:color w:val="000000"/>
          <w:sz w:val="32"/>
          <w:szCs w:val="32"/>
          <w:lang w:val="en-US"/>
        </w:rPr>
        <w:t> </w:t>
      </w:r>
      <w:r>
        <w:rPr>
          <w:rFonts w:hint="eastAsia" w:ascii="宋体" w:hAnsi="宋体" w:eastAsia="宋体" w:cs="宋体"/>
          <w:b/>
          <w:bCs/>
          <w:color w:val="000000"/>
          <w:sz w:val="32"/>
          <w:szCs w:val="32"/>
          <w:lang w:eastAsia="zh-CN"/>
        </w:rPr>
        <w:t>永州市冷水滩区林业局概况</w:t>
      </w:r>
      <w:r>
        <w:rPr>
          <w:color w:val="000000"/>
          <w:sz w:val="27"/>
          <w:szCs w:val="27"/>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一、部门职责</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二、机构设置</w:t>
      </w:r>
      <w:r>
        <w:rPr>
          <w:color w:val="000000"/>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第二部分</w:t>
      </w:r>
      <w:r>
        <w:rPr>
          <w:rFonts w:hint="eastAsia" w:ascii="宋体" w:hAnsi="宋体" w:eastAsia="宋体" w:cs="宋体"/>
          <w:b/>
          <w:bCs/>
          <w:color w:val="000000"/>
          <w:sz w:val="32"/>
          <w:szCs w:val="32"/>
          <w:lang w:val="en-US"/>
        </w:rPr>
        <w:t> 2021</w:t>
      </w:r>
      <w:r>
        <w:rPr>
          <w:rFonts w:hint="eastAsia" w:ascii="宋体" w:hAnsi="宋体" w:eastAsia="宋体" w:cs="宋体"/>
          <w:b/>
          <w:bCs/>
          <w:color w:val="000000"/>
          <w:sz w:val="32"/>
          <w:szCs w:val="32"/>
          <w:lang w:eastAsia="zh-CN"/>
        </w:rPr>
        <w:t>年度部门决算表</w:t>
      </w:r>
      <w:r>
        <w:rPr>
          <w:color w:val="000000"/>
          <w:sz w:val="27"/>
          <w:szCs w:val="27"/>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一、收入支出决算总表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二、收入决算表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三、支出决算表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四、财政拨款收入支出决算总表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五、一般公共预算财政拨款支出决算表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六、一般公共预算财政拨款基本支出决算明细表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七、一般公共预算财政拨款“三公”经费支出决算表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八、政府性基金预算财政拨款收入支出决算表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九、国有资本经营预算财政拨款支出决算表</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b/>
          <w:bCs/>
          <w:color w:val="000000"/>
          <w:sz w:val="32"/>
          <w:szCs w:val="32"/>
          <w:lang w:eastAsia="zh-CN"/>
        </w:rPr>
        <w:t>第三部分</w:t>
      </w:r>
      <w:r>
        <w:rPr>
          <w:rFonts w:hint="eastAsia" w:ascii="宋体" w:hAnsi="宋体" w:eastAsia="宋体" w:cs="宋体"/>
          <w:b/>
          <w:bCs/>
          <w:color w:val="000000"/>
          <w:sz w:val="32"/>
          <w:szCs w:val="32"/>
          <w:lang w:val="en-US"/>
        </w:rPr>
        <w:t> 2021</w:t>
      </w:r>
      <w:r>
        <w:rPr>
          <w:rFonts w:hint="eastAsia" w:ascii="宋体" w:hAnsi="宋体" w:eastAsia="宋体" w:cs="宋体"/>
          <w:b/>
          <w:bCs/>
          <w:color w:val="000000"/>
          <w:sz w:val="32"/>
          <w:szCs w:val="32"/>
          <w:lang w:eastAsia="zh-CN"/>
        </w:rPr>
        <w:t>年度部门决算情况说明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一、收入支出决算总体情况说明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二、收入决算情况说明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三、支出决算情况说明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四、财政拨款收入支出决算总体情况说明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五、一般公共预算财政拨款支出决算情况说明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六、一般公共预算财政拨款基本支出决算情况说明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七、一般公共预算财政拨款三公经费支出决算情况说明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八、政府性基金预算收入支出决算情况</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九、关于机关运行经费支出说明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十、一般性支出情况</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十一、关于政府采购支出说明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十二、关于国有资产占用情况说明</w:t>
      </w:r>
      <w:r>
        <w:rPr>
          <w:color w:val="000000"/>
          <w:lang w:eastAsia="zh-CN"/>
        </w:rPr>
        <w:t xml:space="preserve"> </w:t>
      </w:r>
    </w:p>
    <w:p>
      <w:pPr>
        <w:pStyle w:val="15"/>
        <w:spacing w:after="2" w:afterAutospacing="0"/>
        <w:ind w:left="0" w:firstLine="700"/>
        <w:rPr>
          <w:color w:val="000000"/>
          <w:lang w:val="en-US"/>
        </w:rPr>
      </w:pPr>
      <w:r>
        <w:rPr>
          <w:rFonts w:hint="eastAsia" w:ascii="宋体" w:hAnsi="宋体" w:eastAsia="宋体" w:cs="宋体"/>
          <w:color w:val="000000"/>
          <w:sz w:val="28"/>
          <w:szCs w:val="28"/>
          <w:lang w:eastAsia="zh-CN"/>
        </w:rPr>
        <w:t>十三、关于</w:t>
      </w:r>
      <w:r>
        <w:rPr>
          <w:rFonts w:hint="eastAsia" w:ascii="宋体" w:hAnsi="宋体" w:eastAsia="宋体" w:cs="宋体"/>
          <w:color w:val="000000"/>
          <w:sz w:val="28"/>
          <w:szCs w:val="28"/>
          <w:lang w:val="en-US"/>
        </w:rPr>
        <w:t>2021</w:t>
      </w:r>
      <w:r>
        <w:rPr>
          <w:rFonts w:hint="eastAsia" w:ascii="宋体" w:hAnsi="宋体" w:eastAsia="宋体" w:cs="宋体"/>
          <w:color w:val="000000"/>
          <w:sz w:val="28"/>
          <w:szCs w:val="28"/>
          <w:lang w:eastAsia="zh-CN"/>
        </w:rPr>
        <w:t>年度预算绩效情况的说明</w:t>
      </w:r>
      <w:r>
        <w:rPr>
          <w:color w:val="000000"/>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第四部分</w:t>
      </w:r>
      <w:r>
        <w:rPr>
          <w:rFonts w:hint="eastAsia" w:ascii="宋体" w:hAnsi="宋体" w:eastAsia="宋体" w:cs="宋体"/>
          <w:b/>
          <w:bCs/>
          <w:color w:val="000000"/>
          <w:sz w:val="32"/>
          <w:szCs w:val="32"/>
          <w:lang w:val="en-US"/>
        </w:rPr>
        <w:t> </w:t>
      </w:r>
      <w:r>
        <w:rPr>
          <w:rFonts w:hint="eastAsia" w:ascii="宋体" w:hAnsi="宋体" w:eastAsia="宋体" w:cs="宋体"/>
          <w:b/>
          <w:bCs/>
          <w:color w:val="000000"/>
          <w:sz w:val="32"/>
          <w:szCs w:val="32"/>
          <w:lang w:eastAsia="zh-CN"/>
        </w:rPr>
        <w:t>名词解释</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第五部分</w:t>
      </w:r>
      <w:r>
        <w:rPr>
          <w:rFonts w:hint="eastAsia" w:ascii="宋体" w:hAnsi="宋体" w:eastAsia="宋体" w:cs="宋体"/>
          <w:b/>
          <w:bCs/>
          <w:color w:val="000000"/>
          <w:sz w:val="32"/>
          <w:szCs w:val="32"/>
          <w:lang w:val="en-US"/>
        </w:rPr>
        <w:t> </w:t>
      </w:r>
      <w:r>
        <w:rPr>
          <w:rFonts w:hint="eastAsia" w:ascii="宋体" w:hAnsi="宋体" w:eastAsia="宋体" w:cs="宋体"/>
          <w:b/>
          <w:bCs/>
          <w:color w:val="000000"/>
          <w:sz w:val="32"/>
          <w:szCs w:val="32"/>
          <w:lang w:eastAsia="zh-CN"/>
        </w:rPr>
        <w:t>附件</w:t>
      </w:r>
      <w:r>
        <w:rPr>
          <w:color w:val="000000"/>
          <w:sz w:val="27"/>
          <w:szCs w:val="27"/>
          <w:lang w:eastAsia="zh-CN"/>
        </w:rPr>
        <w:t xml:space="preserve"> </w:t>
      </w:r>
    </w:p>
    <w:p>
      <w:pPr>
        <w:rPr>
          <w:color w:val="000000"/>
          <w:lang w:val="en-US"/>
        </w:rPr>
      </w:pPr>
    </w:p>
    <w:p>
      <w:pPr>
        <w:rPr>
          <w:color w:val="000000"/>
          <w:lang w:val="en-US"/>
        </w:rPr>
      </w:pPr>
    </w:p>
    <w:p>
      <w:pPr>
        <w:rPr>
          <w:color w:val="000000"/>
          <w:lang w:val="en-US"/>
        </w:rPr>
      </w:pPr>
    </w:p>
    <w:p>
      <w:pPr>
        <w:rPr>
          <w:color w:val="000000"/>
          <w:lang w:val="en-US"/>
        </w:rPr>
      </w:pPr>
    </w:p>
    <w:p>
      <w:pPr>
        <w:spacing w:after="2" w:afterAutospacing="0" w:line="600" w:lineRule="atLeast"/>
        <w:jc w:val="center"/>
        <w:rPr>
          <w:color w:val="000000"/>
          <w:szCs w:val="21"/>
          <w:lang w:val="en-US"/>
        </w:rPr>
      </w:pPr>
      <w:r>
        <w:rPr>
          <w:rFonts w:hint="eastAsia" w:ascii="宋体" w:hAnsi="宋体" w:eastAsia="宋体" w:cs="宋体"/>
          <w:b/>
          <w:bCs/>
          <w:color w:val="000000"/>
          <w:sz w:val="36"/>
          <w:szCs w:val="36"/>
          <w:lang w:eastAsia="zh-CN"/>
        </w:rPr>
        <w:t>第一部分</w:t>
      </w:r>
      <w:r>
        <w:rPr>
          <w:rFonts w:hint="eastAsia" w:ascii="宋体" w:hAnsi="宋体" w:eastAsia="宋体" w:cs="宋体"/>
          <w:b/>
          <w:bCs/>
          <w:color w:val="000000"/>
          <w:sz w:val="36"/>
          <w:szCs w:val="36"/>
          <w:lang w:val="en-US"/>
        </w:rPr>
        <w:t> </w:t>
      </w:r>
      <w:r>
        <w:rPr>
          <w:rFonts w:hint="eastAsia" w:ascii="宋体" w:hAnsi="宋体" w:eastAsia="宋体" w:cs="宋体"/>
          <w:b/>
          <w:bCs/>
          <w:color w:val="000000"/>
          <w:sz w:val="36"/>
          <w:szCs w:val="36"/>
          <w:lang w:eastAsia="zh-CN"/>
        </w:rPr>
        <w:t>永州市冷水滩区林业局概况</w:t>
      </w:r>
      <w:r>
        <w:rPr>
          <w:b/>
          <w:bCs/>
          <w:color w:val="000000"/>
          <w:szCs w:val="21"/>
          <w:lang w:eastAsia="zh-CN"/>
        </w:rPr>
        <w:t xml:space="preserve"> </w:t>
      </w:r>
    </w:p>
    <w:p>
      <w:pPr>
        <w:pStyle w:val="9"/>
        <w:spacing w:before="0" w:beforeAutospacing="0" w:after="2" w:afterAutospacing="0"/>
        <w:ind w:left="0" w:right="0"/>
        <w:rPr>
          <w:color w:val="000000"/>
          <w:lang w:val="en-US"/>
        </w:rPr>
      </w:pPr>
    </w:p>
    <w:p>
      <w:pPr>
        <w:pStyle w:val="16"/>
        <w:spacing w:before="0" w:beforeAutospacing="0" w:after="2" w:afterAutospacing="0"/>
        <w:ind w:left="0" w:right="0"/>
        <w:rPr>
          <w:color w:val="000000"/>
          <w:lang w:val="en-US"/>
        </w:rPr>
      </w:pPr>
      <w:r>
        <w:rPr>
          <w:rFonts w:hint="default" w:ascii="Calibri" w:hAnsi="Calibri" w:eastAsia="黑体" w:cs="Calibri"/>
          <w:color w:val="000000"/>
          <w:sz w:val="32"/>
          <w:szCs w:val="32"/>
          <w:lang w:val="en-US"/>
        </w:rPr>
        <w:t> </w:t>
      </w:r>
      <w:r>
        <w:rPr>
          <w:color w:val="000000"/>
          <w:lang w:val="en-US"/>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一、部门职责</w:t>
      </w:r>
      <w:r>
        <w:rPr>
          <w:color w:val="000000"/>
          <w:sz w:val="27"/>
          <w:szCs w:val="27"/>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（一）负责林业和草原及其生态保护修复的监督管理。拟订林业和草原及其生态保护修复的政策措施、规划并组织实施。组织开展森林、草原、湿地、荒漠和陆生野生动植物资源动态监测与评价。</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二）组织林业和草原生态保护修复和造林绿化工作。组织实施林业和草原重点生态保护修复工程，指导公益林和商品林的培育，指导、监督全民义务植树、城乡绿化工作，组织指导林木花卉工作。指导林业和草原有害生物防治、检疫工作。承担林业和草原应对气候变化的相关工作。承担区绿化委员会的具体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三）负责森林、草原、湿地资源的监督管理。监督执行全区森林采伐限额。负责林地管理，拟订林地保护利用规划并组织实施，指导公益林划定和管理工作，管理国有森林资源。负责草原禁牧、草畜平衡和草原生态修复治理工作、监督管理草原的开发利用。负责湿地生态保护修复工作，依照湿地保护规划和相关标准，监督管理湿地的开发利用。</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四）负责监督管理石漠化防治工作。组织开展荒漠调查，组织拟订防沙治沙、石漠化防治及沙化土地封禁保护区建设规划，依照相关标准监督管理沙化土地的开发利用，组织、指导建设项目对土地沙化影响的审核，组织沙化灾害预测预报和应急处置。</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五）负责陆生野生动植物资源监督管理。组织开展陆生野生动植物资源调查。按照国家、省级重点保护的陆生野生动物、植物名录，指导陆生野生动植物的救护繁育、栖息地恢复发展、疫源疫病监测，监督管理陆生野生动植物猎捕或采集、驯养和繁殖或培植、经营利用，按分工监督管理野生动植物进出口。</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六）负责监督管理各类自然保护地。拟订各类自然保护地规划。负责国家公园与本区域经济社会发展综合协调、公共服务、社会管理、市场监管等工作。提出新建、调整各类自然保护地的审核建议并按程序报批，协助本行政区划内世界自然遗产、自然与文化双遗产的申报工作。负责生物多样性保护相关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七）负责推进林业和草原改革相关工作。组织实施集体林权制度、国有林场、草原等改革工作。拟订农村林业发展、维护林业经营者合法权益的政策措施，指导农村林地承包经营工作。开展退耕（牧）还林还草，负责天然林保护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（八）拟订林业和草原资源优化配置及木材利用政策措施，组织、指导林产品质量监督，指导生态扶贫相关工作。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九）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（十）指导全区林业违法案件的查处，负责相关行政执法监管工作。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十一）负责落实综合防灾减灾规划相关要求，组织编制森林和草原火灾防治规划并指导实施，指导开展防火巡护、火源管理、防火设施建设等工作。组织指导国有林场林区和草原开展宣传教育、监测预警、督促检查等防火工作。必要时，可以提请区应急管理局，以区应急指挥机构名义，部署相关防治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十二）监督管理林业和草原资金和国有资产，提出林业和草原预算内投资、财政性资金安排建议，按区政府规定权限，审核区级规划内和年度计划内投资项目。贯彻执行林业和草原经济调节政策措施，组织实施林业和草原生态补偿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（十三）负责林业和草原科技、教育工作，指导全区林业和草原人才队伍建设，承担湿地、防治荒漠化、濒危野生动植物等国际公约履约工作。</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（十四）完成区委、区政府交办的其他任务。</w:t>
      </w:r>
      <w:r>
        <w:rPr>
          <w:color w:val="000000"/>
          <w:sz w:val="32"/>
          <w:szCs w:val="32"/>
          <w:lang w:eastAsia="zh-CN"/>
        </w:rPr>
        <w:t xml:space="preserve"> </w:t>
      </w:r>
    </w:p>
    <w:p>
      <w:pPr>
        <w:pStyle w:val="15"/>
        <w:spacing w:after="2" w:afterAutospacing="0"/>
        <w:ind w:left="0" w:firstLine="641"/>
        <w:rPr>
          <w:color w:val="000000"/>
          <w:sz w:val="32"/>
          <w:szCs w:val="32"/>
          <w:lang w:val="en-US"/>
        </w:rPr>
      </w:pPr>
      <w:r>
        <w:rPr>
          <w:rFonts w:hint="eastAsia" w:ascii="宋体" w:hAnsi="宋体" w:eastAsia="宋体" w:cs="宋体"/>
          <w:color w:val="000000"/>
          <w:sz w:val="32"/>
          <w:szCs w:val="32"/>
          <w:lang w:eastAsia="zh-CN"/>
        </w:rPr>
        <w:t>（十五）职能转变。区林业局要切实加大生态系统保护力度，实施重要生态系统保护和修复工程，加强森林、草原、湿地监督管理的统筹协调，大力推进国土绿化，保障国家生态安全。按权限统一推进全区各类自然保护地的清理规范和归并整合。</w:t>
      </w:r>
      <w:r>
        <w:rPr>
          <w:color w:val="000000"/>
          <w:sz w:val="32"/>
          <w:szCs w:val="32"/>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二、机构设置及决算单位构成</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（一）内设机构设置</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永州市冷水滩区林业局内设机构包括：冷水滩区林业局内设办公室、造林绿化股（区绿化委员会办公室、区退耕还林办公室）、行政审批股（加挂政策法规股、森林资源保护股、森林公园管理办公室、湿地公园管理办公室、风景名胜区管理办公室牌子）、野生动植物保护股、林木种苗管理股、计划财务股、政工股、森林防火股</w:t>
      </w:r>
      <w:r>
        <w:rPr>
          <w:rFonts w:hint="eastAsia" w:ascii="宋体" w:hAnsi="宋体" w:eastAsia="宋体" w:cs="宋体"/>
          <w:color w:val="000000"/>
          <w:sz w:val="32"/>
          <w:szCs w:val="32"/>
          <w:lang w:val="en-US"/>
        </w:rPr>
        <w:t>8</w:t>
      </w:r>
      <w:r>
        <w:rPr>
          <w:rFonts w:hint="eastAsia" w:ascii="宋体" w:hAnsi="宋体" w:eastAsia="宋体" w:cs="宋体"/>
          <w:color w:val="000000"/>
          <w:sz w:val="32"/>
          <w:szCs w:val="32"/>
          <w:lang w:eastAsia="zh-CN"/>
        </w:rPr>
        <w:t>个机构，所属行政单位</w:t>
      </w: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个（森林公安分局），下辖区林业综合执法大队、森林绿化事务中心、林业科技推广站、区森林病虫害防治检疫站、区野生动植物保护管理站、四明山森林公园管理处、林长制事务中心、区林业科学研究所（加挂“马坪国有林场”牌子）、湿地公园管理事务中心、黄阳司林业工作中心站、岚角山林业工作中心站、普利桥林业工作中心站、曲河林业工作中心站等</w:t>
      </w:r>
      <w:r>
        <w:rPr>
          <w:rFonts w:hint="eastAsia" w:ascii="宋体" w:hAnsi="宋体" w:eastAsia="宋体" w:cs="宋体"/>
          <w:color w:val="000000"/>
          <w:sz w:val="32"/>
          <w:szCs w:val="32"/>
          <w:lang w:val="en-US"/>
        </w:rPr>
        <w:t>13</w:t>
      </w:r>
      <w:r>
        <w:rPr>
          <w:rFonts w:hint="eastAsia" w:ascii="宋体" w:hAnsi="宋体" w:eastAsia="宋体" w:cs="宋体"/>
          <w:color w:val="000000"/>
          <w:sz w:val="32"/>
          <w:szCs w:val="32"/>
          <w:lang w:eastAsia="zh-CN"/>
        </w:rPr>
        <w:t>个事业单位。人员编制情况：在职实有人数</w:t>
      </w:r>
      <w:r>
        <w:rPr>
          <w:rFonts w:hint="eastAsia" w:ascii="宋体" w:hAnsi="宋体" w:eastAsia="宋体" w:cs="宋体"/>
          <w:color w:val="000000"/>
          <w:sz w:val="32"/>
          <w:szCs w:val="32"/>
          <w:lang w:val="en-US"/>
        </w:rPr>
        <w:t>211</w:t>
      </w:r>
      <w:r>
        <w:rPr>
          <w:rFonts w:hint="eastAsia" w:ascii="宋体" w:hAnsi="宋体" w:eastAsia="宋体" w:cs="宋体"/>
          <w:color w:val="000000"/>
          <w:sz w:val="32"/>
          <w:szCs w:val="32"/>
          <w:lang w:eastAsia="zh-CN"/>
        </w:rPr>
        <w:t>人（其中区林科所</w:t>
      </w:r>
      <w:r>
        <w:rPr>
          <w:rFonts w:hint="eastAsia" w:ascii="宋体" w:hAnsi="宋体" w:eastAsia="宋体" w:cs="宋体"/>
          <w:color w:val="000000"/>
          <w:sz w:val="32"/>
          <w:szCs w:val="32"/>
          <w:lang w:val="en-US"/>
        </w:rPr>
        <w:t>7</w:t>
      </w:r>
      <w:r>
        <w:rPr>
          <w:rFonts w:hint="eastAsia" w:ascii="宋体" w:hAnsi="宋体" w:eastAsia="宋体" w:cs="宋体"/>
          <w:color w:val="000000"/>
          <w:sz w:val="32"/>
          <w:szCs w:val="32"/>
          <w:lang w:eastAsia="zh-CN"/>
        </w:rPr>
        <w:t>人），退休人员</w:t>
      </w:r>
      <w:r>
        <w:rPr>
          <w:rFonts w:hint="eastAsia" w:ascii="宋体" w:hAnsi="宋体" w:eastAsia="宋体" w:cs="宋体"/>
          <w:color w:val="000000"/>
          <w:sz w:val="32"/>
          <w:szCs w:val="32"/>
          <w:lang w:val="en-US"/>
        </w:rPr>
        <w:t>88</w:t>
      </w:r>
      <w:r>
        <w:rPr>
          <w:rFonts w:hint="eastAsia" w:ascii="宋体" w:hAnsi="宋体" w:eastAsia="宋体" w:cs="宋体"/>
          <w:color w:val="000000"/>
          <w:sz w:val="32"/>
          <w:szCs w:val="32"/>
          <w:lang w:eastAsia="zh-CN"/>
        </w:rPr>
        <w:t>人（其中区林科所</w:t>
      </w:r>
      <w:r>
        <w:rPr>
          <w:rFonts w:hint="eastAsia" w:ascii="宋体" w:hAnsi="宋体" w:eastAsia="宋体" w:cs="宋体"/>
          <w:color w:val="000000"/>
          <w:sz w:val="32"/>
          <w:szCs w:val="32"/>
          <w:lang w:val="en-US"/>
        </w:rPr>
        <w:t>36</w:t>
      </w:r>
      <w:r>
        <w:rPr>
          <w:rFonts w:hint="eastAsia" w:ascii="宋体" w:hAnsi="宋体" w:eastAsia="宋体" w:cs="宋体"/>
          <w:color w:val="000000"/>
          <w:sz w:val="32"/>
          <w:szCs w:val="32"/>
          <w:lang w:eastAsia="zh-CN"/>
        </w:rPr>
        <w:t>人），另聘用人员</w:t>
      </w:r>
      <w:r>
        <w:rPr>
          <w:rFonts w:hint="eastAsia" w:ascii="宋体" w:hAnsi="宋体" w:eastAsia="宋体" w:cs="宋体"/>
          <w:color w:val="000000"/>
          <w:sz w:val="32"/>
          <w:szCs w:val="32"/>
          <w:lang w:val="en-US"/>
        </w:rPr>
        <w:t>7</w:t>
      </w:r>
      <w:r>
        <w:rPr>
          <w:rFonts w:hint="eastAsia" w:ascii="宋体" w:hAnsi="宋体" w:eastAsia="宋体" w:cs="宋体"/>
          <w:color w:val="000000"/>
          <w:sz w:val="32"/>
          <w:szCs w:val="32"/>
          <w:lang w:eastAsia="zh-CN"/>
        </w:rPr>
        <w:t>人。 车辆编制情况：现有执法执勤、森林消防车辆共计</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辆。</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（二）决算单位构成</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永州市冷水滩区林业局为一级预算单位，无独立二级单位，因此本次决算公开单位为永州市冷水滩区林业局本级。</w:t>
      </w:r>
      <w:r>
        <w:rPr>
          <w:color w:val="000000"/>
          <w:sz w:val="27"/>
          <w:szCs w:val="27"/>
          <w:lang w:eastAsia="zh-CN"/>
        </w:rPr>
        <w:t xml:space="preserve"> </w:t>
      </w:r>
    </w:p>
    <w:p>
      <w:pPr>
        <w:rPr>
          <w:rFonts w:hint="eastAsia" w:ascii="宋体" w:hAnsi="宋体" w:eastAsia="宋体" w:cs="宋体"/>
          <w:color w:val="000000"/>
          <w:sz w:val="32"/>
          <w:szCs w:val="32"/>
          <w:lang w:val="en-US" w:eastAsia="zh-CN" w:bidi="ar"/>
        </w:rPr>
        <w:sectPr>
          <w:pgSz w:w="11906" w:h="16838" w:orient="landscape"/>
          <w:pgMar w:top="1440" w:right="1080" w:bottom="1440" w:left="1080" w:header="851" w:footer="992" w:gutter="0"/>
          <w:paperSrc/>
          <w:cols w:space="0" w:num="1"/>
          <w:docGrid w:type="lines" w:linePitch="160" w:charSpace="0"/>
        </w:sectPr>
      </w:pPr>
    </w:p>
    <w:p>
      <w:pPr>
        <w:spacing w:after="2" w:afterAutospacing="0"/>
        <w:ind w:left="0" w:firstLine="721"/>
        <w:jc w:val="center"/>
        <w:rPr>
          <w:color w:val="000000"/>
          <w:szCs w:val="21"/>
          <w:lang w:val="en-US"/>
        </w:rPr>
      </w:pPr>
    </w:p>
    <w:p>
      <w:pPr>
        <w:spacing w:after="2" w:afterAutospacing="0"/>
        <w:ind w:left="0" w:firstLine="721"/>
        <w:jc w:val="center"/>
        <w:rPr>
          <w:color w:val="000000"/>
          <w:szCs w:val="21"/>
          <w:lang w:val="en-US"/>
        </w:rPr>
      </w:pPr>
      <w:r>
        <w:rPr>
          <w:rFonts w:hint="eastAsia" w:ascii="宋体" w:hAnsi="宋体" w:eastAsia="宋体" w:cs="宋体"/>
          <w:b/>
          <w:bCs/>
          <w:color w:val="000000"/>
          <w:sz w:val="36"/>
          <w:szCs w:val="36"/>
          <w:lang w:eastAsia="zh-CN"/>
        </w:rPr>
        <w:t>第二部分</w:t>
      </w:r>
      <w:r>
        <w:rPr>
          <w:rFonts w:hint="eastAsia" w:ascii="宋体" w:hAnsi="宋体" w:eastAsia="宋体" w:cs="宋体"/>
          <w:b/>
          <w:bCs/>
          <w:color w:val="000000"/>
          <w:sz w:val="36"/>
          <w:szCs w:val="36"/>
          <w:lang w:val="en-US"/>
        </w:rPr>
        <w:t> 2021</w:t>
      </w:r>
      <w:r>
        <w:rPr>
          <w:rFonts w:hint="eastAsia" w:ascii="宋体" w:hAnsi="宋体" w:eastAsia="宋体" w:cs="宋体"/>
          <w:b/>
          <w:bCs/>
          <w:color w:val="000000"/>
          <w:sz w:val="36"/>
          <w:szCs w:val="36"/>
          <w:lang w:eastAsia="zh-CN"/>
        </w:rPr>
        <w:t>年度部门决算表</w:t>
      </w:r>
      <w:r>
        <w:rPr>
          <w:color w:val="000000"/>
          <w:szCs w:val="21"/>
          <w:lang w:eastAsia="zh-CN"/>
        </w:rPr>
        <w:t xml:space="preserve"> </w:t>
      </w:r>
    </w:p>
    <w:p>
      <w:pPr>
        <w:pStyle w:val="9"/>
        <w:spacing w:before="0" w:beforeAutospacing="0" w:after="2" w:afterAutospacing="0"/>
        <w:ind w:left="0" w:right="0"/>
        <w:rPr>
          <w:color w:val="000000"/>
          <w:sz w:val="32"/>
          <w:szCs w:val="32"/>
          <w:lang w:val="en-US"/>
        </w:rPr>
      </w:pPr>
    </w:p>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6"/>
            <w:shd w:val="clear"/>
            <w:vAlign w:val="center"/>
          </w:tcPr>
          <w:p>
            <w:pPr>
              <w:pStyle w:val="9"/>
              <w:jc w:val="center"/>
              <w:rPr>
                <w:sz w:val="40"/>
                <w:szCs w:val="40"/>
                <w:bdr w:val="none" w:color="auto" w:sz="0" w:space="0"/>
                <w:lang w:val="en-US"/>
              </w:rPr>
            </w:pPr>
            <w:r>
              <w:rPr>
                <w:sz w:val="40"/>
                <w:szCs w:val="40"/>
                <w:bdr w:val="none" w:color="auto" w:sz="0" w:space="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shd w:val="clear"/>
            <w:vAlign w:val="center"/>
          </w:tcPr>
          <w:p>
            <w:pPr>
              <w:rPr>
                <w:rFonts w:hint="default" w:ascii="Times New Roman" w:hAnsi="Times New Roman" w:cs="Times New Roman"/>
                <w:sz w:val="20"/>
                <w:szCs w:val="20"/>
              </w:rPr>
            </w:pPr>
          </w:p>
        </w:tc>
        <w:tc>
          <w:tcPr>
            <w:tcW w:w="202" w:type="pct"/>
            <w:shd w:val="clear"/>
            <w:vAlign w:val="center"/>
          </w:tcPr>
          <w:p>
            <w:pPr>
              <w:rPr>
                <w:rFonts w:hint="default" w:ascii="Times New Roman" w:hAnsi="Times New Roman" w:cs="Times New Roman"/>
                <w:sz w:val="20"/>
                <w:szCs w:val="20"/>
              </w:rPr>
            </w:pPr>
          </w:p>
        </w:tc>
        <w:tc>
          <w:tcPr>
            <w:tcW w:w="799" w:type="pct"/>
            <w:shd w:val="clear"/>
            <w:vAlign w:val="center"/>
          </w:tcPr>
          <w:p>
            <w:pPr>
              <w:rPr>
                <w:rFonts w:hint="default" w:ascii="Times New Roman" w:hAnsi="Times New Roman" w:cs="Times New Roman"/>
                <w:sz w:val="20"/>
                <w:szCs w:val="20"/>
              </w:rPr>
            </w:pPr>
          </w:p>
        </w:tc>
        <w:tc>
          <w:tcPr>
            <w:tcW w:w="1497" w:type="pct"/>
            <w:shd w:val="clear"/>
            <w:vAlign w:val="center"/>
          </w:tcPr>
          <w:p>
            <w:pPr>
              <w:rPr>
                <w:rFonts w:hint="default" w:ascii="Times New Roman" w:hAnsi="Times New Roman" w:cs="Times New Roman"/>
                <w:sz w:val="20"/>
                <w:szCs w:val="20"/>
              </w:rPr>
            </w:pPr>
          </w:p>
        </w:tc>
        <w:tc>
          <w:tcPr>
            <w:tcW w:w="1002"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01</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997" w:type="pct"/>
            <w:gridSpan w:val="4"/>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1002"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金额</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6,090.16</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二、外交支出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三、国防支出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五、事业收入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五、教育支出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六、经营收入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八、其他收入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0"/>
                <w:szCs w:val="20"/>
                <w:bdr w:val="none" w:color="auto" w:sz="0" w:space="0"/>
                <w:lang w:val="en-US"/>
              </w:rPr>
            </w:pPr>
            <w:r>
              <w:rPr>
                <w:sz w:val="20"/>
                <w:szCs w:val="20"/>
                <w:bdr w:val="none" w:color="auto" w:sz="0" w:space="0"/>
                <w:lang w:val="en-US"/>
              </w:rPr>
              <w:t>24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0"/>
                <w:szCs w:val="20"/>
                <w:bdr w:val="none" w:color="auto" w:sz="0" w:space="0"/>
                <w:lang w:val="en-US"/>
              </w:rPr>
            </w:pPr>
            <w:r>
              <w:rPr>
                <w:sz w:val="20"/>
                <w:szCs w:val="20"/>
                <w:bdr w:val="none" w:color="auto" w:sz="0" w:space="0"/>
                <w:lang w:val="en-US"/>
              </w:rPr>
              <w:t>25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0"/>
                <w:szCs w:val="20"/>
                <w:bdr w:val="none" w:color="auto" w:sz="0" w:space="0"/>
                <w:lang w:val="en-US"/>
              </w:rPr>
            </w:pPr>
            <w:r>
              <w:rPr>
                <w:sz w:val="20"/>
                <w:szCs w:val="20"/>
                <w:bdr w:val="none" w:color="auto" w:sz="0" w:space="0"/>
                <w:lang w:val="en-US"/>
              </w:rPr>
              <w:t>26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结余分配</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vAlign w:val="center"/>
          </w:tcPr>
          <w:p>
            <w:pPr>
              <w:pStyle w:val="9"/>
              <w:rPr>
                <w:sz w:val="22"/>
                <w:szCs w:val="22"/>
                <w:bdr w:val="none" w:color="auto" w:sz="0" w:space="0"/>
                <w:lang w:val="en-US"/>
              </w:rPr>
            </w:pPr>
            <w:r>
              <w:rPr>
                <w:sz w:val="22"/>
                <w:szCs w:val="22"/>
                <w:bdr w:val="none" w:color="auto" w:sz="0" w:space="0"/>
              </w:rPr>
              <w:t>注：本表反映部门本年度的总收支和年末结转结余情况。本表金额转换为万元时，因四舍五入可能存在尾数误差。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1"/>
            <w:shd w:val="clear"/>
            <w:vAlign w:val="center"/>
          </w:tcPr>
          <w:p>
            <w:pPr>
              <w:pStyle w:val="9"/>
              <w:jc w:val="center"/>
              <w:rPr>
                <w:sz w:val="40"/>
                <w:szCs w:val="40"/>
                <w:bdr w:val="none" w:color="auto" w:sz="0" w:space="0"/>
                <w:lang w:val="en-US"/>
              </w:rPr>
            </w:pPr>
            <w:r>
              <w:rPr>
                <w:sz w:val="40"/>
                <w:szCs w:val="40"/>
                <w:bdr w:val="none" w:color="auto" w:sz="0" w:space="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12" w:type="pct"/>
            <w:shd w:val="clear"/>
            <w:vAlign w:val="center"/>
          </w:tcPr>
          <w:p>
            <w:pPr>
              <w:rPr>
                <w:rFonts w:hint="default" w:ascii="Times New Roman" w:hAnsi="Times New Roman" w:cs="Times New Roman"/>
                <w:sz w:val="20"/>
                <w:szCs w:val="20"/>
              </w:rPr>
            </w:pPr>
          </w:p>
        </w:tc>
        <w:tc>
          <w:tcPr>
            <w:tcW w:w="112" w:type="pct"/>
            <w:shd w:val="clear"/>
            <w:vAlign w:val="center"/>
          </w:tcPr>
          <w:p>
            <w:pPr>
              <w:rPr>
                <w:rFonts w:hint="default" w:ascii="Times New Roman" w:hAnsi="Times New Roman" w:cs="Times New Roman"/>
                <w:sz w:val="20"/>
                <w:szCs w:val="20"/>
              </w:rPr>
            </w:pPr>
          </w:p>
        </w:tc>
        <w:tc>
          <w:tcPr>
            <w:tcW w:w="112" w:type="pct"/>
            <w:shd w:val="clear"/>
            <w:vAlign w:val="center"/>
          </w:tcPr>
          <w:p>
            <w:pPr>
              <w:rPr>
                <w:rFonts w:hint="default" w:ascii="Times New Roman" w:hAnsi="Times New Roman" w:cs="Times New Roman"/>
                <w:sz w:val="20"/>
                <w:szCs w:val="20"/>
              </w:rPr>
            </w:pPr>
          </w:p>
        </w:tc>
        <w:tc>
          <w:tcPr>
            <w:tcW w:w="994" w:type="pct"/>
            <w:shd w:val="clear"/>
            <w:vAlign w:val="center"/>
          </w:tcPr>
          <w:p>
            <w:pPr>
              <w:rPr>
                <w:rFonts w:hint="default" w:ascii="Times New Roman" w:hAnsi="Times New Roman" w:cs="Times New Roman"/>
                <w:sz w:val="20"/>
                <w:szCs w:val="20"/>
              </w:rPr>
            </w:pPr>
          </w:p>
        </w:tc>
        <w:tc>
          <w:tcPr>
            <w:tcW w:w="678" w:type="pct"/>
            <w:shd w:val="clear"/>
            <w:vAlign w:val="center"/>
          </w:tcPr>
          <w:p>
            <w:pPr>
              <w:rPr>
                <w:rFonts w:hint="default" w:ascii="Times New Roman" w:hAnsi="Times New Roman" w:cs="Times New Roman"/>
                <w:sz w:val="20"/>
                <w:szCs w:val="20"/>
              </w:rPr>
            </w:pPr>
          </w:p>
        </w:tc>
        <w:tc>
          <w:tcPr>
            <w:tcW w:w="496" w:type="pct"/>
            <w:shd w:val="clear"/>
            <w:vAlign w:val="center"/>
          </w:tcPr>
          <w:p>
            <w:pPr>
              <w:rPr>
                <w:rFonts w:hint="default" w:ascii="Times New Roman" w:hAnsi="Times New Roman" w:cs="Times New Roman"/>
                <w:sz w:val="20"/>
                <w:szCs w:val="20"/>
              </w:rPr>
            </w:pPr>
          </w:p>
        </w:tc>
        <w:tc>
          <w:tcPr>
            <w:tcW w:w="496" w:type="pct"/>
            <w:shd w:val="clear"/>
            <w:vAlign w:val="center"/>
          </w:tcPr>
          <w:p>
            <w:pPr>
              <w:rPr>
                <w:rFonts w:hint="default" w:ascii="Times New Roman" w:hAnsi="Times New Roman" w:cs="Times New Roman"/>
                <w:sz w:val="20"/>
                <w:szCs w:val="20"/>
              </w:rPr>
            </w:pPr>
          </w:p>
        </w:tc>
        <w:tc>
          <w:tcPr>
            <w:tcW w:w="496" w:type="pct"/>
            <w:shd w:val="clear"/>
            <w:vAlign w:val="center"/>
          </w:tcPr>
          <w:p>
            <w:pPr>
              <w:rPr>
                <w:rFonts w:hint="default" w:ascii="Times New Roman" w:hAnsi="Times New Roman" w:cs="Times New Roman"/>
                <w:sz w:val="20"/>
                <w:szCs w:val="20"/>
              </w:rPr>
            </w:pPr>
          </w:p>
        </w:tc>
        <w:tc>
          <w:tcPr>
            <w:tcW w:w="496" w:type="pct"/>
            <w:shd w:val="clear"/>
            <w:vAlign w:val="center"/>
          </w:tcPr>
          <w:p>
            <w:pPr>
              <w:rPr>
                <w:rFonts w:hint="default" w:ascii="Times New Roman" w:hAnsi="Times New Roman" w:cs="Times New Roman"/>
                <w:sz w:val="20"/>
                <w:szCs w:val="20"/>
              </w:rPr>
            </w:pPr>
          </w:p>
        </w:tc>
        <w:tc>
          <w:tcPr>
            <w:tcW w:w="994"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02</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004" w:type="pct"/>
            <w:gridSpan w:val="9"/>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994"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20808</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抚恤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2080801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死亡抚恤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节能环保支出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21104</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自然生态保护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2110499</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其他自然生态保护支出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21105</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天然林保护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2110501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森林管护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农林水支出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农业农村</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2130105</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农垦运行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林业和草原</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4,766.90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4,766.90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2,199.64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2,199.64</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2130204</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事业机构</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67.82</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67.82</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2130205</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森林资源培育</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1,158.76</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1,158.76</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2130209</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森林生态效益补偿</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406.69</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406.69</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2130211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动植物保护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79.99</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79.99</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2130221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产业化管理</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530.00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530.00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2130234</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林业草原防灾减灾</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2130299</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其他林业和草原支出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284.00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284.00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交通运输支出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公路水路运输</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2140106</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公路养护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住房保障支出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22102</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住房改革支出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2210201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住房公积金</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灾害防治及应急管理支出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22401</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应急管理事务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2240106</w:t>
            </w:r>
          </w:p>
        </w:tc>
        <w:tc>
          <w:tcPr>
            <w:tcW w:w="99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安全监管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9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vAlign w:val="center"/>
          </w:tcPr>
          <w:p>
            <w:pPr>
              <w:pStyle w:val="9"/>
              <w:rPr>
                <w:sz w:val="22"/>
                <w:szCs w:val="22"/>
                <w:bdr w:val="none" w:color="auto" w:sz="0" w:space="0"/>
                <w:lang w:val="en-US"/>
              </w:rPr>
            </w:pPr>
            <w:r>
              <w:rPr>
                <w:sz w:val="22"/>
                <w:szCs w:val="22"/>
                <w:bdr w:val="none" w:color="auto" w:sz="0" w:space="0"/>
              </w:rPr>
              <w:t>注：本表反映部门本年度取得的各项收入情况。本表金额转换为万元时，因四舍五入可能存在尾数误差。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jc w:val="center"/>
              <w:rPr>
                <w:sz w:val="40"/>
                <w:szCs w:val="40"/>
                <w:bdr w:val="none" w:color="auto" w:sz="0" w:space="0"/>
                <w:lang w:val="en-US"/>
              </w:rPr>
            </w:pPr>
            <w:r>
              <w:rPr>
                <w:sz w:val="40"/>
                <w:szCs w:val="40"/>
                <w:bdr w:val="none" w:color="auto" w:sz="0" w:space="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25" w:type="pct"/>
            <w:shd w:val="clear"/>
            <w:vAlign w:val="center"/>
          </w:tcPr>
          <w:p>
            <w:pPr>
              <w:rPr>
                <w:rFonts w:hint="default" w:ascii="Times New Roman" w:hAnsi="Times New Roman" w:cs="Times New Roman"/>
                <w:sz w:val="20"/>
                <w:szCs w:val="20"/>
              </w:rPr>
            </w:pPr>
          </w:p>
        </w:tc>
        <w:tc>
          <w:tcPr>
            <w:tcW w:w="125" w:type="pct"/>
            <w:shd w:val="clear"/>
            <w:vAlign w:val="center"/>
          </w:tcPr>
          <w:p>
            <w:pPr>
              <w:rPr>
                <w:rFonts w:hint="default" w:ascii="Times New Roman" w:hAnsi="Times New Roman" w:cs="Times New Roman"/>
                <w:sz w:val="20"/>
                <w:szCs w:val="20"/>
              </w:rPr>
            </w:pPr>
          </w:p>
        </w:tc>
        <w:tc>
          <w:tcPr>
            <w:tcW w:w="125" w:type="pct"/>
            <w:shd w:val="clear"/>
            <w:vAlign w:val="center"/>
          </w:tcPr>
          <w:p>
            <w:pPr>
              <w:rPr>
                <w:rFonts w:hint="default" w:ascii="Times New Roman" w:hAnsi="Times New Roman" w:cs="Times New Roman"/>
                <w:sz w:val="20"/>
                <w:szCs w:val="20"/>
              </w:rPr>
            </w:pPr>
          </w:p>
        </w:tc>
        <w:tc>
          <w:tcPr>
            <w:tcW w:w="1105" w:type="pct"/>
            <w:shd w:val="clear"/>
            <w:vAlign w:val="center"/>
          </w:tcPr>
          <w:p>
            <w:pPr>
              <w:rPr>
                <w:rFonts w:hint="default" w:ascii="Times New Roman" w:hAnsi="Times New Roman" w:cs="Times New Roman"/>
                <w:sz w:val="20"/>
                <w:szCs w:val="20"/>
              </w:rPr>
            </w:pPr>
          </w:p>
        </w:tc>
        <w:tc>
          <w:tcPr>
            <w:tcW w:w="753" w:type="pct"/>
            <w:shd w:val="clear"/>
            <w:vAlign w:val="center"/>
          </w:tcPr>
          <w:p>
            <w:pPr>
              <w:rPr>
                <w:rFonts w:hint="default" w:ascii="Times New Roman" w:hAnsi="Times New Roman" w:cs="Times New Roman"/>
                <w:sz w:val="20"/>
                <w:szCs w:val="20"/>
              </w:rPr>
            </w:pPr>
          </w:p>
        </w:tc>
        <w:tc>
          <w:tcPr>
            <w:tcW w:w="552" w:type="pct"/>
            <w:shd w:val="clear"/>
            <w:vAlign w:val="center"/>
          </w:tcPr>
          <w:p>
            <w:pPr>
              <w:rPr>
                <w:rFonts w:hint="default" w:ascii="Times New Roman" w:hAnsi="Times New Roman" w:cs="Times New Roman"/>
                <w:sz w:val="20"/>
                <w:szCs w:val="20"/>
              </w:rPr>
            </w:pPr>
          </w:p>
        </w:tc>
        <w:tc>
          <w:tcPr>
            <w:tcW w:w="552" w:type="pct"/>
            <w:shd w:val="clear"/>
            <w:vAlign w:val="center"/>
          </w:tcPr>
          <w:p>
            <w:pPr>
              <w:rPr>
                <w:rFonts w:hint="default" w:ascii="Times New Roman" w:hAnsi="Times New Roman" w:cs="Times New Roman"/>
                <w:sz w:val="20"/>
                <w:szCs w:val="20"/>
              </w:rPr>
            </w:pPr>
          </w:p>
        </w:tc>
        <w:tc>
          <w:tcPr>
            <w:tcW w:w="552" w:type="pct"/>
            <w:shd w:val="clear"/>
            <w:vAlign w:val="center"/>
          </w:tcPr>
          <w:p>
            <w:pPr>
              <w:rPr>
                <w:rFonts w:hint="default" w:ascii="Times New Roman" w:hAnsi="Times New Roman" w:cs="Times New Roman"/>
                <w:sz w:val="20"/>
                <w:szCs w:val="20"/>
              </w:rPr>
            </w:pPr>
          </w:p>
        </w:tc>
        <w:tc>
          <w:tcPr>
            <w:tcW w:w="1105"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03</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893" w:type="pct"/>
            <w:gridSpan w:val="8"/>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1105"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375"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375"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375"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2,446.98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3,643.17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抚恤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2080801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死亡抚恤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节能环保支出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自然生态保护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2110499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其他自然生态保护支出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天然林保护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2110501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森林管护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农林水支出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2,267.46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2,546.43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农业农村</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2130105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农垦运行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林业和草原</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4,766.90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2,267.46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2,499.43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2,199.64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2,199.64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事业机构</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67.82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67.82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森林资源培育</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1,158.76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1,158.76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森林生态效益补偿</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406.69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406.69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2130211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动植物保护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79.99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79.99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2130221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产业化管理</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530.00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530.00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2130234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林业草原防灾减灾</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其他林业和草原支出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284.00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284.00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交通运输支出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公路水路运输</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2140106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公路养护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住房保障支出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住房改革支出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住房公积金</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灾害防治及应急管理支出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应急管理事务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2240106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安全监管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rPr>
                <w:sz w:val="22"/>
                <w:szCs w:val="22"/>
                <w:bdr w:val="none" w:color="auto" w:sz="0" w:space="0"/>
                <w:lang w:val="en-US"/>
              </w:rPr>
            </w:pPr>
            <w:r>
              <w:rPr>
                <w:sz w:val="22"/>
                <w:szCs w:val="22"/>
                <w:bdr w:val="none" w:color="auto" w:sz="0" w:space="0"/>
              </w:rPr>
              <w:t>注：本表反映部门本年度各项支出情况。本表金额转换为万元时，因四舍五入可能存在尾数误差。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5"/>
        <w:gridCol w:w="529"/>
        <w:gridCol w:w="1559"/>
        <w:gridCol w:w="3692"/>
        <w:gridCol w:w="529"/>
        <w:gridCol w:w="2130"/>
        <w:gridCol w:w="1463"/>
        <w:gridCol w:w="1462"/>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jc w:val="center"/>
              <w:rPr>
                <w:sz w:val="40"/>
                <w:szCs w:val="40"/>
                <w:bdr w:val="none" w:color="auto" w:sz="0" w:space="0"/>
                <w:lang w:val="en-US"/>
              </w:rPr>
            </w:pPr>
            <w:r>
              <w:rPr>
                <w:sz w:val="40"/>
                <w:szCs w:val="40"/>
                <w:bdr w:val="none" w:color="auto" w:sz="0" w:space="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shd w:val="clear"/>
            <w:vAlign w:val="center"/>
          </w:tcPr>
          <w:p>
            <w:pPr>
              <w:rPr>
                <w:rFonts w:hint="default" w:ascii="Times New Roman" w:hAnsi="Times New Roman" w:cs="Times New Roman"/>
                <w:sz w:val="20"/>
                <w:szCs w:val="20"/>
              </w:rPr>
            </w:pPr>
          </w:p>
        </w:tc>
        <w:tc>
          <w:tcPr>
            <w:tcW w:w="165" w:type="pct"/>
            <w:shd w:val="clear"/>
            <w:vAlign w:val="center"/>
          </w:tcPr>
          <w:p>
            <w:pPr>
              <w:rPr>
                <w:rFonts w:hint="default" w:ascii="Times New Roman" w:hAnsi="Times New Roman" w:cs="Times New Roman"/>
                <w:sz w:val="20"/>
                <w:szCs w:val="20"/>
              </w:rPr>
            </w:pPr>
          </w:p>
        </w:tc>
        <w:tc>
          <w:tcPr>
            <w:tcW w:w="486" w:type="pct"/>
            <w:shd w:val="clear"/>
            <w:vAlign w:val="center"/>
          </w:tcPr>
          <w:p>
            <w:pPr>
              <w:rPr>
                <w:rFonts w:hint="default" w:ascii="Times New Roman" w:hAnsi="Times New Roman" w:cs="Times New Roman"/>
                <w:sz w:val="20"/>
                <w:szCs w:val="20"/>
              </w:rPr>
            </w:pPr>
          </w:p>
        </w:tc>
        <w:tc>
          <w:tcPr>
            <w:tcW w:w="1151" w:type="pct"/>
            <w:shd w:val="clear"/>
            <w:vAlign w:val="center"/>
          </w:tcPr>
          <w:p>
            <w:pPr>
              <w:rPr>
                <w:rFonts w:hint="default" w:ascii="Times New Roman" w:hAnsi="Times New Roman" w:cs="Times New Roman"/>
                <w:sz w:val="20"/>
                <w:szCs w:val="20"/>
              </w:rPr>
            </w:pPr>
          </w:p>
        </w:tc>
        <w:tc>
          <w:tcPr>
            <w:tcW w:w="165" w:type="pct"/>
            <w:shd w:val="clear"/>
            <w:vAlign w:val="center"/>
          </w:tcPr>
          <w:p>
            <w:pPr>
              <w:rPr>
                <w:rFonts w:hint="default" w:ascii="Times New Roman" w:hAnsi="Times New Roman" w:cs="Times New Roman"/>
                <w:sz w:val="20"/>
                <w:szCs w:val="20"/>
              </w:rPr>
            </w:pPr>
          </w:p>
        </w:tc>
        <w:tc>
          <w:tcPr>
            <w:tcW w:w="664" w:type="pct"/>
            <w:shd w:val="clear"/>
            <w:vAlign w:val="center"/>
          </w:tcPr>
          <w:p>
            <w:pPr>
              <w:rPr>
                <w:rFonts w:hint="default" w:ascii="Times New Roman" w:hAnsi="Times New Roman" w:cs="Times New Roman"/>
                <w:sz w:val="20"/>
                <w:szCs w:val="20"/>
              </w:rPr>
            </w:pPr>
          </w:p>
        </w:tc>
        <w:tc>
          <w:tcPr>
            <w:tcW w:w="455" w:type="pct"/>
            <w:shd w:val="clear"/>
            <w:vAlign w:val="center"/>
          </w:tcPr>
          <w:p>
            <w:pPr>
              <w:rPr>
                <w:rFonts w:hint="default" w:ascii="Times New Roman" w:hAnsi="Times New Roman" w:cs="Times New Roman"/>
                <w:sz w:val="20"/>
                <w:szCs w:val="20"/>
              </w:rPr>
            </w:pPr>
          </w:p>
        </w:tc>
        <w:tc>
          <w:tcPr>
            <w:tcW w:w="911"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04</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086" w:type="pct"/>
            <w:gridSpan w:val="7"/>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911"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6,090.16</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二、外交支出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三、国防支出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五、教育支出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5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rPr>
                <w:sz w:val="22"/>
                <w:szCs w:val="22"/>
                <w:bdr w:val="none" w:color="auto" w:sz="0" w:space="0"/>
                <w:lang w:val="en-US"/>
              </w:rPr>
            </w:pPr>
            <w:r>
              <w:rPr>
                <w:sz w:val="22"/>
                <w:szCs w:val="22"/>
                <w:bdr w:val="none" w:color="auto" w:sz="0" w:space="0"/>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3"/>
        <w:gridCol w:w="453"/>
        <w:gridCol w:w="453"/>
        <w:gridCol w:w="5400"/>
        <w:gridCol w:w="3093"/>
        <w:gridCol w:w="3092"/>
        <w:gridCol w:w="3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jc w:val="center"/>
              <w:rPr>
                <w:sz w:val="40"/>
                <w:szCs w:val="40"/>
                <w:bdr w:val="none" w:color="auto" w:sz="0" w:space="0"/>
                <w:lang w:val="en-US"/>
              </w:rPr>
            </w:pPr>
            <w:r>
              <w:rPr>
                <w:sz w:val="40"/>
                <w:szCs w:val="40"/>
                <w:bdr w:val="none" w:color="auto" w:sz="0" w:space="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1" w:type="pct"/>
            <w:shd w:val="clear"/>
            <w:vAlign w:val="center"/>
          </w:tcPr>
          <w:p>
            <w:pPr>
              <w:rPr>
                <w:rFonts w:hint="default" w:ascii="Times New Roman" w:hAnsi="Times New Roman" w:cs="Times New Roman"/>
                <w:sz w:val="20"/>
                <w:szCs w:val="20"/>
              </w:rPr>
            </w:pPr>
          </w:p>
        </w:tc>
        <w:tc>
          <w:tcPr>
            <w:tcW w:w="141" w:type="pct"/>
            <w:shd w:val="clear"/>
            <w:vAlign w:val="center"/>
          </w:tcPr>
          <w:p>
            <w:pPr>
              <w:rPr>
                <w:rFonts w:hint="default" w:ascii="Times New Roman" w:hAnsi="Times New Roman" w:cs="Times New Roman"/>
                <w:sz w:val="20"/>
                <w:szCs w:val="20"/>
              </w:rPr>
            </w:pPr>
          </w:p>
        </w:tc>
        <w:tc>
          <w:tcPr>
            <w:tcW w:w="141" w:type="pct"/>
            <w:shd w:val="clear"/>
            <w:vAlign w:val="center"/>
          </w:tcPr>
          <w:p>
            <w:pPr>
              <w:rPr>
                <w:rFonts w:hint="default" w:ascii="Times New Roman" w:hAnsi="Times New Roman" w:cs="Times New Roman"/>
                <w:sz w:val="20"/>
                <w:szCs w:val="20"/>
              </w:rPr>
            </w:pPr>
          </w:p>
        </w:tc>
        <w:tc>
          <w:tcPr>
            <w:tcW w:w="1682" w:type="pct"/>
            <w:shd w:val="clear"/>
            <w:vAlign w:val="center"/>
          </w:tcPr>
          <w:p>
            <w:pPr>
              <w:rPr>
                <w:rFonts w:hint="default" w:ascii="Times New Roman" w:hAnsi="Times New Roman" w:cs="Times New Roman"/>
                <w:sz w:val="20"/>
                <w:szCs w:val="20"/>
              </w:rPr>
            </w:pPr>
          </w:p>
        </w:tc>
        <w:tc>
          <w:tcPr>
            <w:tcW w:w="964" w:type="pct"/>
            <w:shd w:val="clear"/>
            <w:vAlign w:val="center"/>
          </w:tcPr>
          <w:p>
            <w:pPr>
              <w:rPr>
                <w:rFonts w:hint="default" w:ascii="Times New Roman" w:hAnsi="Times New Roman" w:cs="Times New Roman"/>
                <w:sz w:val="20"/>
                <w:szCs w:val="20"/>
              </w:rPr>
            </w:pPr>
          </w:p>
        </w:tc>
        <w:tc>
          <w:tcPr>
            <w:tcW w:w="1928"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05</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071" w:type="pct"/>
            <w:gridSpan w:val="5"/>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1928"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6,090.16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2,446.98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3,643.17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20808</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抚恤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2080801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死亡抚恤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节能环保支出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1,076.24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21104</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自然生态保护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2110499</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其他自然生态保护支出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21105</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天然林保护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2110501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森林管护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农林水支出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4,813.90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2,267.46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2,546.43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农业农村</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2130105</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农垦运行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林业和草原</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4,766.90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2,267.46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2,499.43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2,199.64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2,199.64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2130204</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事业机构</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67.82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67.82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2130205</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森林资源培育</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1,158.76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1,158.76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2130209</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森林生态效益补偿</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406.69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2130211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动植物保护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79.99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2130221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产业化管理</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530.00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2130234</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林业草原防灾减灾</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2130299</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其他林业和草原支出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284.00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交通运输支出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公路水路运输</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2140106</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公路养护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住房保障支出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22102</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住房改革支出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2210201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住房公积金</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灾害防治及应急管理支出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22401</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应急管理事务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2240106</w:t>
            </w:r>
          </w:p>
        </w:tc>
        <w:tc>
          <w:tcPr>
            <w:tcW w:w="1682"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安全监管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7"/>
            <w:shd w:val="clear"/>
            <w:vAlign w:val="center"/>
          </w:tcPr>
          <w:p>
            <w:pPr>
              <w:pStyle w:val="9"/>
              <w:rPr>
                <w:sz w:val="22"/>
                <w:szCs w:val="22"/>
                <w:bdr w:val="none" w:color="auto" w:sz="0" w:space="0"/>
                <w:lang w:val="en-US"/>
              </w:rPr>
            </w:pPr>
            <w:r>
              <w:rPr>
                <w:sz w:val="22"/>
                <w:szCs w:val="22"/>
                <w:bdr w:val="none" w:color="auto" w:sz="0" w:space="0"/>
              </w:rPr>
              <w:t>注：本表反映部门本年度一般公共预算财政拨款支出情况。本表金额转换为万元时，因四舍五入可能存在尾数误差。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9"/>
        <w:gridCol w:w="3380"/>
        <w:gridCol w:w="1726"/>
        <w:gridCol w:w="718"/>
        <w:gridCol w:w="2660"/>
        <w:gridCol w:w="1726"/>
        <w:gridCol w:w="718"/>
        <w:gridCol w:w="2659"/>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jc w:val="center"/>
              <w:rPr>
                <w:sz w:val="40"/>
                <w:szCs w:val="40"/>
                <w:bdr w:val="none" w:color="auto" w:sz="0" w:space="0"/>
                <w:lang w:val="en-US"/>
              </w:rPr>
            </w:pPr>
            <w:r>
              <w:rPr>
                <w:sz w:val="40"/>
                <w:szCs w:val="40"/>
                <w:bdr w:val="none" w:color="auto" w:sz="0" w:space="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shd w:val="clear"/>
            <w:vAlign w:val="center"/>
          </w:tcPr>
          <w:p>
            <w:pPr>
              <w:rPr>
                <w:rFonts w:hint="default" w:ascii="Times New Roman" w:hAnsi="Times New Roman" w:cs="Times New Roman"/>
                <w:sz w:val="20"/>
                <w:szCs w:val="20"/>
              </w:rPr>
            </w:pPr>
          </w:p>
        </w:tc>
        <w:tc>
          <w:tcPr>
            <w:tcW w:w="1053" w:type="pct"/>
            <w:shd w:val="clear"/>
            <w:vAlign w:val="center"/>
          </w:tcPr>
          <w:p>
            <w:pPr>
              <w:rPr>
                <w:rFonts w:hint="default" w:ascii="Times New Roman" w:hAnsi="Times New Roman" w:cs="Times New Roman"/>
                <w:sz w:val="20"/>
                <w:szCs w:val="20"/>
              </w:rPr>
            </w:pPr>
          </w:p>
        </w:tc>
        <w:tc>
          <w:tcPr>
            <w:tcW w:w="538" w:type="pct"/>
            <w:shd w:val="clear"/>
            <w:vAlign w:val="center"/>
          </w:tcPr>
          <w:p>
            <w:pPr>
              <w:rPr>
                <w:rFonts w:hint="default" w:ascii="Times New Roman" w:hAnsi="Times New Roman" w:cs="Times New Roman"/>
                <w:sz w:val="20"/>
                <w:szCs w:val="20"/>
              </w:rPr>
            </w:pPr>
          </w:p>
        </w:tc>
        <w:tc>
          <w:tcPr>
            <w:tcW w:w="224" w:type="pct"/>
            <w:shd w:val="clear"/>
            <w:vAlign w:val="center"/>
          </w:tcPr>
          <w:p>
            <w:pPr>
              <w:rPr>
                <w:rFonts w:hint="default" w:ascii="Times New Roman" w:hAnsi="Times New Roman" w:cs="Times New Roman"/>
                <w:sz w:val="20"/>
                <w:szCs w:val="20"/>
              </w:rPr>
            </w:pPr>
          </w:p>
        </w:tc>
        <w:tc>
          <w:tcPr>
            <w:tcW w:w="828" w:type="pct"/>
            <w:shd w:val="clear"/>
            <w:vAlign w:val="center"/>
          </w:tcPr>
          <w:p>
            <w:pPr>
              <w:rPr>
                <w:rFonts w:hint="default" w:ascii="Times New Roman" w:hAnsi="Times New Roman" w:cs="Times New Roman"/>
                <w:sz w:val="20"/>
                <w:szCs w:val="20"/>
              </w:rPr>
            </w:pPr>
          </w:p>
        </w:tc>
        <w:tc>
          <w:tcPr>
            <w:tcW w:w="538" w:type="pct"/>
            <w:shd w:val="clear"/>
            <w:vAlign w:val="center"/>
          </w:tcPr>
          <w:p>
            <w:pPr>
              <w:rPr>
                <w:rFonts w:hint="default" w:ascii="Times New Roman" w:hAnsi="Times New Roman" w:cs="Times New Roman"/>
                <w:sz w:val="20"/>
                <w:szCs w:val="20"/>
              </w:rPr>
            </w:pPr>
          </w:p>
        </w:tc>
        <w:tc>
          <w:tcPr>
            <w:tcW w:w="224" w:type="pct"/>
            <w:shd w:val="clear"/>
            <w:vAlign w:val="center"/>
          </w:tcPr>
          <w:p>
            <w:pPr>
              <w:rPr>
                <w:rFonts w:hint="default" w:ascii="Times New Roman" w:hAnsi="Times New Roman" w:cs="Times New Roman"/>
                <w:sz w:val="20"/>
                <w:szCs w:val="20"/>
              </w:rPr>
            </w:pPr>
          </w:p>
        </w:tc>
        <w:tc>
          <w:tcPr>
            <w:tcW w:w="1366" w:type="pct"/>
            <w:gridSpan w:val="2"/>
            <w:shd w:val="clear"/>
            <w:vAlign w:val="center"/>
          </w:tcPr>
          <w:p>
            <w:pPr>
              <w:pStyle w:val="9"/>
              <w:jc w:val="right"/>
              <w:rPr>
                <w:sz w:val="18"/>
                <w:szCs w:val="18"/>
                <w:bdr w:val="none" w:color="auto" w:sz="0" w:space="0"/>
                <w:lang w:val="en-US"/>
              </w:rPr>
            </w:pPr>
            <w:r>
              <w:rPr>
                <w:sz w:val="18"/>
                <w:szCs w:val="18"/>
                <w:bdr w:val="none" w:color="auto" w:sz="0" w:space="0"/>
              </w:rPr>
              <w:t>公开</w:t>
            </w:r>
            <w:r>
              <w:rPr>
                <w:sz w:val="18"/>
                <w:szCs w:val="18"/>
                <w:bdr w:val="none" w:color="auto" w:sz="0" w:space="0"/>
                <w:lang w:val="en-US"/>
              </w:rPr>
              <w:t>06</w:t>
            </w:r>
            <w:r>
              <w:rPr>
                <w:sz w:val="18"/>
                <w:szCs w:val="18"/>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632" w:type="pct"/>
            <w:gridSpan w:val="7"/>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1366" w:type="pct"/>
            <w:gridSpan w:val="2"/>
            <w:shd w:val="clear"/>
            <w:vAlign w:val="center"/>
          </w:tcPr>
          <w:p>
            <w:pPr>
              <w:pStyle w:val="9"/>
              <w:jc w:val="right"/>
              <w:rPr>
                <w:sz w:val="18"/>
                <w:szCs w:val="18"/>
                <w:bdr w:val="none" w:color="auto" w:sz="0" w:space="0"/>
                <w:lang w:val="en-US"/>
              </w:rPr>
            </w:pPr>
            <w:r>
              <w:rPr>
                <w:sz w:val="18"/>
                <w:szCs w:val="18"/>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人员经费</w:t>
            </w:r>
          </w:p>
        </w:tc>
        <w:tc>
          <w:tcPr>
            <w:tcW w:w="3182"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lang w:val="en-US"/>
              </w:rPr>
              <w:t>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2,145.65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lang w:val="en-US"/>
              </w:rPr>
              <w:t>302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254.34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lang w:val="en-US"/>
              </w:rPr>
              <w:t>307</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基本工资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754.80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办公费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20.50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30701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津贴补贴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310.81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印刷费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30702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奖金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42.09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30203</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咨询费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lang w:val="en-US"/>
              </w:rPr>
              <w:t>310</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rPr>
              <w:t>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伙食补助费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30204</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手续费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绩效工资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183.20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30205</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242.54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30206</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31003</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34.24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30207</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邮电费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31005</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132.26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30208</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取暖费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31006</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大型修缮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30209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物业管理费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31007</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30112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27.93</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差旅费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31008</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物资储备</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30113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住房公积金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139.25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31009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土地补偿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30114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医疗费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30213</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维修（护）费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31010</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安置补助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30199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278.52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30214</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租赁费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31011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lang w:val="en-US"/>
              </w:rPr>
              <w:t>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46.99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30215</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会议费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31012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拆迁补偿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离休费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30216</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培训费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2.00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31013</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退休费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30217</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公务接待费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4.98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31019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退职（役）费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30218</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专用材料费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3.00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31021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抚恤金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40.27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30224</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被装购置费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31022</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30305</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生活补助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6.72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30225</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专用燃料费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31099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救济费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30226</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劳务费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lang w:val="en-US"/>
              </w:rPr>
              <w:t>399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b/>
                <w:bCs/>
                <w:sz w:val="22"/>
                <w:szCs w:val="22"/>
                <w:bdr w:val="none" w:color="auto" w:sz="0" w:space="0"/>
                <w:lang w:val="en-US"/>
              </w:rPr>
            </w:pPr>
            <w:r>
              <w:rPr>
                <w:b/>
                <w:bCs/>
                <w:sz w:val="22"/>
                <w:szCs w:val="22"/>
                <w:bdr w:val="none" w:color="auto" w:sz="0" w:space="0"/>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医疗费补助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30227</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委托业务费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39906</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赠与</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助学金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30228</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工会经费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98.40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39907</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奖励金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30229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福利费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39908</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30231</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9.28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39999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30239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86.26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30399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30240</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lang w:val="en-US"/>
              </w:rPr>
              <w:t>30299</w:t>
            </w: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pStyle w:val="9"/>
              <w:rPr>
                <w:sz w:val="22"/>
                <w:szCs w:val="22"/>
                <w:bdr w:val="none" w:color="auto" w:sz="0" w:space="0"/>
                <w:lang w:val="en-US"/>
              </w:rPr>
            </w:pPr>
            <w:r>
              <w:rPr>
                <w:sz w:val="22"/>
                <w:szCs w:val="22"/>
                <w:bdr w:val="none" w:color="auto" w:sz="0" w:space="0"/>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12.92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2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2,192.64</w:t>
            </w:r>
          </w:p>
        </w:tc>
        <w:tc>
          <w:tcPr>
            <w:tcW w:w="2645" w:type="pct"/>
            <w:gridSpan w:val="5"/>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b/>
                <w:bCs/>
                <w:sz w:val="22"/>
                <w:szCs w:val="22"/>
                <w:bdr w:val="none" w:color="auto" w:sz="0" w:space="0"/>
                <w:lang w:val="en-US"/>
              </w:rPr>
            </w:pPr>
            <w:r>
              <w:rPr>
                <w:b/>
                <w:bCs/>
                <w:sz w:val="22"/>
                <w:szCs w:val="22"/>
                <w:bdr w:val="none" w:color="auto" w:sz="0" w:space="0"/>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b/>
                <w:bCs/>
                <w:sz w:val="22"/>
                <w:szCs w:val="22"/>
                <w:bdr w:val="none" w:color="auto" w:sz="0" w:space="0"/>
                <w:lang w:val="en-US"/>
              </w:rPr>
            </w:pPr>
            <w:r>
              <w:rPr>
                <w:b/>
                <w:bCs/>
                <w:sz w:val="22"/>
                <w:szCs w:val="22"/>
                <w:bdr w:val="none" w:color="auto" w:sz="0" w:space="0"/>
                <w:lang w:val="en-US"/>
              </w:rPr>
              <w:t>254.34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rPr>
                <w:sz w:val="22"/>
                <w:szCs w:val="22"/>
                <w:bdr w:val="none" w:color="auto" w:sz="0" w:space="0"/>
                <w:lang w:val="en-US"/>
              </w:rPr>
            </w:pPr>
            <w:r>
              <w:rPr>
                <w:sz w:val="22"/>
                <w:szCs w:val="22"/>
                <w:bdr w:val="none" w:color="auto" w:sz="0" w:space="0"/>
              </w:rPr>
              <w:t>注：本表反映部门本年度一般公共预算财政拨款基本支出明细情况。本表金额转换为万元时，因四舍五入可能存在尾数误差。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6"/>
        <w:gridCol w:w="1336"/>
        <w:gridCol w:w="1336"/>
        <w:gridCol w:w="1336"/>
        <w:gridCol w:w="1336"/>
        <w:gridCol w:w="1336"/>
        <w:gridCol w:w="1336"/>
        <w:gridCol w:w="1336"/>
        <w:gridCol w:w="1336"/>
        <w:gridCol w:w="1336"/>
        <w:gridCol w:w="1336"/>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2"/>
            <w:shd w:val="clear"/>
            <w:vAlign w:val="center"/>
          </w:tcPr>
          <w:p>
            <w:pPr>
              <w:pStyle w:val="9"/>
              <w:jc w:val="center"/>
              <w:rPr>
                <w:sz w:val="40"/>
                <w:szCs w:val="40"/>
                <w:bdr w:val="none" w:color="auto" w:sz="0" w:space="0"/>
                <w:lang w:val="en-US"/>
              </w:rPr>
            </w:pPr>
            <w:r>
              <w:rPr>
                <w:sz w:val="40"/>
                <w:szCs w:val="40"/>
                <w:bdr w:val="none" w:color="auto" w:sz="0" w:space="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416" w:type="pct"/>
            <w:shd w:val="clear"/>
            <w:vAlign w:val="center"/>
          </w:tcPr>
          <w:p>
            <w:pPr>
              <w:rPr>
                <w:rFonts w:hint="default" w:ascii="Times New Roman" w:hAnsi="Times New Roman" w:cs="Times New Roman"/>
                <w:sz w:val="20"/>
                <w:szCs w:val="20"/>
              </w:rPr>
            </w:pPr>
          </w:p>
        </w:tc>
        <w:tc>
          <w:tcPr>
            <w:tcW w:w="833"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07</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166" w:type="pct"/>
            <w:gridSpan w:val="10"/>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833"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7</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9</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19.28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9.28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9.28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10.00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14.26</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9.28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9.28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jc w:val="right"/>
              <w:rPr>
                <w:sz w:val="22"/>
                <w:szCs w:val="22"/>
                <w:bdr w:val="none" w:color="auto" w:sz="0" w:space="0"/>
                <w:lang w:val="en-US"/>
              </w:rPr>
            </w:pPr>
            <w:r>
              <w:rPr>
                <w:sz w:val="22"/>
                <w:szCs w:val="22"/>
                <w:bdr w:val="none" w:color="auto" w:sz="0" w:space="0"/>
                <w:lang w:val="en-US"/>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vAlign w:val="center"/>
          </w:tcPr>
          <w:p>
            <w:pPr>
              <w:pStyle w:val="9"/>
              <w:rPr>
                <w:sz w:val="22"/>
                <w:szCs w:val="22"/>
                <w:bdr w:val="none" w:color="auto" w:sz="0" w:space="0"/>
                <w:lang w:val="en-US"/>
              </w:rPr>
            </w:pPr>
            <w:r>
              <w:rPr>
                <w:sz w:val="22"/>
                <w:szCs w:val="22"/>
                <w:bdr w:val="none" w:color="auto" w:sz="0" w:space="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3"/>
        <w:gridCol w:w="333"/>
        <w:gridCol w:w="3461"/>
        <w:gridCol w:w="1181"/>
        <w:gridCol w:w="1971"/>
        <w:gridCol w:w="1075"/>
        <w:gridCol w:w="1518"/>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jc w:val="center"/>
              <w:rPr>
                <w:sz w:val="40"/>
                <w:szCs w:val="40"/>
                <w:bdr w:val="none" w:color="auto" w:sz="0" w:space="0"/>
                <w:lang w:val="en-US"/>
              </w:rPr>
            </w:pPr>
            <w:r>
              <w:rPr>
                <w:sz w:val="40"/>
                <w:szCs w:val="40"/>
                <w:bdr w:val="none" w:color="auto" w:sz="0" w:space="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04" w:type="pct"/>
            <w:shd w:val="clear"/>
            <w:vAlign w:val="center"/>
          </w:tcPr>
          <w:p>
            <w:pPr>
              <w:rPr>
                <w:rFonts w:hint="default" w:ascii="Times New Roman" w:hAnsi="Times New Roman" w:cs="Times New Roman"/>
                <w:sz w:val="20"/>
                <w:szCs w:val="20"/>
              </w:rPr>
            </w:pPr>
          </w:p>
        </w:tc>
        <w:tc>
          <w:tcPr>
            <w:tcW w:w="104" w:type="pct"/>
            <w:shd w:val="clear"/>
            <w:vAlign w:val="center"/>
          </w:tcPr>
          <w:p>
            <w:pPr>
              <w:rPr>
                <w:rFonts w:hint="default" w:ascii="Times New Roman" w:hAnsi="Times New Roman" w:cs="Times New Roman"/>
                <w:sz w:val="20"/>
                <w:szCs w:val="20"/>
              </w:rPr>
            </w:pPr>
          </w:p>
        </w:tc>
        <w:tc>
          <w:tcPr>
            <w:tcW w:w="104" w:type="pct"/>
            <w:shd w:val="clear"/>
            <w:vAlign w:val="center"/>
          </w:tcPr>
          <w:p>
            <w:pPr>
              <w:rPr>
                <w:rFonts w:hint="default" w:ascii="Times New Roman" w:hAnsi="Times New Roman" w:cs="Times New Roman"/>
                <w:sz w:val="20"/>
                <w:szCs w:val="20"/>
              </w:rPr>
            </w:pPr>
          </w:p>
        </w:tc>
        <w:tc>
          <w:tcPr>
            <w:tcW w:w="1078" w:type="pct"/>
            <w:shd w:val="clear"/>
            <w:vAlign w:val="center"/>
          </w:tcPr>
          <w:p>
            <w:pPr>
              <w:rPr>
                <w:rFonts w:hint="default" w:ascii="Times New Roman" w:hAnsi="Times New Roman" w:cs="Times New Roman"/>
                <w:sz w:val="20"/>
                <w:szCs w:val="20"/>
              </w:rPr>
            </w:pPr>
          </w:p>
        </w:tc>
        <w:tc>
          <w:tcPr>
            <w:tcW w:w="368" w:type="pct"/>
            <w:shd w:val="clear"/>
            <w:vAlign w:val="center"/>
          </w:tcPr>
          <w:p>
            <w:pPr>
              <w:rPr>
                <w:rFonts w:hint="default" w:ascii="Times New Roman" w:hAnsi="Times New Roman" w:cs="Times New Roman"/>
                <w:sz w:val="20"/>
                <w:szCs w:val="20"/>
              </w:rPr>
            </w:pPr>
          </w:p>
        </w:tc>
        <w:tc>
          <w:tcPr>
            <w:tcW w:w="614" w:type="pct"/>
            <w:shd w:val="clear"/>
            <w:vAlign w:val="center"/>
          </w:tcPr>
          <w:p>
            <w:pPr>
              <w:rPr>
                <w:rFonts w:hint="default" w:ascii="Times New Roman" w:hAnsi="Times New Roman" w:cs="Times New Roman"/>
                <w:sz w:val="20"/>
                <w:szCs w:val="20"/>
              </w:rPr>
            </w:pPr>
          </w:p>
        </w:tc>
        <w:tc>
          <w:tcPr>
            <w:tcW w:w="335" w:type="pct"/>
            <w:shd w:val="clear"/>
            <w:vAlign w:val="center"/>
          </w:tcPr>
          <w:p>
            <w:pPr>
              <w:rPr>
                <w:rFonts w:hint="default" w:ascii="Times New Roman" w:hAnsi="Times New Roman" w:cs="Times New Roman"/>
                <w:sz w:val="20"/>
                <w:szCs w:val="20"/>
              </w:rPr>
            </w:pPr>
          </w:p>
        </w:tc>
        <w:tc>
          <w:tcPr>
            <w:tcW w:w="473" w:type="pct"/>
            <w:shd w:val="clear"/>
            <w:vAlign w:val="center"/>
          </w:tcPr>
          <w:p>
            <w:pPr>
              <w:rPr>
                <w:rFonts w:hint="default" w:ascii="Times New Roman" w:hAnsi="Times New Roman" w:cs="Times New Roman"/>
                <w:sz w:val="20"/>
                <w:szCs w:val="20"/>
              </w:rPr>
            </w:pPr>
          </w:p>
        </w:tc>
        <w:tc>
          <w:tcPr>
            <w:tcW w:w="1816"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08</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82" w:type="pct"/>
            <w:gridSpan w:val="8"/>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1816"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4</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5</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rPr>
                <w:sz w:val="22"/>
                <w:szCs w:val="22"/>
                <w:bdr w:val="none" w:color="auto" w:sz="0" w:space="0"/>
                <w:lang w:val="en-US"/>
              </w:rPr>
            </w:pPr>
            <w:r>
              <w:rPr>
                <w:sz w:val="22"/>
                <w:szCs w:val="22"/>
                <w:bdr w:val="none" w:color="auto" w:sz="0" w:space="0"/>
              </w:rPr>
              <w:t>注：本表反映部门本年度政府性基金预算财政拨款收入、支出及结转和结余情况。本单位没有政府性基金收入，也没有使用政府性基金安排的支出，故本表无数据。</w:t>
            </w:r>
          </w:p>
        </w:tc>
      </w:tr>
    </w:tbl>
    <w:p>
      <w:pPr>
        <w:spacing w:after="2" w:afterAutospacing="0"/>
        <w:jc w:val="center"/>
        <w:rPr>
          <w:color w:val="000000"/>
          <w:szCs w:val="21"/>
          <w:lang w:val="en-US"/>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30"/>
        <w:gridCol w:w="530"/>
        <w:gridCol w:w="530"/>
        <w:gridCol w:w="6331"/>
        <w:gridCol w:w="2706"/>
        <w:gridCol w:w="2704"/>
        <w:gridCol w:w="2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5000" w:type="pct"/>
            <w:gridSpan w:val="7"/>
            <w:shd w:val="clear"/>
            <w:vAlign w:val="center"/>
          </w:tcPr>
          <w:p>
            <w:pPr>
              <w:pStyle w:val="9"/>
              <w:jc w:val="center"/>
              <w:rPr>
                <w:sz w:val="40"/>
                <w:szCs w:val="40"/>
                <w:bdr w:val="none" w:color="auto" w:sz="0" w:space="0"/>
                <w:lang w:val="en-US"/>
              </w:rPr>
            </w:pPr>
            <w:r>
              <w:rPr>
                <w:sz w:val="40"/>
                <w:szCs w:val="40"/>
                <w:bdr w:val="none" w:color="auto" w:sz="0" w:space="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65" w:type="pct"/>
            <w:shd w:val="clear"/>
            <w:vAlign w:val="center"/>
          </w:tcPr>
          <w:p>
            <w:pPr>
              <w:rPr>
                <w:rFonts w:hint="default" w:ascii="Times New Roman" w:hAnsi="Times New Roman" w:cs="Times New Roman"/>
                <w:sz w:val="20"/>
                <w:szCs w:val="20"/>
              </w:rPr>
            </w:pPr>
          </w:p>
        </w:tc>
        <w:tc>
          <w:tcPr>
            <w:tcW w:w="165" w:type="pct"/>
            <w:shd w:val="clear"/>
            <w:vAlign w:val="center"/>
          </w:tcPr>
          <w:p>
            <w:pPr>
              <w:rPr>
                <w:rFonts w:hint="default" w:ascii="Times New Roman" w:hAnsi="Times New Roman" w:cs="Times New Roman"/>
                <w:sz w:val="20"/>
                <w:szCs w:val="20"/>
              </w:rPr>
            </w:pPr>
          </w:p>
        </w:tc>
        <w:tc>
          <w:tcPr>
            <w:tcW w:w="165" w:type="pct"/>
            <w:shd w:val="clear"/>
            <w:vAlign w:val="center"/>
          </w:tcPr>
          <w:p>
            <w:pPr>
              <w:rPr>
                <w:rFonts w:hint="default" w:ascii="Times New Roman" w:hAnsi="Times New Roman" w:cs="Times New Roman"/>
                <w:sz w:val="20"/>
                <w:szCs w:val="20"/>
              </w:rPr>
            </w:pPr>
          </w:p>
        </w:tc>
        <w:tc>
          <w:tcPr>
            <w:tcW w:w="1971" w:type="pct"/>
            <w:shd w:val="clear"/>
            <w:vAlign w:val="center"/>
          </w:tcPr>
          <w:p>
            <w:pPr>
              <w:rPr>
                <w:rFonts w:hint="default" w:ascii="Times New Roman" w:hAnsi="Times New Roman" w:cs="Times New Roman"/>
                <w:sz w:val="20"/>
                <w:szCs w:val="20"/>
              </w:rPr>
            </w:pPr>
          </w:p>
        </w:tc>
        <w:tc>
          <w:tcPr>
            <w:tcW w:w="843" w:type="pct"/>
            <w:shd w:val="clear"/>
            <w:vAlign w:val="center"/>
          </w:tcPr>
          <w:p>
            <w:pPr>
              <w:rPr>
                <w:rFonts w:hint="default" w:ascii="Times New Roman" w:hAnsi="Times New Roman" w:cs="Times New Roman"/>
                <w:sz w:val="20"/>
                <w:szCs w:val="20"/>
              </w:rPr>
            </w:pPr>
          </w:p>
        </w:tc>
        <w:tc>
          <w:tcPr>
            <w:tcW w:w="1686" w:type="pct"/>
            <w:gridSpan w:val="2"/>
            <w:shd w:val="clear"/>
            <w:vAlign w:val="center"/>
          </w:tcPr>
          <w:p>
            <w:pPr>
              <w:pStyle w:val="9"/>
              <w:jc w:val="right"/>
              <w:rPr>
                <w:sz w:val="20"/>
                <w:szCs w:val="20"/>
                <w:bdr w:val="none" w:color="auto" w:sz="0" w:space="0"/>
                <w:lang w:val="en-US"/>
              </w:rPr>
            </w:pPr>
            <w:r>
              <w:rPr>
                <w:sz w:val="20"/>
                <w:szCs w:val="20"/>
                <w:bdr w:val="none" w:color="auto" w:sz="0" w:space="0"/>
              </w:rPr>
              <w:t>公开</w:t>
            </w:r>
            <w:r>
              <w:rPr>
                <w:sz w:val="20"/>
                <w:szCs w:val="20"/>
                <w:bdr w:val="none" w:color="auto" w:sz="0" w:space="0"/>
                <w:lang w:val="en-US"/>
              </w:rPr>
              <w:t>09</w:t>
            </w:r>
            <w:r>
              <w:rPr>
                <w:sz w:val="20"/>
                <w:szCs w:val="20"/>
                <w:bdr w:val="none" w:color="auto" w:sz="0" w:space="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13" w:type="pct"/>
            <w:gridSpan w:val="5"/>
            <w:shd w:val="clear"/>
            <w:vAlign w:val="center"/>
          </w:tcPr>
          <w:p>
            <w:pPr>
              <w:pStyle w:val="9"/>
              <w:rPr>
                <w:sz w:val="22"/>
                <w:szCs w:val="22"/>
                <w:bdr w:val="none" w:color="auto" w:sz="0" w:space="0"/>
                <w:lang w:val="en-US"/>
              </w:rPr>
            </w:pPr>
            <w:r>
              <w:rPr>
                <w:sz w:val="22"/>
                <w:szCs w:val="22"/>
                <w:bdr w:val="none" w:color="auto" w:sz="0" w:space="0"/>
              </w:rPr>
              <w:t>部门：永州市冷水滩区林业局</w:t>
            </w:r>
          </w:p>
        </w:tc>
        <w:tc>
          <w:tcPr>
            <w:tcW w:w="1686" w:type="pct"/>
            <w:gridSpan w:val="2"/>
            <w:shd w:val="clear"/>
            <w:vAlign w:val="center"/>
          </w:tcPr>
          <w:p>
            <w:pPr>
              <w:pStyle w:val="9"/>
              <w:jc w:val="right"/>
              <w:rPr>
                <w:sz w:val="20"/>
                <w:szCs w:val="20"/>
                <w:bdr w:val="none" w:color="auto" w:sz="0" w:space="0"/>
                <w:lang w:val="en-US"/>
              </w:rPr>
            </w:pPr>
            <w:r>
              <w:rPr>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栏次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1</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2</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jc w:val="center"/>
              <w:rPr>
                <w:sz w:val="22"/>
                <w:szCs w:val="22"/>
                <w:bdr w:val="none" w:color="auto" w:sz="0" w:space="0"/>
                <w:lang w:val="en-US"/>
              </w:rPr>
            </w:pPr>
            <w:r>
              <w:rPr>
                <w:sz w:val="22"/>
                <w:szCs w:val="22"/>
                <w:bdr w:val="none" w:color="auto" w:sz="0" w:space="0"/>
              </w:rPr>
              <w:t>合计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97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97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97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97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97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1971"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vAlign w:val="center"/>
          </w:tcPr>
          <w:p>
            <w:pPr>
              <w:pStyle w:val="9"/>
              <w:rPr>
                <w:sz w:val="22"/>
                <w:szCs w:val="22"/>
                <w:bdr w:val="none" w:color="auto" w:sz="0" w:space="0"/>
                <w:lang w:val="en-US"/>
              </w:rPr>
            </w:pPr>
            <w:r>
              <w:rPr>
                <w:sz w:val="22"/>
                <w:szCs w:val="22"/>
                <w:bdr w:val="none" w:color="auto" w:sz="0" w:space="0"/>
              </w:rPr>
              <w:t>注：本表反映部门本年度国有资本经营预算财政拨款支出情况。本单位没有国有资本经营预算财政拨款收入，也没有使用国有资本经营预算财政拨款安排的支出，故本表无数据。</w:t>
            </w:r>
          </w:p>
        </w:tc>
      </w:tr>
    </w:tbl>
    <w:p>
      <w:pPr>
        <w:rPr>
          <w:rFonts w:hint="eastAsia" w:ascii="宋体" w:hAnsi="宋体" w:eastAsia="宋体" w:cs="宋体"/>
          <w:color w:val="000000"/>
          <w:sz w:val="32"/>
          <w:szCs w:val="32"/>
          <w:lang w:val="en-US" w:eastAsia="zh-CN" w:bidi="ar"/>
        </w:rPr>
        <w:sectPr>
          <w:pgSz w:w="16838" w:h="11906"/>
          <w:pgMar w:top="1080" w:right="400" w:bottom="1080" w:left="400" w:header="851" w:footer="992" w:gutter="0"/>
          <w:paperSrc/>
          <w:cols w:space="0" w:num="1"/>
          <w:docGrid w:type="lines" w:linePitch="160" w:charSpace="0"/>
        </w:sectPr>
      </w:pPr>
    </w:p>
    <w:p>
      <w:pPr>
        <w:spacing w:after="2" w:afterAutospacing="0"/>
        <w:jc w:val="center"/>
        <w:rPr>
          <w:color w:val="000000"/>
          <w:szCs w:val="21"/>
          <w:lang w:val="en-US"/>
        </w:rPr>
      </w:pPr>
      <w:r>
        <w:rPr>
          <w:rFonts w:hint="eastAsia" w:ascii="宋体" w:hAnsi="宋体" w:eastAsia="宋体" w:cs="宋体"/>
          <w:b/>
          <w:bCs/>
          <w:color w:val="000000"/>
          <w:sz w:val="36"/>
          <w:szCs w:val="36"/>
          <w:lang w:eastAsia="zh-CN"/>
        </w:rPr>
        <w:t>第三部分</w:t>
      </w:r>
      <w:r>
        <w:rPr>
          <w:rFonts w:hint="eastAsia" w:ascii="宋体" w:hAnsi="宋体" w:eastAsia="宋体" w:cs="宋体"/>
          <w:b/>
          <w:bCs/>
          <w:color w:val="000000"/>
          <w:sz w:val="36"/>
          <w:szCs w:val="36"/>
          <w:lang w:val="en-US"/>
        </w:rPr>
        <w:t> 2021</w:t>
      </w:r>
      <w:r>
        <w:rPr>
          <w:rFonts w:hint="eastAsia" w:ascii="宋体" w:hAnsi="宋体" w:eastAsia="宋体" w:cs="宋体"/>
          <w:b/>
          <w:bCs/>
          <w:color w:val="000000"/>
          <w:sz w:val="36"/>
          <w:szCs w:val="36"/>
          <w:lang w:eastAsia="zh-CN"/>
        </w:rPr>
        <w:t>年度部门决算情况说明</w:t>
      </w:r>
      <w:r>
        <w:rPr>
          <w:color w:val="000000"/>
          <w:szCs w:val="21"/>
          <w:lang w:eastAsia="zh-CN"/>
        </w:rPr>
        <w:t xml:space="preserve"> </w:t>
      </w:r>
    </w:p>
    <w:p>
      <w:pPr>
        <w:rPr>
          <w:color w:val="000000"/>
          <w:lang w:val="en-US"/>
        </w:rPr>
      </w:pP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一、收入支出决算总体情况说明</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年度收、支总计</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万元。与上一年度相比，收、支总计各增加</w:t>
      </w:r>
      <w:r>
        <w:rPr>
          <w:rFonts w:hint="eastAsia" w:ascii="宋体" w:hAnsi="宋体" w:eastAsia="宋体" w:cs="宋体"/>
          <w:color w:val="000000"/>
          <w:sz w:val="32"/>
          <w:szCs w:val="32"/>
          <w:lang w:val="en-US"/>
        </w:rPr>
        <w:t>863.61</w:t>
      </w:r>
      <w:r>
        <w:rPr>
          <w:rFonts w:hint="eastAsia" w:ascii="宋体" w:hAnsi="宋体" w:eastAsia="宋体" w:cs="宋体"/>
          <w:color w:val="000000"/>
          <w:sz w:val="32"/>
          <w:szCs w:val="32"/>
          <w:lang w:eastAsia="zh-CN"/>
        </w:rPr>
        <w:t>万元，增长</w:t>
      </w:r>
      <w:r>
        <w:rPr>
          <w:rFonts w:hint="eastAsia" w:ascii="宋体" w:hAnsi="宋体" w:eastAsia="宋体" w:cs="宋体"/>
          <w:color w:val="000000"/>
          <w:sz w:val="32"/>
          <w:szCs w:val="32"/>
          <w:lang w:val="en-US"/>
        </w:rPr>
        <w:t>16.52%</w:t>
      </w:r>
      <w:r>
        <w:rPr>
          <w:rFonts w:hint="eastAsia" w:ascii="宋体" w:hAnsi="宋体" w:eastAsia="宋体" w:cs="宋体"/>
          <w:color w:val="000000"/>
          <w:sz w:val="32"/>
          <w:szCs w:val="32"/>
          <w:lang w:eastAsia="zh-CN"/>
        </w:rPr>
        <w:t>。主要是因为</w:t>
      </w:r>
      <w:r>
        <w:rPr>
          <w:rStyle w:val="17"/>
          <w:rFonts w:hint="eastAsia" w:ascii="宋体" w:hAnsi="宋体" w:eastAsia="宋体" w:cs="宋体"/>
          <w:color w:val="000000"/>
          <w:sz w:val="32"/>
          <w:szCs w:val="32"/>
          <w:lang w:eastAsia="zh-CN"/>
        </w:rPr>
        <w:t>人员工资调整、公用经费以及各类林业项目投入资金相应增加等</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二、收入决算情况说明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年度收入合计</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万元，其中：财政拨款收入</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；上级补助收入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；事业收入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；经营收入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；附属单位上缴收入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；其他收入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三、支出决算情况说明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年度支出合计</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万元，其中：基本支出</w:t>
      </w:r>
      <w:r>
        <w:rPr>
          <w:rFonts w:hint="eastAsia" w:ascii="宋体" w:hAnsi="宋体" w:eastAsia="宋体" w:cs="宋体"/>
          <w:color w:val="000000"/>
          <w:sz w:val="32"/>
          <w:szCs w:val="32"/>
          <w:lang w:val="en-US"/>
        </w:rPr>
        <w:t>2,446.98</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40.18%</w:t>
      </w:r>
      <w:r>
        <w:rPr>
          <w:rFonts w:hint="eastAsia" w:ascii="宋体" w:hAnsi="宋体" w:eastAsia="宋体" w:cs="宋体"/>
          <w:color w:val="000000"/>
          <w:sz w:val="32"/>
          <w:szCs w:val="32"/>
          <w:lang w:eastAsia="zh-CN"/>
        </w:rPr>
        <w:t>；项目支出</w:t>
      </w:r>
      <w:r>
        <w:rPr>
          <w:rFonts w:hint="eastAsia" w:ascii="宋体" w:hAnsi="宋体" w:eastAsia="宋体" w:cs="宋体"/>
          <w:color w:val="000000"/>
          <w:sz w:val="32"/>
          <w:szCs w:val="32"/>
          <w:lang w:val="en-US"/>
        </w:rPr>
        <w:t>3,643.17</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59.82%</w:t>
      </w:r>
      <w:r>
        <w:rPr>
          <w:rFonts w:hint="eastAsia" w:ascii="宋体" w:hAnsi="宋体" w:eastAsia="宋体" w:cs="宋体"/>
          <w:color w:val="000000"/>
          <w:sz w:val="32"/>
          <w:szCs w:val="32"/>
          <w:lang w:eastAsia="zh-CN"/>
        </w:rPr>
        <w:t>；上缴上级支出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；经营支出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；对附属单位补助支出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四、财政拨款收入支出决算总体情况说明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年度财政拨款收、支总计</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万元。与上一年度相比，财政拨款收、支总计各增加</w:t>
      </w:r>
      <w:r>
        <w:rPr>
          <w:rFonts w:hint="eastAsia" w:ascii="宋体" w:hAnsi="宋体" w:eastAsia="宋体" w:cs="宋体"/>
          <w:color w:val="000000"/>
          <w:sz w:val="32"/>
          <w:szCs w:val="32"/>
          <w:lang w:val="en-US"/>
        </w:rPr>
        <w:t>863.61</w:t>
      </w:r>
      <w:r>
        <w:rPr>
          <w:rFonts w:hint="eastAsia" w:ascii="宋体" w:hAnsi="宋体" w:eastAsia="宋体" w:cs="宋体"/>
          <w:color w:val="000000"/>
          <w:sz w:val="32"/>
          <w:szCs w:val="32"/>
          <w:lang w:eastAsia="zh-CN"/>
        </w:rPr>
        <w:t>万元，增长</w:t>
      </w:r>
      <w:r>
        <w:rPr>
          <w:rFonts w:hint="eastAsia" w:ascii="宋体" w:hAnsi="宋体" w:eastAsia="宋体" w:cs="宋体"/>
          <w:color w:val="000000"/>
          <w:sz w:val="32"/>
          <w:szCs w:val="32"/>
          <w:lang w:val="en-US"/>
        </w:rPr>
        <w:t>16.52%</w:t>
      </w:r>
      <w:r>
        <w:rPr>
          <w:rFonts w:hint="eastAsia" w:ascii="宋体" w:hAnsi="宋体" w:eastAsia="宋体" w:cs="宋体"/>
          <w:color w:val="000000"/>
          <w:sz w:val="32"/>
          <w:szCs w:val="32"/>
          <w:lang w:eastAsia="zh-CN"/>
        </w:rPr>
        <w:t>。主要是因为</w:t>
      </w:r>
      <w:r>
        <w:rPr>
          <w:rStyle w:val="17"/>
          <w:rFonts w:hint="eastAsia" w:ascii="宋体" w:hAnsi="宋体" w:eastAsia="宋体" w:cs="宋体"/>
          <w:color w:val="000000"/>
          <w:sz w:val="32"/>
          <w:szCs w:val="32"/>
          <w:lang w:eastAsia="zh-CN"/>
        </w:rPr>
        <w:t>人员工资调整、公用经费以及各类林业项目投入资金相应增加等</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五、一般公共预算财政拨款支出决算情况说明</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（一）财政拨款支出决算总体情况</w:t>
      </w:r>
      <w:r>
        <w:rPr>
          <w:color w:val="000000"/>
          <w:sz w:val="27"/>
          <w:szCs w:val="27"/>
          <w:lang w:eastAsia="zh-CN"/>
        </w:rPr>
        <w:t xml:space="preserve"> </w:t>
      </w:r>
    </w:p>
    <w:p>
      <w:pPr>
        <w:pStyle w:val="15"/>
        <w:spacing w:after="2" w:afterAutospacing="0"/>
        <w:ind w:left="0" w:firstLine="855"/>
        <w:rPr>
          <w:rFonts w:hint="eastAsia" w:ascii="宋体" w:hAnsi="宋体" w:eastAsia="宋体" w:cs="宋体"/>
          <w:color w:val="000000"/>
          <w:sz w:val="32"/>
          <w:szCs w:val="32"/>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年度财政拨款支出</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万元，占本年支出合计的</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。与上一年度相比，财政拨款支出增加</w:t>
      </w:r>
      <w:r>
        <w:rPr>
          <w:rFonts w:hint="eastAsia" w:ascii="宋体" w:hAnsi="宋体" w:eastAsia="宋体" w:cs="宋体"/>
          <w:color w:val="000000"/>
          <w:sz w:val="32"/>
          <w:szCs w:val="32"/>
          <w:lang w:val="en-US"/>
        </w:rPr>
        <w:t>863.61</w:t>
      </w:r>
      <w:r>
        <w:rPr>
          <w:rFonts w:hint="eastAsia" w:ascii="宋体" w:hAnsi="宋体" w:eastAsia="宋体" w:cs="宋体"/>
          <w:color w:val="000000"/>
          <w:sz w:val="32"/>
          <w:szCs w:val="32"/>
          <w:lang w:eastAsia="zh-CN"/>
        </w:rPr>
        <w:t>万元，增长</w:t>
      </w:r>
      <w:r>
        <w:rPr>
          <w:rFonts w:hint="eastAsia" w:ascii="宋体" w:hAnsi="宋体" w:eastAsia="宋体" w:cs="宋体"/>
          <w:color w:val="000000"/>
          <w:sz w:val="32"/>
          <w:szCs w:val="32"/>
          <w:lang w:val="en-US"/>
        </w:rPr>
        <w:t>16.52%</w:t>
      </w:r>
      <w:r>
        <w:rPr>
          <w:rFonts w:hint="eastAsia" w:ascii="宋体" w:hAnsi="宋体" w:eastAsia="宋体" w:cs="宋体"/>
          <w:color w:val="000000"/>
          <w:sz w:val="32"/>
          <w:szCs w:val="32"/>
          <w:lang w:eastAsia="zh-CN"/>
        </w:rPr>
        <w:t>。主要是因为</w:t>
      </w:r>
      <w:r>
        <w:rPr>
          <w:rStyle w:val="17"/>
          <w:rFonts w:hint="eastAsia" w:ascii="宋体" w:hAnsi="宋体" w:eastAsia="宋体" w:cs="宋体"/>
          <w:color w:val="000000"/>
          <w:sz w:val="32"/>
          <w:szCs w:val="32"/>
          <w:lang w:eastAsia="zh-CN"/>
        </w:rPr>
        <w:t>人员工资调整、公用经费以及各类林业项目投入资金相应增加等</w:t>
      </w:r>
      <w:r>
        <w:rPr>
          <w:rFonts w:hint="eastAsia" w:ascii="宋体" w:hAnsi="宋体" w:eastAsia="宋体" w:cs="宋体"/>
          <w:color w:val="000000"/>
          <w:sz w:val="32"/>
          <w:szCs w:val="32"/>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（二）财政拨款支出决算结构情况</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年度财政拨款支出</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万元，主要用于以下方面：社会保障和就业支出</w:t>
      </w:r>
      <w:r>
        <w:rPr>
          <w:rFonts w:hint="eastAsia" w:ascii="宋体" w:hAnsi="宋体" w:eastAsia="宋体" w:cs="宋体"/>
          <w:color w:val="000000"/>
          <w:sz w:val="32"/>
          <w:szCs w:val="32"/>
          <w:lang w:val="en-US"/>
        </w:rPr>
        <w:t>40.27</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0.66%</w:t>
      </w:r>
      <w:r>
        <w:rPr>
          <w:rFonts w:hint="eastAsia" w:ascii="宋体" w:hAnsi="宋体" w:eastAsia="宋体" w:cs="宋体"/>
          <w:color w:val="000000"/>
          <w:sz w:val="32"/>
          <w:szCs w:val="32"/>
          <w:lang w:eastAsia="zh-CN"/>
        </w:rPr>
        <w:t>；节能环保支出</w:t>
      </w:r>
      <w:r>
        <w:rPr>
          <w:rFonts w:hint="eastAsia" w:ascii="宋体" w:hAnsi="宋体" w:eastAsia="宋体" w:cs="宋体"/>
          <w:color w:val="000000"/>
          <w:sz w:val="32"/>
          <w:szCs w:val="32"/>
          <w:lang w:val="en-US"/>
        </w:rPr>
        <w:t>1,076.24</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17.67%</w:t>
      </w:r>
      <w:r>
        <w:rPr>
          <w:rFonts w:hint="eastAsia" w:ascii="宋体" w:hAnsi="宋体" w:eastAsia="宋体" w:cs="宋体"/>
          <w:color w:val="000000"/>
          <w:sz w:val="32"/>
          <w:szCs w:val="32"/>
          <w:lang w:eastAsia="zh-CN"/>
        </w:rPr>
        <w:t>；农林水支出</w:t>
      </w:r>
      <w:r>
        <w:rPr>
          <w:rFonts w:hint="eastAsia" w:ascii="宋体" w:hAnsi="宋体" w:eastAsia="宋体" w:cs="宋体"/>
          <w:color w:val="000000"/>
          <w:sz w:val="32"/>
          <w:szCs w:val="32"/>
          <w:lang w:val="en-US"/>
        </w:rPr>
        <w:t>4,813.9</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79.04%</w:t>
      </w:r>
      <w:r>
        <w:rPr>
          <w:rFonts w:hint="eastAsia" w:ascii="宋体" w:hAnsi="宋体" w:eastAsia="宋体" w:cs="宋体"/>
          <w:color w:val="000000"/>
          <w:sz w:val="32"/>
          <w:szCs w:val="32"/>
          <w:lang w:eastAsia="zh-CN"/>
        </w:rPr>
        <w:t>；交通运输支出</w:t>
      </w:r>
      <w:r>
        <w:rPr>
          <w:rFonts w:hint="eastAsia" w:ascii="宋体" w:hAnsi="宋体" w:eastAsia="宋体" w:cs="宋体"/>
          <w:color w:val="000000"/>
          <w:sz w:val="32"/>
          <w:szCs w:val="32"/>
          <w:lang w:val="en-US"/>
        </w:rPr>
        <w:t>20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0.33%</w:t>
      </w:r>
      <w:r>
        <w:rPr>
          <w:rFonts w:hint="eastAsia" w:ascii="宋体" w:hAnsi="宋体" w:eastAsia="宋体" w:cs="宋体"/>
          <w:color w:val="000000"/>
          <w:sz w:val="32"/>
          <w:szCs w:val="32"/>
          <w:lang w:eastAsia="zh-CN"/>
        </w:rPr>
        <w:t>；住房保障支出</w:t>
      </w:r>
      <w:r>
        <w:rPr>
          <w:rFonts w:hint="eastAsia" w:ascii="宋体" w:hAnsi="宋体" w:eastAsia="宋体" w:cs="宋体"/>
          <w:color w:val="000000"/>
          <w:sz w:val="32"/>
          <w:szCs w:val="32"/>
          <w:lang w:val="en-US"/>
        </w:rPr>
        <w:t>139.25</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2.29%</w:t>
      </w:r>
      <w:r>
        <w:rPr>
          <w:rFonts w:hint="eastAsia" w:ascii="宋体" w:hAnsi="宋体" w:eastAsia="宋体" w:cs="宋体"/>
          <w:color w:val="000000"/>
          <w:sz w:val="32"/>
          <w:szCs w:val="32"/>
          <w:lang w:eastAsia="zh-CN"/>
        </w:rPr>
        <w:t>；灾害防治及应急管理支出</w:t>
      </w:r>
      <w:r>
        <w:rPr>
          <w:rFonts w:hint="eastAsia" w:ascii="宋体" w:hAnsi="宋体" w:eastAsia="宋体" w:cs="宋体"/>
          <w:color w:val="000000"/>
          <w:sz w:val="32"/>
          <w:szCs w:val="32"/>
          <w:lang w:val="en-US"/>
        </w:rPr>
        <w:t>0.5</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0.01%</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b/>
          <w:bCs/>
          <w:color w:val="000000"/>
          <w:sz w:val="32"/>
          <w:szCs w:val="32"/>
          <w:lang w:eastAsia="zh-CN"/>
        </w:rPr>
        <w:t>（三）财政拨款支出决算具体情况</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年度财政拨款支出年初预算数为</w:t>
      </w:r>
      <w:r>
        <w:rPr>
          <w:rFonts w:hint="eastAsia" w:ascii="宋体" w:hAnsi="宋体" w:eastAsia="宋体" w:cs="宋体"/>
          <w:color w:val="000000"/>
          <w:sz w:val="32"/>
          <w:szCs w:val="32"/>
          <w:lang w:val="en-US"/>
        </w:rPr>
        <w:t>3,974.48</w:t>
      </w:r>
      <w:r>
        <w:rPr>
          <w:rFonts w:hint="eastAsia" w:ascii="宋体" w:hAnsi="宋体" w:eastAsia="宋体" w:cs="宋体"/>
          <w:color w:val="000000"/>
          <w:sz w:val="32"/>
          <w:szCs w:val="32"/>
          <w:lang w:eastAsia="zh-CN"/>
        </w:rPr>
        <w:t>万元，支出决算数为</w:t>
      </w:r>
      <w:r>
        <w:rPr>
          <w:rFonts w:hint="eastAsia" w:ascii="宋体" w:hAnsi="宋体" w:eastAsia="宋体" w:cs="宋体"/>
          <w:color w:val="000000"/>
          <w:sz w:val="32"/>
          <w:szCs w:val="32"/>
          <w:lang w:val="en-US"/>
        </w:rPr>
        <w:t>6,090.16</w:t>
      </w:r>
      <w:r>
        <w:rPr>
          <w:rFonts w:hint="eastAsia" w:ascii="宋体" w:hAnsi="宋体" w:eastAsia="宋体" w:cs="宋体"/>
          <w:color w:val="000000"/>
          <w:sz w:val="32"/>
          <w:szCs w:val="32"/>
          <w:lang w:eastAsia="zh-CN"/>
        </w:rPr>
        <w:t>万元，完成年初预算的</w:t>
      </w:r>
      <w:r>
        <w:rPr>
          <w:rFonts w:hint="eastAsia" w:ascii="宋体" w:hAnsi="宋体" w:eastAsia="宋体" w:cs="宋体"/>
          <w:color w:val="000000"/>
          <w:sz w:val="32"/>
          <w:szCs w:val="32"/>
          <w:lang w:val="en-US"/>
        </w:rPr>
        <w:t>153.23%</w:t>
      </w:r>
      <w:r>
        <w:rPr>
          <w:rFonts w:hint="eastAsia" w:ascii="宋体" w:hAnsi="宋体" w:eastAsia="宋体" w:cs="宋体"/>
          <w:color w:val="000000"/>
          <w:sz w:val="32"/>
          <w:szCs w:val="32"/>
          <w:lang w:eastAsia="zh-CN"/>
        </w:rPr>
        <w:t>，其中：</w:t>
      </w:r>
      <w:r>
        <w:rPr>
          <w:color w:val="000000"/>
          <w:sz w:val="27"/>
          <w:szCs w:val="27"/>
          <w:lang w:eastAsia="zh-CN"/>
        </w:rPr>
        <w:t xml:space="preserve"> </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w:t>
      </w:r>
      <w:r>
        <w:rPr>
          <w:rStyle w:val="12"/>
          <w:rFonts w:hint="eastAsia" w:ascii="宋体" w:hAnsi="宋体" w:eastAsia="宋体" w:cs="Times New Roman"/>
          <w:color w:val="000000"/>
          <w:sz w:val="32"/>
          <w:szCs w:val="32"/>
          <w:lang w:eastAsia="zh-CN"/>
        </w:rPr>
        <w:t>、社会保障和就业支出（类）抚恤（款）死亡抚恤（项）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40.27</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新增死亡人员抚恤金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2</w:t>
      </w:r>
      <w:r>
        <w:rPr>
          <w:rStyle w:val="12"/>
          <w:rFonts w:hint="eastAsia" w:ascii="宋体" w:hAnsi="宋体" w:eastAsia="宋体" w:cs="Times New Roman"/>
          <w:color w:val="000000"/>
          <w:sz w:val="32"/>
          <w:szCs w:val="32"/>
          <w:lang w:eastAsia="zh-CN"/>
        </w:rPr>
        <w:t>、节能环保支出（类）自然生态保护（款）其他自然生态保护支出（项）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786</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3</w:t>
      </w:r>
      <w:r>
        <w:rPr>
          <w:rStyle w:val="12"/>
          <w:rFonts w:hint="eastAsia" w:ascii="宋体" w:hAnsi="宋体" w:eastAsia="宋体" w:cs="Times New Roman"/>
          <w:color w:val="000000"/>
          <w:sz w:val="32"/>
          <w:szCs w:val="32"/>
          <w:lang w:eastAsia="zh-CN"/>
        </w:rPr>
        <w:t>、节能环保支出（类）天然林保护（款）森林管护（项）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290.24</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4</w:t>
      </w:r>
      <w:r>
        <w:rPr>
          <w:rStyle w:val="12"/>
          <w:rFonts w:hint="eastAsia" w:ascii="宋体" w:hAnsi="宋体" w:eastAsia="宋体" w:cs="Times New Roman"/>
          <w:color w:val="000000"/>
          <w:sz w:val="32"/>
          <w:szCs w:val="32"/>
          <w:lang w:eastAsia="zh-CN"/>
        </w:rPr>
        <w:t>、农林水支出（类）农业农村（款）农垦运行（项）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47</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5</w:t>
      </w:r>
      <w:r>
        <w:rPr>
          <w:rStyle w:val="12"/>
          <w:rFonts w:hint="eastAsia" w:ascii="宋体" w:hAnsi="宋体" w:eastAsia="宋体" w:cs="Times New Roman"/>
          <w:color w:val="000000"/>
          <w:sz w:val="32"/>
          <w:szCs w:val="32"/>
          <w:lang w:eastAsia="zh-CN"/>
        </w:rPr>
        <w:t>、农林水支出（类）林业和草原（款）行政运行（项）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3,668.15</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2,199.64</w:t>
      </w:r>
      <w:r>
        <w:rPr>
          <w:rFonts w:hint="eastAsia" w:ascii="宋体" w:hAnsi="宋体" w:eastAsia="宋体" w:cs="宋体"/>
          <w:color w:val="000000"/>
          <w:sz w:val="32"/>
          <w:szCs w:val="32"/>
          <w:lang w:eastAsia="zh-CN"/>
        </w:rPr>
        <w:t>万元，完成年初预算的</w:t>
      </w:r>
      <w:r>
        <w:rPr>
          <w:rFonts w:hint="eastAsia" w:ascii="宋体" w:hAnsi="宋体" w:eastAsia="宋体" w:cs="宋体"/>
          <w:color w:val="000000"/>
          <w:sz w:val="32"/>
          <w:szCs w:val="32"/>
          <w:lang w:val="en-US"/>
        </w:rPr>
        <w:t>59.97%</w:t>
      </w:r>
      <w:r>
        <w:rPr>
          <w:rFonts w:hint="eastAsia" w:ascii="宋体" w:hAnsi="宋体" w:eastAsia="宋体" w:cs="宋体"/>
          <w:color w:val="000000"/>
          <w:sz w:val="32"/>
          <w:szCs w:val="32"/>
          <w:lang w:eastAsia="zh-CN"/>
        </w:rPr>
        <w:t>。决算数小于年初预算数的主要原因是：</w:t>
      </w:r>
      <w:r>
        <w:rPr>
          <w:rStyle w:val="17"/>
          <w:rFonts w:hint="eastAsia" w:ascii="宋体" w:hAnsi="宋体" w:eastAsia="宋体" w:cs="宋体"/>
          <w:color w:val="000000"/>
          <w:sz w:val="32"/>
          <w:szCs w:val="32"/>
          <w:lang w:eastAsia="zh-CN"/>
        </w:rPr>
        <w:t>因疫情影响财政拨款收入减少，机构改革人员变动等人员经费及公用经费开支相应减少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6</w:t>
      </w:r>
      <w:r>
        <w:rPr>
          <w:rStyle w:val="12"/>
          <w:rFonts w:hint="eastAsia" w:ascii="宋体" w:hAnsi="宋体" w:eastAsia="宋体" w:cs="Times New Roman"/>
          <w:color w:val="000000"/>
          <w:sz w:val="32"/>
          <w:szCs w:val="32"/>
          <w:lang w:eastAsia="zh-CN"/>
        </w:rPr>
        <w:t>、农林水支出（类）林业和草原（款）事业机构（项）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86.23</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67.82</w:t>
      </w:r>
      <w:r>
        <w:rPr>
          <w:rFonts w:hint="eastAsia" w:ascii="宋体" w:hAnsi="宋体" w:eastAsia="宋体" w:cs="宋体"/>
          <w:color w:val="000000"/>
          <w:sz w:val="32"/>
          <w:szCs w:val="32"/>
          <w:lang w:eastAsia="zh-CN"/>
        </w:rPr>
        <w:t>万元，完成年初预算的</w:t>
      </w:r>
      <w:r>
        <w:rPr>
          <w:rFonts w:hint="eastAsia" w:ascii="宋体" w:hAnsi="宋体" w:eastAsia="宋体" w:cs="宋体"/>
          <w:color w:val="000000"/>
          <w:sz w:val="32"/>
          <w:szCs w:val="32"/>
          <w:lang w:val="en-US"/>
        </w:rPr>
        <w:t>78.65%</w:t>
      </w:r>
      <w:r>
        <w:rPr>
          <w:rFonts w:hint="eastAsia" w:ascii="宋体" w:hAnsi="宋体" w:eastAsia="宋体" w:cs="宋体"/>
          <w:color w:val="000000"/>
          <w:sz w:val="32"/>
          <w:szCs w:val="32"/>
          <w:lang w:eastAsia="zh-CN"/>
        </w:rPr>
        <w:t>。决算数小于年初预算数的主要原因是：</w:t>
      </w:r>
      <w:r>
        <w:rPr>
          <w:rStyle w:val="17"/>
          <w:rFonts w:hint="eastAsia" w:ascii="宋体" w:hAnsi="宋体" w:eastAsia="宋体" w:cs="宋体"/>
          <w:color w:val="000000"/>
          <w:sz w:val="32"/>
          <w:szCs w:val="32"/>
          <w:lang w:eastAsia="zh-CN"/>
        </w:rPr>
        <w:t>财政拨款人员经费开支相应减少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7</w:t>
      </w:r>
      <w:r>
        <w:rPr>
          <w:rStyle w:val="12"/>
          <w:rFonts w:hint="eastAsia" w:ascii="宋体" w:hAnsi="宋体" w:eastAsia="宋体" w:cs="Times New Roman"/>
          <w:color w:val="000000"/>
          <w:sz w:val="32"/>
          <w:szCs w:val="32"/>
          <w:lang w:eastAsia="zh-CN"/>
        </w:rPr>
        <w:t>、农林水支出（类）林业和草原（款）森林资源培育（项）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60.5</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1,158.76</w:t>
      </w:r>
      <w:r>
        <w:rPr>
          <w:rFonts w:hint="eastAsia" w:ascii="宋体" w:hAnsi="宋体" w:eastAsia="宋体" w:cs="宋体"/>
          <w:color w:val="000000"/>
          <w:sz w:val="32"/>
          <w:szCs w:val="32"/>
          <w:lang w:eastAsia="zh-CN"/>
        </w:rPr>
        <w:t>万元，完成年初预算的</w:t>
      </w:r>
      <w:r>
        <w:rPr>
          <w:rFonts w:hint="eastAsia" w:ascii="宋体" w:hAnsi="宋体" w:eastAsia="宋体" w:cs="宋体"/>
          <w:color w:val="000000"/>
          <w:sz w:val="32"/>
          <w:szCs w:val="32"/>
          <w:lang w:val="en-US"/>
        </w:rPr>
        <w:t>1,815.31%</w:t>
      </w:r>
      <w:r>
        <w:rPr>
          <w:rFonts w:hint="eastAsia" w:ascii="宋体" w:hAnsi="宋体" w:eastAsia="宋体" w:cs="宋体"/>
          <w:color w:val="000000"/>
          <w:sz w:val="32"/>
          <w:szCs w:val="32"/>
          <w:lang w:eastAsia="zh-CN"/>
        </w:rPr>
        <w:t>。决算数大于年初预算数的主要原因是：</w:t>
      </w:r>
      <w:r>
        <w:rPr>
          <w:rStyle w:val="17"/>
          <w:rFonts w:hint="eastAsia" w:ascii="宋体" w:hAnsi="宋体" w:eastAsia="宋体" w:cs="宋体"/>
          <w:color w:val="000000"/>
          <w:sz w:val="32"/>
          <w:szCs w:val="32"/>
          <w:lang w:eastAsia="zh-CN"/>
        </w:rPr>
        <w:t>含中央及省级资金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8</w:t>
      </w:r>
      <w:r>
        <w:rPr>
          <w:rStyle w:val="12"/>
          <w:rFonts w:hint="eastAsia" w:ascii="宋体" w:hAnsi="宋体" w:eastAsia="宋体" w:cs="Times New Roman"/>
          <w:color w:val="000000"/>
          <w:sz w:val="32"/>
          <w:szCs w:val="32"/>
          <w:lang w:eastAsia="zh-CN"/>
        </w:rPr>
        <w:t>、农林水支出（类）林业和草原（款）森林生态效益补偿（项）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406.69</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，无法计算百分比。决算数大于年初预算数的主要原因是：为</w:t>
      </w:r>
      <w:r>
        <w:rPr>
          <w:rStyle w:val="17"/>
          <w:rFonts w:hint="eastAsia" w:ascii="宋体" w:hAnsi="宋体" w:eastAsia="宋体" w:cs="宋体"/>
          <w:color w:val="000000"/>
          <w:sz w:val="32"/>
          <w:szCs w:val="32"/>
          <w:lang w:eastAsia="zh-CN"/>
        </w:rPr>
        <w:t>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9</w:t>
      </w:r>
      <w:r>
        <w:rPr>
          <w:rStyle w:val="12"/>
          <w:rFonts w:hint="eastAsia" w:ascii="宋体" w:hAnsi="宋体" w:eastAsia="宋体" w:cs="Times New Roman"/>
          <w:color w:val="000000"/>
          <w:sz w:val="32"/>
          <w:szCs w:val="32"/>
          <w:lang w:eastAsia="zh-CN"/>
        </w:rPr>
        <w:t>、农林水支出（类）林业和草原（款）动植物保护（项）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79.99</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新增禁食陆生野生动物人工繁育主体退出奖励资金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10</w:t>
      </w:r>
      <w:r>
        <w:rPr>
          <w:rStyle w:val="12"/>
          <w:rFonts w:hint="eastAsia" w:ascii="宋体" w:hAnsi="宋体" w:eastAsia="宋体" w:cs="Times New Roman"/>
          <w:color w:val="000000"/>
          <w:sz w:val="32"/>
          <w:szCs w:val="32"/>
          <w:lang w:eastAsia="zh-CN"/>
        </w:rPr>
        <w:t>、农林水支出（类）林业和草原（款）产业化管理（项）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530</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11</w:t>
      </w:r>
      <w:r>
        <w:rPr>
          <w:rStyle w:val="12"/>
          <w:rFonts w:hint="eastAsia" w:ascii="宋体" w:hAnsi="宋体" w:eastAsia="宋体" w:cs="Times New Roman"/>
          <w:color w:val="000000"/>
          <w:sz w:val="32"/>
          <w:szCs w:val="32"/>
          <w:lang w:eastAsia="zh-CN"/>
        </w:rPr>
        <w:t>、农林水支出（类）林业和草原（款）林业草原防灾减灾（项）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40</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12</w:t>
      </w:r>
      <w:r>
        <w:rPr>
          <w:rStyle w:val="12"/>
          <w:rFonts w:hint="eastAsia" w:ascii="宋体" w:hAnsi="宋体" w:eastAsia="宋体" w:cs="Times New Roman"/>
          <w:color w:val="000000"/>
          <w:sz w:val="32"/>
          <w:szCs w:val="32"/>
          <w:lang w:eastAsia="zh-CN"/>
        </w:rPr>
        <w:t>、农林水支出（类）林业和草原（款）其他林业和草原支出（项）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284</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，无法计算百分比。决算数大于年初预算数的主要原因是：为</w:t>
      </w:r>
      <w:r>
        <w:rPr>
          <w:rStyle w:val="17"/>
          <w:rFonts w:hint="eastAsia" w:ascii="宋体" w:hAnsi="宋体" w:eastAsia="宋体" w:cs="宋体"/>
          <w:color w:val="000000"/>
          <w:sz w:val="32"/>
          <w:szCs w:val="32"/>
          <w:lang w:eastAsia="zh-CN"/>
        </w:rPr>
        <w:t>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13</w:t>
      </w:r>
      <w:r>
        <w:rPr>
          <w:rStyle w:val="12"/>
          <w:rFonts w:hint="eastAsia" w:ascii="宋体" w:hAnsi="宋体" w:eastAsia="宋体" w:cs="Times New Roman"/>
          <w:color w:val="000000"/>
          <w:sz w:val="32"/>
          <w:szCs w:val="32"/>
          <w:lang w:eastAsia="zh-CN"/>
        </w:rPr>
        <w:t>、交通运输支出（类）公路水路运输（款）公路养护（项）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20</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14</w:t>
      </w:r>
      <w:r>
        <w:rPr>
          <w:rStyle w:val="12"/>
          <w:rFonts w:hint="eastAsia" w:ascii="宋体" w:hAnsi="宋体" w:eastAsia="宋体" w:cs="Times New Roman"/>
          <w:color w:val="000000"/>
          <w:sz w:val="32"/>
          <w:szCs w:val="32"/>
          <w:lang w:eastAsia="zh-CN"/>
        </w:rPr>
        <w:t>、住房保障支出（类）住房改革支出（款）住房公积金（项）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144.4</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139.25</w:t>
      </w:r>
      <w:r>
        <w:rPr>
          <w:rFonts w:hint="eastAsia" w:ascii="宋体" w:hAnsi="宋体" w:eastAsia="宋体" w:cs="宋体"/>
          <w:color w:val="000000"/>
          <w:sz w:val="32"/>
          <w:szCs w:val="32"/>
          <w:lang w:eastAsia="zh-CN"/>
        </w:rPr>
        <w:t>万元，完成年初预算的</w:t>
      </w:r>
      <w:r>
        <w:rPr>
          <w:rFonts w:hint="eastAsia" w:ascii="宋体" w:hAnsi="宋体" w:eastAsia="宋体" w:cs="宋体"/>
          <w:color w:val="000000"/>
          <w:sz w:val="32"/>
          <w:szCs w:val="32"/>
          <w:lang w:val="en-US"/>
        </w:rPr>
        <w:t>96.43%</w:t>
      </w:r>
      <w:r>
        <w:rPr>
          <w:rFonts w:hint="eastAsia" w:ascii="宋体" w:hAnsi="宋体" w:eastAsia="宋体" w:cs="宋体"/>
          <w:color w:val="000000"/>
          <w:sz w:val="32"/>
          <w:szCs w:val="32"/>
          <w:lang w:eastAsia="zh-CN"/>
        </w:rPr>
        <w:t>。决算数小于年初预算数的主要原因是：</w:t>
      </w:r>
      <w:r>
        <w:rPr>
          <w:rStyle w:val="17"/>
          <w:rFonts w:hint="eastAsia" w:ascii="宋体" w:hAnsi="宋体" w:eastAsia="宋体" w:cs="宋体"/>
          <w:color w:val="000000"/>
          <w:sz w:val="32"/>
          <w:szCs w:val="32"/>
          <w:lang w:eastAsia="zh-CN"/>
        </w:rPr>
        <w:t>年初预算估计不准确</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Style w:val="12"/>
          <w:rFonts w:hint="eastAsia" w:ascii="宋体" w:hAnsi="宋体" w:eastAsia="宋体" w:cs="Times New Roman"/>
          <w:color w:val="000000"/>
          <w:sz w:val="32"/>
          <w:szCs w:val="32"/>
          <w:lang w:val="en-US"/>
        </w:rPr>
        <w:t>15</w:t>
      </w:r>
      <w:r>
        <w:rPr>
          <w:rStyle w:val="12"/>
          <w:rFonts w:hint="eastAsia" w:ascii="宋体" w:hAnsi="宋体" w:eastAsia="宋体" w:cs="Times New Roman"/>
          <w:color w:val="000000"/>
          <w:sz w:val="32"/>
          <w:szCs w:val="32"/>
          <w:lang w:eastAsia="zh-CN"/>
        </w:rPr>
        <w:t>、灾害防治及应急管理支出（类）应急管理事务（款）安全监管（项）</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eastAsia="zh-CN"/>
        </w:rPr>
        <w:t>年初预算为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0.5</w:t>
      </w:r>
      <w:r>
        <w:rPr>
          <w:rFonts w:hint="eastAsia" w:ascii="宋体" w:hAnsi="宋体" w:eastAsia="宋体" w:cs="宋体"/>
          <w:color w:val="000000"/>
          <w:sz w:val="32"/>
          <w:szCs w:val="32"/>
          <w:lang w:eastAsia="zh-CN"/>
        </w:rPr>
        <w:t>万元，由于预算数为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，无法计算百分比。决算数大于年初预算数的主要原因是：</w:t>
      </w:r>
      <w:r>
        <w:rPr>
          <w:rStyle w:val="17"/>
          <w:rFonts w:hint="eastAsia" w:ascii="宋体" w:hAnsi="宋体" w:eastAsia="宋体" w:cs="宋体"/>
          <w:color w:val="000000"/>
          <w:sz w:val="32"/>
          <w:szCs w:val="32"/>
          <w:lang w:eastAsia="zh-CN"/>
        </w:rPr>
        <w:t>为中央及省级资金</w:t>
      </w:r>
      <w:r>
        <w:rPr>
          <w:rFonts w:hint="eastAsia" w:ascii="宋体" w:hAnsi="宋体" w:eastAsia="宋体" w:cs="宋体"/>
          <w:color w:val="000000"/>
          <w:sz w:val="32"/>
          <w:szCs w:val="32"/>
          <w:lang w:eastAsia="zh-CN"/>
        </w:rPr>
        <w:t>。</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六、一般公共预算财政拨款基本支出决算情况说明</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年度财政拨款基本支出</w:t>
      </w:r>
      <w:r>
        <w:rPr>
          <w:rFonts w:hint="eastAsia" w:ascii="宋体" w:hAnsi="宋体" w:eastAsia="宋体" w:cs="宋体"/>
          <w:color w:val="000000"/>
          <w:sz w:val="32"/>
          <w:szCs w:val="32"/>
          <w:lang w:val="en-US"/>
        </w:rPr>
        <w:t>2,446.98</w:t>
      </w:r>
      <w:r>
        <w:rPr>
          <w:rFonts w:hint="eastAsia" w:ascii="宋体" w:hAnsi="宋体" w:eastAsia="宋体" w:cs="宋体"/>
          <w:color w:val="000000"/>
          <w:sz w:val="32"/>
          <w:szCs w:val="32"/>
          <w:lang w:eastAsia="zh-CN"/>
        </w:rPr>
        <w:t>万元，其中：人员经费</w:t>
      </w:r>
      <w:r>
        <w:rPr>
          <w:rFonts w:hint="eastAsia" w:ascii="宋体" w:hAnsi="宋体" w:eastAsia="宋体" w:cs="宋体"/>
          <w:color w:val="000000"/>
          <w:sz w:val="32"/>
          <w:szCs w:val="32"/>
          <w:lang w:val="en-US"/>
        </w:rPr>
        <w:t>2,192.64</w:t>
      </w:r>
      <w:r>
        <w:rPr>
          <w:rFonts w:hint="eastAsia" w:ascii="宋体" w:hAnsi="宋体" w:eastAsia="宋体" w:cs="宋体"/>
          <w:color w:val="000000"/>
          <w:sz w:val="32"/>
          <w:szCs w:val="32"/>
          <w:lang w:eastAsia="zh-CN"/>
        </w:rPr>
        <w:t>万元，占基本支出的</w:t>
      </w:r>
      <w:r>
        <w:rPr>
          <w:rFonts w:hint="eastAsia" w:ascii="宋体" w:hAnsi="宋体" w:eastAsia="宋体" w:cs="宋体"/>
          <w:color w:val="000000"/>
          <w:sz w:val="32"/>
          <w:szCs w:val="32"/>
          <w:lang w:val="en-US"/>
        </w:rPr>
        <w:t>89.61%</w:t>
      </w:r>
      <w:r>
        <w:rPr>
          <w:rFonts w:hint="eastAsia" w:ascii="宋体" w:hAnsi="宋体" w:eastAsia="宋体" w:cs="宋体"/>
          <w:color w:val="000000"/>
          <w:sz w:val="32"/>
          <w:szCs w:val="32"/>
          <w:lang w:eastAsia="zh-CN"/>
        </w:rPr>
        <w:t>，主要包括：基本工资、津贴补贴、奖金、绩效工资、机关事业单位基本养老保险缴费、职业年金缴费、职工基本医疗保险缴费、其他社会保障缴费、住房公积金、其他工资福利支出、抚恤金、生活补助。公用经费</w:t>
      </w:r>
      <w:r>
        <w:rPr>
          <w:rFonts w:hint="eastAsia" w:ascii="宋体" w:hAnsi="宋体" w:eastAsia="宋体" w:cs="宋体"/>
          <w:color w:val="000000"/>
          <w:sz w:val="32"/>
          <w:szCs w:val="32"/>
          <w:lang w:val="en-US"/>
        </w:rPr>
        <w:t>254.34</w:t>
      </w:r>
      <w:r>
        <w:rPr>
          <w:rFonts w:hint="eastAsia" w:ascii="宋体" w:hAnsi="宋体" w:eastAsia="宋体" w:cs="宋体"/>
          <w:color w:val="000000"/>
          <w:sz w:val="32"/>
          <w:szCs w:val="32"/>
          <w:lang w:eastAsia="zh-CN"/>
        </w:rPr>
        <w:t>万元，占基本支出的</w:t>
      </w:r>
      <w:r>
        <w:rPr>
          <w:rFonts w:hint="eastAsia" w:ascii="宋体" w:hAnsi="宋体" w:eastAsia="宋体" w:cs="宋体"/>
          <w:color w:val="000000"/>
          <w:sz w:val="32"/>
          <w:szCs w:val="32"/>
          <w:lang w:val="en-US"/>
        </w:rPr>
        <w:t>10.39%</w:t>
      </w:r>
      <w:r>
        <w:rPr>
          <w:rFonts w:hint="eastAsia" w:ascii="宋体" w:hAnsi="宋体" w:eastAsia="宋体" w:cs="宋体"/>
          <w:color w:val="000000"/>
          <w:sz w:val="32"/>
          <w:szCs w:val="32"/>
          <w:lang w:eastAsia="zh-CN"/>
        </w:rPr>
        <w:t>，主要包括：办公费、印刷费、水费、电费、邮电费、差旅费、维修（护）费、培训费、公务接待费、专用材料费、工会经费、公务用车运行维护费、其他交通费用、其他商品和服务支出。</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七、一般公共预算财政拨款三公经费支出决算情况说明</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（一）“三公”经费财政拨款支出决算总体情况说明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年度“三公”经费财政拨款支出预算为</w:t>
      </w:r>
      <w:r>
        <w:rPr>
          <w:rFonts w:hint="eastAsia" w:ascii="宋体" w:hAnsi="宋体" w:eastAsia="宋体" w:cs="宋体"/>
          <w:color w:val="000000"/>
          <w:sz w:val="32"/>
          <w:szCs w:val="32"/>
          <w:lang w:val="en-US"/>
        </w:rPr>
        <w:t>19.28</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14.26</w:t>
      </w:r>
      <w:r>
        <w:rPr>
          <w:rFonts w:hint="eastAsia" w:ascii="宋体" w:hAnsi="宋体" w:eastAsia="宋体" w:cs="宋体"/>
          <w:color w:val="000000"/>
          <w:sz w:val="32"/>
          <w:szCs w:val="32"/>
          <w:lang w:eastAsia="zh-CN"/>
        </w:rPr>
        <w:t>万元，完成预算的</w:t>
      </w:r>
      <w:r>
        <w:rPr>
          <w:rFonts w:hint="eastAsia" w:ascii="宋体" w:hAnsi="宋体" w:eastAsia="宋体" w:cs="宋体"/>
          <w:color w:val="000000"/>
          <w:sz w:val="32"/>
          <w:szCs w:val="32"/>
          <w:lang w:val="en-US"/>
        </w:rPr>
        <w:t>73.96%</w:t>
      </w:r>
      <w:r>
        <w:rPr>
          <w:rFonts w:hint="eastAsia" w:ascii="宋体" w:hAnsi="宋体" w:eastAsia="宋体" w:cs="宋体"/>
          <w:color w:val="000000"/>
          <w:sz w:val="32"/>
          <w:szCs w:val="32"/>
          <w:lang w:eastAsia="zh-CN"/>
        </w:rPr>
        <w:t>，其中：</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因公出国（境）费支出预算为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万元，决算数与预算数一致，我单位严格按预算执行决算，因公出国（境）费支出与上年持平。</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公务接待费支出预算为</w:t>
      </w:r>
      <w:r>
        <w:rPr>
          <w:rFonts w:hint="eastAsia" w:ascii="宋体" w:hAnsi="宋体" w:eastAsia="宋体" w:cs="宋体"/>
          <w:color w:val="000000"/>
          <w:sz w:val="32"/>
          <w:szCs w:val="32"/>
          <w:lang w:val="en-US"/>
        </w:rPr>
        <w:t>10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4.98</w:t>
      </w:r>
      <w:r>
        <w:rPr>
          <w:rFonts w:hint="eastAsia" w:ascii="宋体" w:hAnsi="宋体" w:eastAsia="宋体" w:cs="宋体"/>
          <w:color w:val="000000"/>
          <w:sz w:val="32"/>
          <w:szCs w:val="32"/>
          <w:lang w:eastAsia="zh-CN"/>
        </w:rPr>
        <w:t>万元，完成预算的</w:t>
      </w:r>
      <w:r>
        <w:rPr>
          <w:rFonts w:hint="eastAsia" w:ascii="宋体" w:hAnsi="宋体" w:eastAsia="宋体" w:cs="宋体"/>
          <w:color w:val="000000"/>
          <w:sz w:val="32"/>
          <w:szCs w:val="32"/>
          <w:lang w:val="en-US"/>
        </w:rPr>
        <w:t>49.8%</w:t>
      </w:r>
      <w:r>
        <w:rPr>
          <w:rFonts w:hint="eastAsia" w:ascii="宋体" w:hAnsi="宋体" w:eastAsia="宋体" w:cs="宋体"/>
          <w:color w:val="000000"/>
          <w:sz w:val="32"/>
          <w:szCs w:val="32"/>
          <w:lang w:eastAsia="zh-CN"/>
        </w:rPr>
        <w:t>，决算数小于预算数的主要原因是</w:t>
      </w:r>
      <w:r>
        <w:rPr>
          <w:rStyle w:val="17"/>
          <w:rFonts w:hint="eastAsia" w:ascii="宋体" w:hAnsi="宋体" w:eastAsia="宋体" w:cs="宋体"/>
          <w:color w:val="000000"/>
          <w:sz w:val="32"/>
          <w:szCs w:val="32"/>
          <w:lang w:eastAsia="zh-CN"/>
        </w:rPr>
        <w:t>认真贯彻落实中央八项规定精神和厉行节约要求，从严控制“三公”经费开支，全年实际支出比预算有所节约</w:t>
      </w:r>
      <w:r>
        <w:rPr>
          <w:rFonts w:hint="eastAsia" w:ascii="宋体" w:hAnsi="宋体" w:eastAsia="宋体" w:cs="宋体"/>
          <w:color w:val="000000"/>
          <w:sz w:val="32"/>
          <w:szCs w:val="32"/>
          <w:lang w:eastAsia="zh-CN"/>
        </w:rPr>
        <w:t xml:space="preserve"> ，与上年相比减少</w:t>
      </w:r>
      <w:r>
        <w:rPr>
          <w:rFonts w:hint="eastAsia" w:ascii="宋体" w:hAnsi="宋体" w:eastAsia="宋体" w:cs="宋体"/>
          <w:color w:val="000000"/>
          <w:sz w:val="32"/>
          <w:szCs w:val="32"/>
          <w:lang w:val="en-US"/>
        </w:rPr>
        <w:t>0.07</w:t>
      </w:r>
      <w:r>
        <w:rPr>
          <w:rFonts w:hint="eastAsia" w:ascii="宋体" w:hAnsi="宋体" w:eastAsia="宋体" w:cs="宋体"/>
          <w:color w:val="000000"/>
          <w:sz w:val="32"/>
          <w:szCs w:val="32"/>
          <w:lang w:eastAsia="zh-CN"/>
        </w:rPr>
        <w:t>万元，下降</w:t>
      </w:r>
      <w:r>
        <w:rPr>
          <w:rFonts w:hint="eastAsia" w:ascii="宋体" w:hAnsi="宋体" w:eastAsia="宋体" w:cs="宋体"/>
          <w:color w:val="000000"/>
          <w:sz w:val="32"/>
          <w:szCs w:val="32"/>
          <w:lang w:val="en-US"/>
        </w:rPr>
        <w:t>1.39%</w:t>
      </w:r>
      <w:r>
        <w:rPr>
          <w:rFonts w:hint="eastAsia" w:ascii="宋体" w:hAnsi="宋体" w:eastAsia="宋体" w:cs="宋体"/>
          <w:color w:val="000000"/>
          <w:sz w:val="32"/>
          <w:szCs w:val="32"/>
          <w:lang w:eastAsia="zh-CN"/>
        </w:rPr>
        <w:t>，下降的主要原因是</w:t>
      </w:r>
      <w:r>
        <w:rPr>
          <w:rStyle w:val="17"/>
          <w:rFonts w:hint="eastAsia" w:ascii="宋体" w:hAnsi="宋体" w:eastAsia="宋体" w:cs="宋体"/>
          <w:color w:val="000000"/>
          <w:sz w:val="32"/>
          <w:szCs w:val="32"/>
          <w:lang w:eastAsia="zh-CN"/>
        </w:rPr>
        <w:t>从严控制公务接待，公务接待批次减少</w:t>
      </w:r>
      <w:r>
        <w:rPr>
          <w:rFonts w:hint="eastAsia" w:ascii="宋体" w:hAnsi="宋体" w:eastAsia="宋体" w:cs="宋体"/>
          <w:color w:val="000000"/>
          <w:sz w:val="32"/>
          <w:szCs w:val="32"/>
          <w:lang w:eastAsia="zh-CN"/>
        </w:rPr>
        <w:t>。</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公务用车购置费支出预算为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万元，决算数与预算数一致，我单位严格按预算执行决算，公务用车购置费支出与上年持平。</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公务用车运行维护费支出预算为</w:t>
      </w:r>
      <w:r>
        <w:rPr>
          <w:rFonts w:hint="eastAsia" w:ascii="宋体" w:hAnsi="宋体" w:eastAsia="宋体" w:cs="宋体"/>
          <w:color w:val="000000"/>
          <w:sz w:val="32"/>
          <w:szCs w:val="32"/>
          <w:lang w:val="en-US"/>
        </w:rPr>
        <w:t>9.28</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9.28</w:t>
      </w:r>
      <w:r>
        <w:rPr>
          <w:rFonts w:hint="eastAsia" w:ascii="宋体" w:hAnsi="宋体" w:eastAsia="宋体" w:cs="宋体"/>
          <w:color w:val="000000"/>
          <w:sz w:val="32"/>
          <w:szCs w:val="32"/>
          <w:lang w:eastAsia="zh-CN"/>
        </w:rPr>
        <w:t>万元，完成预算的</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，决算数与预算数一致，我单位严格按预算执行决算，与上年相比减少</w:t>
      </w:r>
      <w:r>
        <w:rPr>
          <w:rFonts w:hint="eastAsia" w:ascii="宋体" w:hAnsi="宋体" w:eastAsia="宋体" w:cs="宋体"/>
          <w:color w:val="000000"/>
          <w:sz w:val="32"/>
          <w:szCs w:val="32"/>
          <w:lang w:val="en-US"/>
        </w:rPr>
        <w:t>15.72</w:t>
      </w:r>
      <w:r>
        <w:rPr>
          <w:rFonts w:hint="eastAsia" w:ascii="宋体" w:hAnsi="宋体" w:eastAsia="宋体" w:cs="宋体"/>
          <w:color w:val="000000"/>
          <w:sz w:val="32"/>
          <w:szCs w:val="32"/>
          <w:lang w:eastAsia="zh-CN"/>
        </w:rPr>
        <w:t>万元，下降</w:t>
      </w:r>
      <w:r>
        <w:rPr>
          <w:rFonts w:hint="eastAsia" w:ascii="宋体" w:hAnsi="宋体" w:eastAsia="宋体" w:cs="宋体"/>
          <w:color w:val="000000"/>
          <w:sz w:val="32"/>
          <w:szCs w:val="32"/>
          <w:lang w:val="en-US"/>
        </w:rPr>
        <w:t>62.88%</w:t>
      </w:r>
      <w:r>
        <w:rPr>
          <w:rFonts w:hint="eastAsia" w:ascii="宋体" w:hAnsi="宋体" w:eastAsia="宋体" w:cs="宋体"/>
          <w:color w:val="000000"/>
          <w:sz w:val="32"/>
          <w:szCs w:val="32"/>
          <w:lang w:eastAsia="zh-CN"/>
        </w:rPr>
        <w:t>，下降的主要原因是</w:t>
      </w:r>
      <w:r>
        <w:rPr>
          <w:rStyle w:val="17"/>
          <w:rFonts w:hint="eastAsia" w:ascii="宋体" w:hAnsi="宋体" w:eastAsia="宋体" w:cs="宋体"/>
          <w:color w:val="000000"/>
          <w:sz w:val="32"/>
          <w:szCs w:val="32"/>
          <w:lang w:eastAsia="zh-CN"/>
        </w:rPr>
        <w:t>公务用车改革车辆减少，车辆运行及维护费相应减少</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（二）“三公”经费财政拨款支出决算具体情况说明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年度“三公”经费财政拨款支出决算中，公务接待费支出决算</w:t>
      </w:r>
      <w:r>
        <w:rPr>
          <w:rFonts w:hint="eastAsia" w:ascii="宋体" w:hAnsi="宋体" w:eastAsia="宋体" w:cs="宋体"/>
          <w:color w:val="000000"/>
          <w:sz w:val="32"/>
          <w:szCs w:val="32"/>
          <w:lang w:val="en-US"/>
        </w:rPr>
        <w:t>4.98</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34.92%</w:t>
      </w:r>
      <w:r>
        <w:rPr>
          <w:rFonts w:hint="eastAsia" w:ascii="宋体" w:hAnsi="宋体" w:eastAsia="宋体" w:cs="宋体"/>
          <w:color w:val="000000"/>
          <w:sz w:val="32"/>
          <w:szCs w:val="32"/>
          <w:lang w:eastAsia="zh-CN"/>
        </w:rPr>
        <w:t>，因公出国（境）费支出决算</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，公务用车购置费及运行维护费支出决算</w:t>
      </w:r>
      <w:r>
        <w:rPr>
          <w:rFonts w:hint="eastAsia" w:ascii="宋体" w:hAnsi="宋体" w:eastAsia="宋体" w:cs="宋体"/>
          <w:color w:val="000000"/>
          <w:sz w:val="32"/>
          <w:szCs w:val="32"/>
          <w:lang w:val="en-US"/>
        </w:rPr>
        <w:t>9.28</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65.08%</w:t>
      </w:r>
      <w:r>
        <w:rPr>
          <w:rFonts w:hint="eastAsia" w:ascii="宋体" w:hAnsi="宋体" w:eastAsia="宋体" w:cs="宋体"/>
          <w:color w:val="000000"/>
          <w:sz w:val="32"/>
          <w:szCs w:val="32"/>
          <w:lang w:eastAsia="zh-CN"/>
        </w:rPr>
        <w:t>。其中：</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、因公出国（境）费支出决算为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万元，全年安排因公出国（境）团组</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个，累计</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人次，我单位</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年度无因公出国（境）费支出。</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w:t>
      </w:r>
      <w:r>
        <w:rPr>
          <w:rFonts w:hint="eastAsia" w:ascii="宋体" w:hAnsi="宋体" w:eastAsia="宋体" w:cs="宋体"/>
          <w:color w:val="000000"/>
          <w:sz w:val="32"/>
          <w:szCs w:val="32"/>
          <w:lang w:eastAsia="zh-CN"/>
        </w:rPr>
        <w:t>、公务接待费支出决算为</w:t>
      </w:r>
      <w:r>
        <w:rPr>
          <w:rFonts w:hint="eastAsia" w:ascii="宋体" w:hAnsi="宋体" w:eastAsia="宋体" w:cs="宋体"/>
          <w:color w:val="000000"/>
          <w:sz w:val="32"/>
          <w:szCs w:val="32"/>
          <w:lang w:val="en-US"/>
        </w:rPr>
        <w:t>4.98</w:t>
      </w:r>
      <w:r>
        <w:rPr>
          <w:rFonts w:hint="eastAsia" w:ascii="宋体" w:hAnsi="宋体" w:eastAsia="宋体" w:cs="宋体"/>
          <w:color w:val="000000"/>
          <w:sz w:val="32"/>
          <w:szCs w:val="32"/>
          <w:lang w:eastAsia="zh-CN"/>
        </w:rPr>
        <w:t>万元，全年共接待来访团组</w:t>
      </w:r>
      <w:r>
        <w:rPr>
          <w:rFonts w:hint="eastAsia" w:ascii="宋体" w:hAnsi="宋体" w:eastAsia="宋体" w:cs="宋体"/>
          <w:color w:val="000000"/>
          <w:sz w:val="32"/>
          <w:szCs w:val="32"/>
          <w:lang w:val="en-US"/>
        </w:rPr>
        <w:t>65</w:t>
      </w:r>
      <w:r>
        <w:rPr>
          <w:rFonts w:hint="eastAsia" w:ascii="宋体" w:hAnsi="宋体" w:eastAsia="宋体" w:cs="宋体"/>
          <w:color w:val="000000"/>
          <w:sz w:val="32"/>
          <w:szCs w:val="32"/>
          <w:lang w:eastAsia="zh-CN"/>
        </w:rPr>
        <w:t>个、来宾</w:t>
      </w:r>
      <w:r>
        <w:rPr>
          <w:rFonts w:hint="eastAsia" w:ascii="宋体" w:hAnsi="宋体" w:eastAsia="宋体" w:cs="宋体"/>
          <w:color w:val="000000"/>
          <w:sz w:val="32"/>
          <w:szCs w:val="32"/>
          <w:lang w:val="en-US"/>
        </w:rPr>
        <w:t>625</w:t>
      </w:r>
      <w:r>
        <w:rPr>
          <w:rFonts w:hint="eastAsia" w:ascii="宋体" w:hAnsi="宋体" w:eastAsia="宋体" w:cs="宋体"/>
          <w:color w:val="000000"/>
          <w:sz w:val="32"/>
          <w:szCs w:val="32"/>
          <w:lang w:eastAsia="zh-CN"/>
        </w:rPr>
        <w:t>人次，主要是</w:t>
      </w:r>
      <w:r>
        <w:rPr>
          <w:rStyle w:val="17"/>
          <w:rFonts w:hint="eastAsia" w:ascii="宋体" w:hAnsi="宋体" w:eastAsia="宋体" w:cs="宋体"/>
          <w:color w:val="000000"/>
          <w:sz w:val="32"/>
          <w:szCs w:val="32"/>
          <w:lang w:eastAsia="zh-CN"/>
        </w:rPr>
        <w:t>上级部门各类检查、专项业务咨询、招商引资等</w:t>
      </w:r>
      <w:r>
        <w:rPr>
          <w:rFonts w:hint="eastAsia" w:ascii="宋体" w:hAnsi="宋体" w:eastAsia="宋体" w:cs="宋体"/>
          <w:color w:val="000000"/>
          <w:sz w:val="32"/>
          <w:szCs w:val="32"/>
          <w:lang w:eastAsia="zh-CN"/>
        </w:rPr>
        <w:t>发生的接待支出。</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、公务用车购置费及运行维护费支出决算为</w:t>
      </w:r>
      <w:r>
        <w:rPr>
          <w:rFonts w:hint="eastAsia" w:ascii="宋体" w:hAnsi="宋体" w:eastAsia="宋体" w:cs="宋体"/>
          <w:color w:val="000000"/>
          <w:sz w:val="32"/>
          <w:szCs w:val="32"/>
          <w:lang w:val="en-US"/>
        </w:rPr>
        <w:t>9.28</w:t>
      </w:r>
      <w:r>
        <w:rPr>
          <w:rFonts w:hint="eastAsia" w:ascii="宋体" w:hAnsi="宋体" w:eastAsia="宋体" w:cs="宋体"/>
          <w:color w:val="000000"/>
          <w:sz w:val="32"/>
          <w:szCs w:val="32"/>
          <w:lang w:eastAsia="zh-CN"/>
        </w:rPr>
        <w:t>万元，其中：公务用车购置费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w:t>
      </w:r>
      <w:r>
        <w:rPr>
          <w:rStyle w:val="17"/>
          <w:rFonts w:hint="eastAsia" w:ascii="宋体" w:hAnsi="宋体" w:eastAsia="宋体" w:cs="宋体"/>
          <w:color w:val="000000"/>
          <w:sz w:val="32"/>
          <w:szCs w:val="32"/>
          <w:lang w:eastAsia="zh-CN"/>
        </w:rPr>
        <w:t>本年度</w:t>
      </w:r>
      <w:r>
        <w:rPr>
          <w:rFonts w:hint="eastAsia" w:ascii="宋体" w:hAnsi="宋体" w:eastAsia="宋体" w:cs="宋体"/>
          <w:color w:val="000000"/>
          <w:sz w:val="32"/>
          <w:szCs w:val="32"/>
          <w:lang w:eastAsia="zh-CN"/>
        </w:rPr>
        <w:t>更新公务用车</w:t>
      </w:r>
      <w:r>
        <w:rPr>
          <w:rStyle w:val="17"/>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辆。公务用车运行维护费</w:t>
      </w:r>
      <w:r>
        <w:rPr>
          <w:rFonts w:hint="eastAsia" w:ascii="宋体" w:hAnsi="宋体" w:eastAsia="宋体" w:cs="宋体"/>
          <w:color w:val="000000"/>
          <w:sz w:val="32"/>
          <w:szCs w:val="32"/>
          <w:lang w:val="en-US"/>
        </w:rPr>
        <w:t>9.28</w:t>
      </w:r>
      <w:r>
        <w:rPr>
          <w:rFonts w:hint="eastAsia" w:ascii="宋体" w:hAnsi="宋体" w:eastAsia="宋体" w:cs="宋体"/>
          <w:color w:val="000000"/>
          <w:sz w:val="32"/>
          <w:szCs w:val="32"/>
          <w:lang w:eastAsia="zh-CN"/>
        </w:rPr>
        <w:t>万元，主要是</w:t>
      </w:r>
      <w:r>
        <w:rPr>
          <w:rStyle w:val="17"/>
          <w:rFonts w:hint="eastAsia" w:ascii="宋体" w:hAnsi="宋体" w:eastAsia="宋体" w:cs="宋体"/>
          <w:color w:val="000000"/>
          <w:sz w:val="32"/>
          <w:szCs w:val="32"/>
          <w:lang w:eastAsia="zh-CN"/>
        </w:rPr>
        <w:t>车辆维修（护）费、油费等</w:t>
      </w:r>
      <w:r>
        <w:rPr>
          <w:rFonts w:hint="eastAsia" w:ascii="宋体" w:hAnsi="宋体" w:eastAsia="宋体" w:cs="宋体"/>
          <w:color w:val="000000"/>
          <w:sz w:val="32"/>
          <w:szCs w:val="32"/>
          <w:lang w:eastAsia="zh-CN"/>
        </w:rPr>
        <w:t>支出，截至</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w:t>
      </w:r>
      <w:r>
        <w:rPr>
          <w:rFonts w:hint="eastAsia" w:ascii="宋体" w:hAnsi="宋体" w:eastAsia="宋体" w:cs="宋体"/>
          <w:color w:val="000000"/>
          <w:sz w:val="32"/>
          <w:szCs w:val="32"/>
          <w:lang w:val="en-US"/>
        </w:rPr>
        <w:t>12</w:t>
      </w:r>
      <w:r>
        <w:rPr>
          <w:rFonts w:hint="eastAsia" w:ascii="宋体" w:hAnsi="宋体" w:eastAsia="宋体" w:cs="宋体"/>
          <w:color w:val="000000"/>
          <w:sz w:val="32"/>
          <w:szCs w:val="32"/>
          <w:lang w:eastAsia="zh-CN"/>
        </w:rPr>
        <w:t>月</w:t>
      </w:r>
      <w:r>
        <w:rPr>
          <w:rFonts w:hint="eastAsia" w:ascii="宋体" w:hAnsi="宋体" w:eastAsia="宋体" w:cs="宋体"/>
          <w:color w:val="000000"/>
          <w:sz w:val="32"/>
          <w:szCs w:val="32"/>
          <w:lang w:val="en-US"/>
        </w:rPr>
        <w:t>31</w:t>
      </w:r>
      <w:r>
        <w:rPr>
          <w:rFonts w:hint="eastAsia" w:ascii="宋体" w:hAnsi="宋体" w:eastAsia="宋体" w:cs="宋体"/>
          <w:color w:val="000000"/>
          <w:sz w:val="32"/>
          <w:szCs w:val="32"/>
          <w:lang w:eastAsia="zh-CN"/>
        </w:rPr>
        <w:t>日，我单位开支财政拨款的公务用车保有量为</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辆。</w:t>
      </w:r>
      <w:r>
        <w:rPr>
          <w:color w:val="000000"/>
          <w:sz w:val="27"/>
          <w:szCs w:val="27"/>
          <w:lang w:eastAsia="zh-CN"/>
        </w:rPr>
        <w:t xml:space="preserve">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八、政府性基金预算收入支出决算情况</w:t>
      </w:r>
      <w:r>
        <w:rPr>
          <w:color w:val="000000"/>
          <w:sz w:val="27"/>
          <w:szCs w:val="27"/>
          <w:lang w:eastAsia="zh-CN"/>
        </w:rPr>
        <w:t xml:space="preserve"> </w:t>
      </w:r>
    </w:p>
    <w:p>
      <w:pPr>
        <w:pStyle w:val="15"/>
        <w:spacing w:after="2" w:afterAutospacing="0"/>
        <w:ind w:left="0" w:firstLine="641"/>
        <w:rPr>
          <w:rFonts w:hint="eastAsia" w:ascii="宋体" w:hAnsi="宋体" w:eastAsia="宋体" w:cs="宋体"/>
          <w:color w:val="000000"/>
          <w:sz w:val="32"/>
          <w:szCs w:val="32"/>
          <w:lang w:val="en-US"/>
        </w:rPr>
      </w:pPr>
      <w:r>
        <w:rPr>
          <w:rFonts w:hint="eastAsia" w:ascii="宋体" w:hAnsi="宋体" w:eastAsia="宋体" w:cs="宋体"/>
          <w:color w:val="000000"/>
          <w:sz w:val="32"/>
          <w:szCs w:val="32"/>
          <w:lang w:eastAsia="zh-CN"/>
        </w:rPr>
        <w:t>永州市冷水滩区林业局</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 xml:space="preserve">年度没有政府性基金收入，也没有使用政府性基金安排的支出，并已公开空表。 </w:t>
      </w:r>
    </w:p>
    <w:p>
      <w:pPr>
        <w:pStyle w:val="15"/>
        <w:spacing w:after="2" w:afterAutospacing="0"/>
        <w:ind w:left="0" w:firstLine="641"/>
        <w:rPr>
          <w:color w:val="000000"/>
          <w:sz w:val="27"/>
          <w:szCs w:val="27"/>
          <w:lang w:val="en-US"/>
        </w:rPr>
      </w:pPr>
      <w:r>
        <w:rPr>
          <w:rFonts w:hint="eastAsia" w:ascii="宋体" w:hAnsi="宋体" w:eastAsia="宋体" w:cs="宋体"/>
          <w:b/>
          <w:bCs/>
          <w:color w:val="000000"/>
          <w:sz w:val="32"/>
          <w:szCs w:val="32"/>
          <w:lang w:eastAsia="zh-CN"/>
        </w:rPr>
        <w:t>九、关于机关运行经费支出说明</w:t>
      </w:r>
      <w:r>
        <w:rPr>
          <w:color w:val="000000"/>
          <w:sz w:val="27"/>
          <w:szCs w:val="27"/>
          <w:lang w:eastAsia="zh-CN"/>
        </w:rPr>
        <w:t xml:space="preserve"> </w:t>
      </w:r>
    </w:p>
    <w:p>
      <w:pPr>
        <w:pStyle w:val="15"/>
        <w:spacing w:after="2" w:afterAutospacing="0"/>
        <w:ind w:left="0" w:firstLine="640"/>
        <w:rPr>
          <w:rFonts w:hint="eastAsia" w:ascii="宋体" w:hAnsi="宋体" w:eastAsia="宋体" w:cs="宋体"/>
          <w:color w:val="000000"/>
          <w:sz w:val="32"/>
          <w:szCs w:val="32"/>
          <w:lang w:val="en-US"/>
        </w:rPr>
      </w:pPr>
      <w:r>
        <w:rPr>
          <w:rFonts w:hint="eastAsia" w:ascii="宋体" w:hAnsi="宋体" w:eastAsia="宋体" w:cs="宋体"/>
          <w:color w:val="000000"/>
          <w:sz w:val="32"/>
          <w:szCs w:val="32"/>
          <w:lang w:eastAsia="zh-CN"/>
        </w:rPr>
        <w:t>永州市冷水滩区林业局</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年度机关运行经费支出</w:t>
      </w:r>
      <w:r>
        <w:rPr>
          <w:rFonts w:hint="eastAsia" w:ascii="宋体" w:hAnsi="宋体" w:eastAsia="宋体" w:cs="宋体"/>
          <w:color w:val="000000"/>
          <w:sz w:val="32"/>
          <w:szCs w:val="32"/>
          <w:lang w:val="en-US"/>
        </w:rPr>
        <w:t>254.34</w:t>
      </w:r>
      <w:r>
        <w:rPr>
          <w:rFonts w:hint="eastAsia" w:ascii="宋体" w:hAnsi="宋体" w:eastAsia="宋体" w:cs="宋体"/>
          <w:color w:val="000000"/>
          <w:sz w:val="32"/>
          <w:szCs w:val="32"/>
          <w:lang w:eastAsia="zh-CN"/>
        </w:rPr>
        <w:t>万元，比年初预算数减少</w:t>
      </w:r>
      <w:r>
        <w:rPr>
          <w:rFonts w:hint="eastAsia" w:ascii="宋体" w:hAnsi="宋体" w:eastAsia="宋体" w:cs="宋体"/>
          <w:color w:val="000000"/>
          <w:sz w:val="32"/>
          <w:szCs w:val="32"/>
          <w:lang w:val="en-US"/>
        </w:rPr>
        <w:t>73.18</w:t>
      </w:r>
      <w:r>
        <w:rPr>
          <w:rFonts w:hint="eastAsia" w:ascii="宋体" w:hAnsi="宋体" w:eastAsia="宋体" w:cs="宋体"/>
          <w:color w:val="000000"/>
          <w:sz w:val="32"/>
          <w:szCs w:val="32"/>
          <w:lang w:eastAsia="zh-CN"/>
        </w:rPr>
        <w:t>万元，下降</w:t>
      </w:r>
      <w:r>
        <w:rPr>
          <w:rFonts w:hint="eastAsia" w:ascii="宋体" w:hAnsi="宋体" w:eastAsia="宋体" w:cs="宋体"/>
          <w:color w:val="000000"/>
          <w:sz w:val="32"/>
          <w:szCs w:val="32"/>
          <w:lang w:val="en-US"/>
        </w:rPr>
        <w:t>22.34%</w:t>
      </w:r>
      <w:r>
        <w:rPr>
          <w:rFonts w:hint="eastAsia" w:ascii="宋体" w:hAnsi="宋体" w:eastAsia="宋体" w:cs="宋体"/>
          <w:color w:val="000000"/>
          <w:sz w:val="32"/>
          <w:szCs w:val="32"/>
          <w:lang w:eastAsia="zh-CN"/>
        </w:rPr>
        <w:t>。主要原因是：</w:t>
      </w:r>
      <w:r>
        <w:rPr>
          <w:rStyle w:val="17"/>
          <w:rFonts w:hint="eastAsia" w:ascii="宋体" w:hAnsi="宋体" w:eastAsia="宋体" w:cs="宋体"/>
          <w:color w:val="000000"/>
          <w:sz w:val="32"/>
          <w:szCs w:val="32"/>
          <w:lang w:eastAsia="zh-CN"/>
        </w:rPr>
        <w:t>财政拨款不足，办公费、差旅费等日常公共经费也相应减少</w:t>
      </w:r>
      <w:r>
        <w:rPr>
          <w:rFonts w:hint="eastAsia" w:ascii="宋体" w:hAnsi="宋体" w:eastAsia="宋体" w:cs="宋体"/>
          <w:color w:val="000000"/>
          <w:sz w:val="32"/>
          <w:szCs w:val="32"/>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b/>
          <w:bCs/>
          <w:color w:val="000000"/>
          <w:sz w:val="32"/>
          <w:szCs w:val="32"/>
          <w:lang w:eastAsia="zh-CN"/>
        </w:rPr>
        <w:t>十、一般性支出情况</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年度永州市冷水滩区林业局开支会议费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万元，我单位</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年度无会议费支出；开支培训费</w:t>
      </w:r>
      <w:r>
        <w:rPr>
          <w:rFonts w:hint="eastAsia" w:ascii="宋体" w:hAnsi="宋体" w:eastAsia="宋体" w:cs="宋体"/>
          <w:color w:val="000000"/>
          <w:sz w:val="32"/>
          <w:szCs w:val="32"/>
          <w:lang w:val="en-US"/>
        </w:rPr>
        <w:t>2</w:t>
      </w:r>
      <w:r>
        <w:rPr>
          <w:rFonts w:hint="eastAsia" w:ascii="宋体" w:hAnsi="宋体" w:eastAsia="宋体" w:cs="宋体"/>
          <w:color w:val="000000"/>
          <w:sz w:val="32"/>
          <w:szCs w:val="32"/>
          <w:lang w:eastAsia="zh-CN"/>
        </w:rPr>
        <w:t>万元，</w:t>
      </w:r>
      <w:r>
        <w:rPr>
          <w:rStyle w:val="17"/>
          <w:rFonts w:hint="eastAsia" w:ascii="宋体" w:hAnsi="宋体" w:eastAsia="宋体" w:cs="宋体"/>
          <w:color w:val="000000"/>
          <w:sz w:val="32"/>
          <w:szCs w:val="32"/>
          <w:lang w:eastAsia="zh-CN"/>
        </w:rPr>
        <w:t>开展相关部门要求的各业务股站室人员培训支出</w:t>
      </w:r>
      <w:r>
        <w:rPr>
          <w:rFonts w:hint="eastAsia" w:ascii="宋体" w:hAnsi="宋体" w:eastAsia="宋体" w:cs="宋体"/>
          <w:color w:val="000000"/>
          <w:sz w:val="32"/>
          <w:szCs w:val="32"/>
          <w:lang w:eastAsia="zh-CN"/>
        </w:rPr>
        <w:t>；举办</w:t>
      </w:r>
      <w:r>
        <w:rPr>
          <w:rStyle w:val="17"/>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场节庆、晚会、论坛、赛事活动，开支</w:t>
      </w:r>
      <w:r>
        <w:rPr>
          <w:rStyle w:val="17"/>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w:t>
      </w:r>
      <w:r>
        <w:rPr>
          <w:rStyle w:val="17"/>
          <w:rFonts w:hint="eastAsia" w:ascii="宋体" w:hAnsi="宋体" w:eastAsia="宋体" w:cs="宋体"/>
          <w:color w:val="000000"/>
          <w:sz w:val="32"/>
          <w:szCs w:val="32"/>
          <w:lang w:eastAsia="zh-CN"/>
        </w:rPr>
        <w:t>本部门未举办此类活动</w:t>
      </w:r>
      <w:r>
        <w:rPr>
          <w:rFonts w:hint="eastAsia" w:ascii="宋体" w:hAnsi="宋体" w:eastAsia="宋体" w:cs="宋体"/>
          <w:color w:val="000000"/>
          <w:sz w:val="32"/>
          <w:szCs w:val="32"/>
          <w:lang w:eastAsia="zh-CN"/>
        </w:rPr>
        <w:t>。</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b/>
          <w:bCs/>
          <w:color w:val="000000"/>
          <w:sz w:val="32"/>
          <w:szCs w:val="32"/>
          <w:lang w:eastAsia="zh-CN"/>
        </w:rPr>
        <w:t>十一、关于政府采购支出说明</w:t>
      </w:r>
      <w:r>
        <w:rPr>
          <w:color w:val="000000"/>
          <w:sz w:val="27"/>
          <w:szCs w:val="27"/>
          <w:lang w:eastAsia="zh-CN"/>
        </w:rPr>
        <w:t xml:space="preserve"> </w:t>
      </w:r>
    </w:p>
    <w:p>
      <w:pPr>
        <w:pStyle w:val="15"/>
        <w:spacing w:after="2" w:afterAutospacing="0"/>
        <w:ind w:left="0" w:firstLine="853"/>
        <w:rPr>
          <w:rFonts w:hint="eastAsia" w:ascii="宋体" w:hAnsi="宋体" w:eastAsia="宋体" w:cs="宋体"/>
          <w:color w:val="000000"/>
          <w:sz w:val="32"/>
          <w:szCs w:val="32"/>
          <w:lang w:val="en-US"/>
        </w:rPr>
      </w:pPr>
      <w:r>
        <w:rPr>
          <w:rFonts w:hint="eastAsia" w:ascii="宋体" w:hAnsi="宋体" w:eastAsia="宋体" w:cs="宋体"/>
          <w:color w:val="000000"/>
          <w:sz w:val="32"/>
          <w:szCs w:val="32"/>
          <w:lang w:eastAsia="zh-CN"/>
        </w:rPr>
        <w:t>永州市冷水滩区林业局</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年度政府采购支出总额</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万元，其中：政府采购货物支出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万元、政府采购工程支出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万元、政府采购服务支出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万元。授予中小企业合同金额</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万元，占政府采购支出总额的</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，其中：授予小微企业合同金额</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万元，占政府采购支出总额的</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。货物采购授予中小企业合同金额占货物支出金额的</w:t>
      </w:r>
      <w:r>
        <w:rPr>
          <w:rStyle w:val="17"/>
          <w:rFonts w:hint="eastAsia" w:ascii="宋体" w:hAnsi="宋体" w:eastAsia="宋体" w:cs="宋体"/>
          <w:color w:val="000000"/>
          <w:sz w:val="32"/>
          <w:szCs w:val="32"/>
          <w:lang w:val="en-US"/>
        </w:rPr>
        <w:t>0</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，工程采购授予中小企业合同金额占工程支出金额的</w:t>
      </w:r>
      <w:r>
        <w:rPr>
          <w:rStyle w:val="17"/>
          <w:rFonts w:hint="eastAsia" w:ascii="宋体" w:hAnsi="宋体" w:eastAsia="宋体" w:cs="宋体"/>
          <w:color w:val="000000"/>
          <w:sz w:val="32"/>
          <w:szCs w:val="32"/>
          <w:lang w:val="en-US"/>
        </w:rPr>
        <w:t>0</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，服务采购授予中小企业合同金额占服务支出金额的</w:t>
      </w:r>
      <w:r>
        <w:rPr>
          <w:rStyle w:val="17"/>
          <w:rFonts w:hint="eastAsia" w:ascii="宋体" w:hAnsi="宋体" w:eastAsia="宋体" w:cs="宋体"/>
          <w:color w:val="000000"/>
          <w:sz w:val="32"/>
          <w:szCs w:val="32"/>
          <w:lang w:val="en-US"/>
        </w:rPr>
        <w:t>0</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b/>
          <w:bCs/>
          <w:color w:val="000000"/>
          <w:sz w:val="32"/>
          <w:szCs w:val="32"/>
          <w:lang w:eastAsia="zh-CN"/>
        </w:rPr>
        <w:t>十二、关于国有资产占用情况说明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截至</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w:t>
      </w:r>
      <w:r>
        <w:rPr>
          <w:rFonts w:hint="eastAsia" w:ascii="宋体" w:hAnsi="宋体" w:eastAsia="宋体" w:cs="宋体"/>
          <w:color w:val="000000"/>
          <w:sz w:val="32"/>
          <w:szCs w:val="32"/>
          <w:lang w:val="en-US"/>
        </w:rPr>
        <w:t>12</w:t>
      </w:r>
      <w:r>
        <w:rPr>
          <w:rFonts w:hint="eastAsia" w:ascii="宋体" w:hAnsi="宋体" w:eastAsia="宋体" w:cs="宋体"/>
          <w:color w:val="000000"/>
          <w:sz w:val="32"/>
          <w:szCs w:val="32"/>
          <w:lang w:eastAsia="zh-CN"/>
        </w:rPr>
        <w:t>月</w:t>
      </w:r>
      <w:r>
        <w:rPr>
          <w:rFonts w:hint="eastAsia" w:ascii="宋体" w:hAnsi="宋体" w:eastAsia="宋体" w:cs="宋体"/>
          <w:color w:val="000000"/>
          <w:sz w:val="32"/>
          <w:szCs w:val="32"/>
          <w:lang w:val="en-US"/>
        </w:rPr>
        <w:t>31</w:t>
      </w:r>
      <w:r>
        <w:rPr>
          <w:rFonts w:hint="eastAsia" w:ascii="宋体" w:hAnsi="宋体" w:eastAsia="宋体" w:cs="宋体"/>
          <w:color w:val="000000"/>
          <w:sz w:val="32"/>
          <w:szCs w:val="32"/>
          <w:lang w:eastAsia="zh-CN"/>
        </w:rPr>
        <w:t>日，永州市冷水滩区林业局共有车辆</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辆（台），其中：机要通信用车</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辆、应急保障用车</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辆、执法执勤用车</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辆、特种专业技术用车</w:t>
      </w: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辆、其他用车</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辆；单价</w:t>
      </w:r>
      <w:r>
        <w:rPr>
          <w:rFonts w:hint="eastAsia" w:ascii="宋体" w:hAnsi="宋体" w:eastAsia="宋体" w:cs="宋体"/>
          <w:color w:val="000000"/>
          <w:sz w:val="32"/>
          <w:szCs w:val="32"/>
          <w:lang w:val="en-US"/>
        </w:rPr>
        <w:t>50</w:t>
      </w:r>
      <w:r>
        <w:rPr>
          <w:rFonts w:hint="eastAsia" w:ascii="宋体" w:hAnsi="宋体" w:eastAsia="宋体" w:cs="宋体"/>
          <w:color w:val="000000"/>
          <w:sz w:val="32"/>
          <w:szCs w:val="32"/>
          <w:lang w:eastAsia="zh-CN"/>
        </w:rPr>
        <w:t>万元（含）以上通用设备</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台（套），单价</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万元（含）以上专用设备</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台（套）。</w:t>
      </w:r>
      <w:r>
        <w:rPr>
          <w:color w:val="000000"/>
          <w:sz w:val="27"/>
          <w:szCs w:val="27"/>
          <w:lang w:eastAsia="zh-CN"/>
        </w:rPr>
        <w:t xml:space="preserve"> </w:t>
      </w:r>
    </w:p>
    <w:p>
      <w:pPr>
        <w:pStyle w:val="15"/>
        <w:spacing w:after="2" w:afterAutospacing="0"/>
        <w:ind w:left="0" w:firstLine="640"/>
        <w:rPr>
          <w:color w:val="000000"/>
          <w:sz w:val="27"/>
          <w:szCs w:val="27"/>
          <w:lang w:val="en-US"/>
        </w:rPr>
      </w:pPr>
      <w:r>
        <w:rPr>
          <w:rFonts w:hint="eastAsia" w:ascii="宋体" w:hAnsi="宋体" w:eastAsia="宋体" w:cs="宋体"/>
          <w:b/>
          <w:bCs/>
          <w:color w:val="000000"/>
          <w:sz w:val="32"/>
          <w:szCs w:val="32"/>
          <w:lang w:eastAsia="zh-CN"/>
        </w:rPr>
        <w:t>十三、关于</w:t>
      </w:r>
      <w:r>
        <w:rPr>
          <w:rFonts w:hint="eastAsia" w:ascii="宋体" w:hAnsi="宋体" w:eastAsia="宋体" w:cs="宋体"/>
          <w:b/>
          <w:bCs/>
          <w:color w:val="000000"/>
          <w:sz w:val="32"/>
          <w:szCs w:val="32"/>
          <w:lang w:val="en-US"/>
        </w:rPr>
        <w:t>2021</w:t>
      </w:r>
      <w:r>
        <w:rPr>
          <w:rFonts w:hint="eastAsia" w:ascii="宋体" w:hAnsi="宋体" w:eastAsia="宋体" w:cs="宋体"/>
          <w:b/>
          <w:bCs/>
          <w:color w:val="000000"/>
          <w:sz w:val="32"/>
          <w:szCs w:val="32"/>
          <w:lang w:eastAsia="zh-CN"/>
        </w:rPr>
        <w:t>年度预算绩效情况说明</w:t>
      </w:r>
      <w:r>
        <w:rPr>
          <w:color w:val="000000"/>
          <w:sz w:val="27"/>
          <w:szCs w:val="27"/>
          <w:lang w:eastAsia="zh-CN"/>
        </w:rPr>
        <w:t xml:space="preserve"> </w:t>
      </w:r>
    </w:p>
    <w:p>
      <w:pPr>
        <w:pStyle w:val="15"/>
        <w:spacing w:after="2" w:afterAutospacing="0"/>
        <w:ind w:left="0" w:firstLine="640"/>
        <w:rPr>
          <w:color w:val="000000"/>
          <w:sz w:val="27"/>
          <w:szCs w:val="27"/>
          <w:lang w:val="en-US"/>
        </w:rPr>
      </w:pPr>
      <w:r>
        <w:rPr>
          <w:rStyle w:val="12"/>
          <w:rFonts w:hint="eastAsia" w:ascii="宋体" w:hAnsi="宋体" w:eastAsia="宋体" w:cs="Times New Roman"/>
          <w:color w:val="000000"/>
          <w:sz w:val="36"/>
          <w:szCs w:val="36"/>
          <w:lang w:eastAsia="zh-CN"/>
        </w:rPr>
        <w:t>（</w:t>
      </w:r>
      <w:r>
        <w:rPr>
          <w:rStyle w:val="12"/>
          <w:rFonts w:hint="eastAsia" w:ascii="宋体" w:hAnsi="宋体" w:eastAsia="宋体" w:cs="Times New Roman"/>
          <w:color w:val="000000"/>
          <w:sz w:val="36"/>
          <w:szCs w:val="36"/>
          <w:lang w:val="en-US"/>
        </w:rPr>
        <w:t>1</w:t>
      </w:r>
      <w:r>
        <w:rPr>
          <w:rStyle w:val="12"/>
          <w:rFonts w:hint="eastAsia" w:ascii="宋体" w:hAnsi="宋体" w:eastAsia="宋体" w:cs="Times New Roman"/>
          <w:color w:val="000000"/>
          <w:sz w:val="36"/>
          <w:szCs w:val="36"/>
          <w:lang w:eastAsia="zh-CN"/>
        </w:rPr>
        <w:t>）绩效管理评价工作开展情况。</w:t>
      </w:r>
    </w:p>
    <w:p>
      <w:pPr>
        <w:pStyle w:val="15"/>
        <w:spacing w:after="2" w:afterAutospacing="0"/>
        <w:ind w:left="0" w:firstLine="640"/>
        <w:rPr>
          <w:color w:val="000000"/>
          <w:sz w:val="27"/>
          <w:szCs w:val="27"/>
          <w:lang w:val="en-US"/>
        </w:rPr>
      </w:pPr>
      <w:r>
        <w:rPr>
          <w:rStyle w:val="17"/>
          <w:rFonts w:hint="eastAsia" w:ascii="宋体" w:hAnsi="宋体" w:eastAsia="宋体" w:cs="宋体"/>
          <w:color w:val="000000"/>
          <w:sz w:val="32"/>
          <w:szCs w:val="32"/>
          <w:lang w:eastAsia="zh-CN"/>
        </w:rPr>
        <w:t>根据财政预算绩效管理要求，我局组织对</w:t>
      </w:r>
      <w:r>
        <w:rPr>
          <w:rStyle w:val="17"/>
          <w:rFonts w:hint="eastAsia" w:ascii="宋体" w:hAnsi="宋体" w:eastAsia="宋体" w:cs="宋体"/>
          <w:color w:val="000000"/>
          <w:sz w:val="32"/>
          <w:szCs w:val="32"/>
          <w:lang w:val="en-US"/>
        </w:rPr>
        <w:t>2021</w:t>
      </w:r>
      <w:r>
        <w:rPr>
          <w:rStyle w:val="17"/>
          <w:rFonts w:hint="eastAsia" w:ascii="宋体" w:hAnsi="宋体" w:eastAsia="宋体" w:cs="宋体"/>
          <w:color w:val="000000"/>
          <w:sz w:val="32"/>
          <w:szCs w:val="32"/>
          <w:lang w:eastAsia="zh-CN"/>
        </w:rPr>
        <w:t>年度一般公共预算项目支出开展绩效评价。其中：涉及项目</w:t>
      </w:r>
      <w:r>
        <w:rPr>
          <w:rStyle w:val="17"/>
          <w:rFonts w:hint="eastAsia" w:ascii="宋体" w:hAnsi="宋体" w:eastAsia="宋体" w:cs="宋体"/>
          <w:color w:val="000000"/>
          <w:sz w:val="32"/>
          <w:szCs w:val="32"/>
          <w:lang w:val="en-US"/>
        </w:rPr>
        <w:t>5</w:t>
      </w:r>
      <w:r>
        <w:rPr>
          <w:rStyle w:val="17"/>
          <w:rFonts w:hint="eastAsia" w:ascii="宋体" w:hAnsi="宋体" w:eastAsia="宋体" w:cs="宋体"/>
          <w:color w:val="000000"/>
          <w:sz w:val="32"/>
          <w:szCs w:val="32"/>
          <w:lang w:eastAsia="zh-CN"/>
        </w:rPr>
        <w:t>个，分别是油茶抚育、森林培育、造林绿化工程、森林生态效益补偿、松材线虫病枯死松木清除资金项目，资金</w:t>
      </w:r>
      <w:r>
        <w:rPr>
          <w:rStyle w:val="17"/>
          <w:rFonts w:hint="eastAsia" w:ascii="宋体" w:hAnsi="宋体" w:eastAsia="宋体" w:cs="宋体"/>
          <w:color w:val="000000"/>
          <w:sz w:val="32"/>
          <w:szCs w:val="32"/>
          <w:lang w:val="en-US"/>
        </w:rPr>
        <w:t>2125.87</w:t>
      </w:r>
      <w:r>
        <w:rPr>
          <w:rStyle w:val="17"/>
          <w:rFonts w:hint="eastAsia" w:ascii="宋体" w:hAnsi="宋体" w:eastAsia="宋体" w:cs="宋体"/>
          <w:color w:val="000000"/>
          <w:sz w:val="32"/>
          <w:szCs w:val="32"/>
          <w:lang w:eastAsia="zh-CN"/>
        </w:rPr>
        <w:t>万元，占</w:t>
      </w:r>
      <w:r>
        <w:rPr>
          <w:rStyle w:val="17"/>
          <w:rFonts w:hint="eastAsia" w:ascii="宋体" w:hAnsi="宋体" w:eastAsia="宋体" w:cs="宋体"/>
          <w:color w:val="000000"/>
          <w:sz w:val="32"/>
          <w:szCs w:val="32"/>
          <w:lang w:val="en-US"/>
        </w:rPr>
        <w:t>2021</w:t>
      </w:r>
      <w:r>
        <w:rPr>
          <w:rStyle w:val="17"/>
          <w:rFonts w:hint="eastAsia" w:ascii="宋体" w:hAnsi="宋体" w:eastAsia="宋体" w:cs="宋体"/>
          <w:color w:val="000000"/>
          <w:sz w:val="32"/>
          <w:szCs w:val="32"/>
          <w:lang w:eastAsia="zh-CN"/>
        </w:rPr>
        <w:t>年度一般公共预算项目支出</w:t>
      </w:r>
      <w:r>
        <w:rPr>
          <w:rStyle w:val="17"/>
          <w:rFonts w:hint="eastAsia" w:ascii="宋体" w:hAnsi="宋体" w:eastAsia="宋体" w:cs="宋体"/>
          <w:color w:val="000000"/>
          <w:sz w:val="32"/>
          <w:szCs w:val="32"/>
          <w:lang w:val="en-US"/>
        </w:rPr>
        <w:t>58.12%</w:t>
      </w:r>
      <w:r>
        <w:rPr>
          <w:rStyle w:val="17"/>
          <w:rFonts w:hint="eastAsia" w:ascii="宋体" w:hAnsi="宋体" w:eastAsia="宋体" w:cs="宋体"/>
          <w:color w:val="000000"/>
          <w:sz w:val="32"/>
          <w:szCs w:val="32"/>
          <w:lang w:eastAsia="zh-CN"/>
        </w:rPr>
        <w:t>。从评价情况来看，我局根据职能职责和上级要求，紧紧围绕目标任务，扎实有序推进各项工作，较好地完成了全年各项工作任务。</w:t>
      </w:r>
      <w:r>
        <w:rPr>
          <w:rFonts w:hint="eastAsia" w:ascii="宋体" w:hAnsi="宋体" w:eastAsia="宋体" w:cs="宋体"/>
          <w:color w:val="000000"/>
          <w:sz w:val="32"/>
          <w:szCs w:val="32"/>
          <w:lang w:val="en-US"/>
        </w:rPr>
        <w:t> </w:t>
      </w:r>
      <w:r>
        <w:rPr>
          <w:color w:val="000000"/>
          <w:sz w:val="27"/>
          <w:szCs w:val="27"/>
          <w:lang w:val="en-US"/>
        </w:rPr>
        <w:t xml:space="preserve"> </w:t>
      </w:r>
    </w:p>
    <w:p>
      <w:pPr>
        <w:pStyle w:val="15"/>
        <w:spacing w:after="2" w:afterAutospacing="0"/>
        <w:ind w:left="0" w:firstLine="640"/>
        <w:rPr>
          <w:color w:val="000000"/>
          <w:sz w:val="27"/>
          <w:szCs w:val="27"/>
          <w:lang w:val="en-US"/>
        </w:rPr>
      </w:pPr>
      <w:r>
        <w:rPr>
          <w:rStyle w:val="12"/>
          <w:rFonts w:hint="eastAsia" w:ascii="宋体" w:hAnsi="宋体" w:eastAsia="宋体" w:cs="Times New Roman"/>
          <w:color w:val="000000"/>
          <w:sz w:val="36"/>
          <w:szCs w:val="36"/>
          <w:lang w:eastAsia="zh-CN"/>
        </w:rPr>
        <w:t>（</w:t>
      </w:r>
      <w:r>
        <w:rPr>
          <w:rStyle w:val="12"/>
          <w:rFonts w:hint="eastAsia" w:ascii="宋体" w:hAnsi="宋体" w:eastAsia="宋体" w:cs="Times New Roman"/>
          <w:color w:val="000000"/>
          <w:sz w:val="36"/>
          <w:szCs w:val="36"/>
          <w:lang w:val="en-US"/>
        </w:rPr>
        <w:t>2</w:t>
      </w:r>
      <w:r>
        <w:rPr>
          <w:rStyle w:val="12"/>
          <w:rFonts w:hint="eastAsia" w:ascii="宋体" w:hAnsi="宋体" w:eastAsia="宋体" w:cs="Times New Roman"/>
          <w:color w:val="000000"/>
          <w:sz w:val="36"/>
          <w:szCs w:val="36"/>
          <w:lang w:eastAsia="zh-CN"/>
        </w:rPr>
        <w:t>）部门决算中项目绩效自评结果。</w:t>
      </w:r>
      <w:r>
        <w:rPr>
          <w:color w:val="000000"/>
          <w:sz w:val="27"/>
          <w:szCs w:val="27"/>
          <w:lang w:eastAsia="zh-CN"/>
        </w:rPr>
        <w:t xml:space="preserve"> </w:t>
      </w:r>
    </w:p>
    <w:p>
      <w:pPr>
        <w:pStyle w:val="15"/>
        <w:spacing w:after="2" w:afterAutospacing="0"/>
        <w:ind w:left="0" w:firstLine="640"/>
        <w:rPr>
          <w:color w:val="000000"/>
          <w:sz w:val="27"/>
          <w:szCs w:val="27"/>
          <w:lang w:val="en-US"/>
        </w:rPr>
      </w:pPr>
      <w:r>
        <w:rPr>
          <w:rStyle w:val="17"/>
          <w:rFonts w:hint="eastAsia" w:ascii="宋体" w:hAnsi="宋体" w:eastAsia="宋体" w:cs="宋体"/>
          <w:color w:val="000000"/>
          <w:sz w:val="32"/>
          <w:szCs w:val="32"/>
          <w:lang w:eastAsia="zh-CN"/>
        </w:rPr>
        <w:t>根据年初设定的绩效目标，经过对业务资料、财务资料和统计数据的分析，对部门项目支出“预算执行和管理”的合法合规性、完整性，“履职产出和效果”的真实性、相关性等方面进行分析计算。按照评分标准，</w:t>
      </w:r>
      <w:r>
        <w:rPr>
          <w:rStyle w:val="17"/>
          <w:rFonts w:hint="eastAsia" w:ascii="宋体" w:hAnsi="宋体" w:eastAsia="宋体" w:cs="宋体"/>
          <w:color w:val="000000"/>
          <w:sz w:val="32"/>
          <w:szCs w:val="32"/>
          <w:lang w:val="en-US"/>
        </w:rPr>
        <w:t>2021</w:t>
      </w:r>
      <w:r>
        <w:rPr>
          <w:rStyle w:val="17"/>
          <w:rFonts w:hint="eastAsia" w:ascii="宋体" w:hAnsi="宋体" w:eastAsia="宋体" w:cs="宋体"/>
          <w:color w:val="000000"/>
          <w:sz w:val="32"/>
          <w:szCs w:val="32"/>
          <w:lang w:eastAsia="zh-CN"/>
        </w:rPr>
        <w:t>年度区林业局项目支出绩效自评得分</w:t>
      </w:r>
      <w:r>
        <w:rPr>
          <w:rStyle w:val="17"/>
          <w:rFonts w:hint="eastAsia" w:ascii="宋体" w:hAnsi="宋体" w:eastAsia="宋体" w:cs="宋体"/>
          <w:color w:val="000000"/>
          <w:sz w:val="32"/>
          <w:szCs w:val="32"/>
          <w:lang w:val="en-US"/>
        </w:rPr>
        <w:t>96</w:t>
      </w:r>
      <w:r>
        <w:rPr>
          <w:rStyle w:val="17"/>
          <w:rFonts w:hint="eastAsia" w:ascii="宋体" w:hAnsi="宋体" w:eastAsia="宋体" w:cs="宋体"/>
          <w:color w:val="000000"/>
          <w:sz w:val="32"/>
          <w:szCs w:val="32"/>
          <w:lang w:eastAsia="zh-CN"/>
        </w:rPr>
        <w:t>分，绩效评价等级结果为“优”。</w:t>
      </w:r>
      <w:r>
        <w:rPr>
          <w:color w:val="000000"/>
          <w:sz w:val="27"/>
          <w:szCs w:val="27"/>
          <w:lang w:eastAsia="zh-CN"/>
        </w:rPr>
        <w:t xml:space="preserve"> </w:t>
      </w:r>
    </w:p>
    <w:p>
      <w:pPr>
        <w:pStyle w:val="15"/>
        <w:spacing w:after="2" w:afterAutospacing="0"/>
        <w:ind w:left="0" w:firstLine="640"/>
        <w:rPr>
          <w:color w:val="000000"/>
          <w:sz w:val="27"/>
          <w:szCs w:val="27"/>
          <w:lang w:val="en-US"/>
        </w:rPr>
      </w:pPr>
      <w:r>
        <w:rPr>
          <w:rStyle w:val="12"/>
          <w:rFonts w:hint="eastAsia" w:ascii="宋体" w:hAnsi="宋体" w:eastAsia="宋体" w:cs="Times New Roman"/>
          <w:color w:val="000000"/>
          <w:sz w:val="36"/>
          <w:szCs w:val="36"/>
          <w:lang w:eastAsia="zh-CN"/>
        </w:rPr>
        <w:t>（</w:t>
      </w:r>
      <w:r>
        <w:rPr>
          <w:rStyle w:val="12"/>
          <w:rFonts w:hint="eastAsia" w:ascii="宋体" w:hAnsi="宋体" w:eastAsia="宋体" w:cs="Times New Roman"/>
          <w:color w:val="000000"/>
          <w:sz w:val="36"/>
          <w:szCs w:val="36"/>
          <w:lang w:val="en-US"/>
        </w:rPr>
        <w:t>3</w:t>
      </w:r>
      <w:r>
        <w:rPr>
          <w:rStyle w:val="12"/>
          <w:rFonts w:hint="eastAsia" w:ascii="宋体" w:hAnsi="宋体" w:eastAsia="宋体" w:cs="Times New Roman"/>
          <w:color w:val="000000"/>
          <w:sz w:val="36"/>
          <w:szCs w:val="36"/>
          <w:lang w:eastAsia="zh-CN"/>
        </w:rPr>
        <w:t>）部门评价项目绩效评价结果。</w:t>
      </w:r>
    </w:p>
    <w:p>
      <w:pPr>
        <w:pStyle w:val="15"/>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见附件。</w:t>
      </w:r>
      <w:r>
        <w:rPr>
          <w:color w:val="000000"/>
          <w:sz w:val="27"/>
          <w:szCs w:val="27"/>
          <w:lang w:eastAsia="zh-CN"/>
        </w:rPr>
        <w:t xml:space="preserve"> </w:t>
      </w:r>
    </w:p>
    <w:p>
      <w:pPr>
        <w:pStyle w:val="9"/>
        <w:spacing w:before="0" w:beforeAutospacing="0" w:after="2" w:afterAutospacing="0"/>
        <w:ind w:left="0" w:right="0"/>
        <w:rPr>
          <w:color w:val="000000"/>
          <w:sz w:val="32"/>
          <w:szCs w:val="32"/>
          <w:lang w:val="en-US"/>
        </w:rPr>
      </w:pPr>
    </w:p>
    <w:p>
      <w:pPr>
        <w:ind w:left="0" w:firstLine="853"/>
        <w:rPr>
          <w:color w:val="000000"/>
          <w:lang w:val="en-US"/>
        </w:rPr>
      </w:pPr>
    </w:p>
    <w:p>
      <w:pPr>
        <w:spacing w:after="2" w:afterAutospacing="0"/>
        <w:ind w:left="0" w:firstLine="853"/>
        <w:jc w:val="center"/>
        <w:rPr>
          <w:color w:val="000000"/>
          <w:szCs w:val="21"/>
          <w:lang w:val="en-US"/>
        </w:rPr>
      </w:pPr>
      <w:r>
        <w:rPr>
          <w:rFonts w:hint="eastAsia" w:ascii="宋体" w:hAnsi="宋体" w:eastAsia="宋体" w:cs="宋体"/>
          <w:b/>
          <w:bCs/>
          <w:color w:val="000000"/>
          <w:sz w:val="36"/>
          <w:szCs w:val="36"/>
          <w:lang w:eastAsia="zh-CN"/>
        </w:rPr>
        <w:t>第四部分 名词解释</w:t>
      </w:r>
      <w:r>
        <w:rPr>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财政拨款收入</w:t>
      </w:r>
      <w:r>
        <w:rPr>
          <w:rFonts w:hint="eastAsia" w:ascii="宋体" w:hAnsi="宋体" w:eastAsia="宋体" w:cs="Calibri"/>
          <w:color w:val="000000"/>
          <w:sz w:val="32"/>
          <w:szCs w:val="32"/>
          <w:lang w:eastAsia="zh-CN"/>
        </w:rPr>
        <w:t>：指财政当年拨付的资金。包括一般公共预算财政拨款和政府性基金财政拨款。</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上级补助收入</w:t>
      </w:r>
      <w:r>
        <w:rPr>
          <w:rFonts w:hint="eastAsia" w:ascii="宋体" w:hAnsi="宋体" w:eastAsia="宋体" w:cs="Calibri"/>
          <w:color w:val="000000"/>
          <w:sz w:val="32"/>
          <w:szCs w:val="32"/>
          <w:lang w:eastAsia="zh-CN"/>
        </w:rPr>
        <w:t>：指事业单位从主管部门和上级单位取得的非财政补助收入。</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事业收入：</w:t>
      </w:r>
      <w:r>
        <w:rPr>
          <w:rFonts w:hint="eastAsia" w:ascii="宋体" w:hAnsi="宋体" w:eastAsia="宋体" w:cs="Calibri"/>
          <w:color w:val="000000"/>
          <w:sz w:val="32"/>
          <w:szCs w:val="32"/>
          <w:lang w:eastAsia="zh-CN"/>
        </w:rPr>
        <w:t>指事业单位开展专业业务活动及辅助活动所取得的收入。</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经营收入：</w:t>
      </w:r>
      <w:r>
        <w:rPr>
          <w:rFonts w:hint="eastAsia" w:ascii="宋体" w:hAnsi="宋体" w:eastAsia="宋体" w:cs="Calibri"/>
          <w:color w:val="000000"/>
          <w:sz w:val="32"/>
          <w:szCs w:val="32"/>
          <w:lang w:eastAsia="zh-CN"/>
        </w:rPr>
        <w:t>指事业单位在专业业务活动及其辅助活动之外开展非独立核算经营活动取得的收入。</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附属单位上缴收入</w:t>
      </w:r>
      <w:r>
        <w:rPr>
          <w:rFonts w:hint="eastAsia" w:ascii="宋体" w:hAnsi="宋体" w:eastAsia="宋体" w:cs="Calibri"/>
          <w:color w:val="000000"/>
          <w:sz w:val="32"/>
          <w:szCs w:val="32"/>
          <w:lang w:eastAsia="zh-CN"/>
        </w:rPr>
        <w:t>：指事业单位附属独立核算单位按照有关规定上缴的收入。</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其他收入</w:t>
      </w:r>
      <w:r>
        <w:rPr>
          <w:rFonts w:hint="eastAsia" w:ascii="宋体" w:hAnsi="宋体" w:eastAsia="宋体" w:cs="Calibri"/>
          <w:color w:val="000000"/>
          <w:sz w:val="32"/>
          <w:szCs w:val="32"/>
          <w:lang w:eastAsia="zh-CN"/>
        </w:rPr>
        <w:t>：指除上述“财政拨款收入”、“事业收入”、“经营收入”等以外的收入。</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用事业基金弥补收支差额</w:t>
      </w:r>
      <w:r>
        <w:rPr>
          <w:rFonts w:hint="eastAsia" w:ascii="宋体" w:hAnsi="宋体" w:eastAsia="宋体" w:cs="Calibri"/>
          <w:color w:val="000000"/>
          <w:sz w:val="32"/>
          <w:szCs w:val="32"/>
          <w:lang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年初结转和结余</w:t>
      </w:r>
      <w:r>
        <w:rPr>
          <w:rFonts w:hint="eastAsia" w:ascii="宋体" w:hAnsi="宋体" w:eastAsia="宋体" w:cs="Calibri"/>
          <w:color w:val="000000"/>
          <w:sz w:val="32"/>
          <w:szCs w:val="32"/>
          <w:lang w:eastAsia="zh-CN"/>
        </w:rPr>
        <w:t>：指以前年度尚未完成、结转到本年按有关规定继续使用的资金。</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结余分配</w:t>
      </w:r>
      <w:r>
        <w:rPr>
          <w:rFonts w:hint="eastAsia" w:ascii="宋体" w:hAnsi="宋体" w:eastAsia="宋体" w:cs="Calibri"/>
          <w:color w:val="000000"/>
          <w:sz w:val="32"/>
          <w:szCs w:val="32"/>
          <w:lang w:eastAsia="zh-CN"/>
        </w:rPr>
        <w:t>：指事业事位按规定从非财政补助结余中分配的事业基金和职工福利基金等。</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年末结转和结余</w:t>
      </w:r>
      <w:r>
        <w:rPr>
          <w:rFonts w:hint="eastAsia" w:ascii="宋体" w:hAnsi="宋体" w:eastAsia="宋体" w:cs="Calibri"/>
          <w:color w:val="000000"/>
          <w:sz w:val="32"/>
          <w:szCs w:val="32"/>
          <w:lang w:eastAsia="zh-CN"/>
        </w:rPr>
        <w:t>：指本年度或以前年度预算安排、因客观条件发生变化无法按原计划实施，需要延迟到以后年度按有关规定继续使用的资金。</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基本支出</w:t>
      </w:r>
      <w:r>
        <w:rPr>
          <w:rFonts w:hint="eastAsia" w:ascii="宋体" w:hAnsi="宋体" w:eastAsia="宋体" w:cs="Calibri"/>
          <w:color w:val="000000"/>
          <w:sz w:val="32"/>
          <w:szCs w:val="32"/>
          <w:lang w:eastAsia="zh-CN"/>
        </w:rPr>
        <w:t>：指为保障机构正常运转、完成日常工作任务而发生的人员支出和公用支出。</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项目支出</w:t>
      </w:r>
      <w:r>
        <w:rPr>
          <w:rFonts w:hint="eastAsia" w:ascii="宋体" w:hAnsi="宋体" w:eastAsia="宋体" w:cs="Calibri"/>
          <w:color w:val="000000"/>
          <w:sz w:val="32"/>
          <w:szCs w:val="32"/>
          <w:lang w:eastAsia="zh-CN"/>
        </w:rPr>
        <w:t>：指在基本支出之外为完成特定行政任务和事业发展目标所发生的支出。</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经营支出</w:t>
      </w:r>
      <w:r>
        <w:rPr>
          <w:rFonts w:hint="eastAsia" w:ascii="宋体" w:hAnsi="宋体" w:eastAsia="宋体" w:cs="Calibri"/>
          <w:color w:val="000000"/>
          <w:sz w:val="32"/>
          <w:szCs w:val="32"/>
          <w:lang w:eastAsia="zh-CN"/>
        </w:rPr>
        <w:t>：指事业单位在专业业务活动及其辅助活动之外开展非独立核算经营活动所发生的支出。</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“三公”经费</w:t>
      </w:r>
      <w:r>
        <w:rPr>
          <w:rFonts w:hint="eastAsia" w:ascii="宋体" w:hAnsi="宋体" w:eastAsia="宋体" w:cs="Calibri"/>
          <w:color w:val="000000"/>
          <w:sz w:val="32"/>
          <w:szCs w:val="32"/>
          <w:lang w:eastAsia="zh-CN"/>
        </w:rPr>
        <w:t>：按照党中央、国务院有关文件及部门预算管理有关规定，“三公”经费包括因公出国（境）费、公务用车购置及运行费和公务接待费。（</w:t>
      </w:r>
      <w:r>
        <w:rPr>
          <w:rFonts w:hint="eastAsia" w:ascii="宋体" w:hAnsi="宋体" w:eastAsia="宋体" w:cs="Calibri"/>
          <w:color w:val="000000"/>
          <w:sz w:val="32"/>
          <w:szCs w:val="32"/>
          <w:lang w:val="en-US"/>
        </w:rPr>
        <w:t>1</w:t>
      </w:r>
      <w:r>
        <w:rPr>
          <w:rFonts w:hint="eastAsia" w:ascii="宋体" w:hAnsi="宋体" w:eastAsia="宋体" w:cs="Calibri"/>
          <w:color w:val="000000"/>
          <w:sz w:val="32"/>
          <w:szCs w:val="32"/>
          <w:lang w:eastAsia="zh-CN"/>
        </w:rPr>
        <w:t>）因公出国（境）费，指单位工作人员公务出国（境）的住宿费、旅费、伙食补助费、杂费、培训费等支出。（</w:t>
      </w:r>
      <w:r>
        <w:rPr>
          <w:rFonts w:hint="eastAsia" w:ascii="宋体" w:hAnsi="宋体" w:eastAsia="宋体" w:cs="Calibri"/>
          <w:color w:val="000000"/>
          <w:sz w:val="32"/>
          <w:szCs w:val="32"/>
          <w:lang w:val="en-US"/>
        </w:rPr>
        <w:t>2</w:t>
      </w:r>
      <w:r>
        <w:rPr>
          <w:rFonts w:hint="eastAsia" w:ascii="宋体" w:hAnsi="宋体" w:eastAsia="宋体" w:cs="Calibri"/>
          <w:color w:val="000000"/>
          <w:sz w:val="32"/>
          <w:szCs w:val="32"/>
          <w:lang w:eastAsia="zh-CN"/>
        </w:rPr>
        <w:t>）公务用车购置及运行费，指单位公务用车购置费（含车辆购置税）及租用费、燃料费、维修费、过路过桥费、保险费等支出。（</w:t>
      </w:r>
      <w:r>
        <w:rPr>
          <w:rFonts w:hint="eastAsia" w:ascii="宋体" w:hAnsi="宋体" w:eastAsia="宋体" w:cs="Calibri"/>
          <w:color w:val="000000"/>
          <w:sz w:val="32"/>
          <w:szCs w:val="32"/>
          <w:lang w:val="en-US"/>
        </w:rPr>
        <w:t>3</w:t>
      </w:r>
      <w:r>
        <w:rPr>
          <w:rFonts w:hint="eastAsia" w:ascii="宋体" w:hAnsi="宋体" w:eastAsia="宋体" w:cs="Calibri"/>
          <w:color w:val="000000"/>
          <w:sz w:val="32"/>
          <w:szCs w:val="32"/>
          <w:lang w:eastAsia="zh-CN"/>
        </w:rPr>
        <w:t>）公务接待费，指单位按规定开支的各类公务接待（含外宾接待）支出。</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r>
        <w:rPr>
          <w:rFonts w:hint="eastAsia" w:ascii="宋体" w:hAnsi="宋体" w:eastAsia="宋体" w:cs="Calibri"/>
          <w:b/>
          <w:bCs/>
          <w:color w:val="000000"/>
          <w:sz w:val="32"/>
          <w:szCs w:val="32"/>
          <w:lang w:eastAsia="zh-CN"/>
        </w:rPr>
        <w:t>机关运行经费</w:t>
      </w:r>
      <w:r>
        <w:rPr>
          <w:rFonts w:hint="eastAsia" w:ascii="宋体" w:hAnsi="宋体" w:eastAsia="宋体" w:cs="Calibri"/>
          <w:color w:val="000000"/>
          <w:sz w:val="32"/>
          <w:szCs w:val="32"/>
          <w:lang w:eastAsia="zh-CN"/>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Cs w:val="21"/>
          <w:lang w:eastAsia="zh-CN"/>
        </w:rPr>
        <w:t xml:space="preserve"> </w:t>
      </w:r>
    </w:p>
    <w:p>
      <w:pPr>
        <w:spacing w:after="2" w:afterAutospacing="0" w:line="336" w:lineRule="atLeast"/>
        <w:ind w:left="0" w:firstLine="643"/>
        <w:rPr>
          <w:rFonts w:hint="default" w:ascii="Calibri" w:hAnsi="Calibri" w:cs="Calibri"/>
          <w:color w:val="000000"/>
          <w:szCs w:val="21"/>
          <w:lang w:val="en-US"/>
        </w:rPr>
      </w:pPr>
    </w:p>
    <w:p>
      <w:pPr>
        <w:spacing w:after="2" w:afterAutospacing="0"/>
        <w:ind w:left="0" w:firstLine="853"/>
        <w:jc w:val="center"/>
        <w:rPr>
          <w:color w:val="000000"/>
          <w:szCs w:val="21"/>
          <w:lang w:val="en-US"/>
        </w:rPr>
      </w:pPr>
      <w:r>
        <w:rPr>
          <w:rFonts w:hint="eastAsia" w:ascii="宋体" w:hAnsi="宋体" w:eastAsia="宋体" w:cs="宋体"/>
          <w:b/>
          <w:bCs/>
          <w:color w:val="000000"/>
          <w:sz w:val="36"/>
          <w:szCs w:val="36"/>
          <w:lang w:eastAsia="zh-CN"/>
        </w:rPr>
        <w:t>第五部分 附件</w:t>
      </w:r>
      <w:r>
        <w:rPr>
          <w:color w:val="000000"/>
          <w:szCs w:val="21"/>
          <w:lang w:eastAsia="zh-CN"/>
        </w:rPr>
        <w:t xml:space="preserve"> </w:t>
      </w:r>
    </w:p>
    <w:p>
      <w:pPr>
        <w:spacing w:after="2" w:afterAutospacing="0"/>
        <w:ind w:left="0" w:firstLine="641"/>
        <w:jc w:val="center"/>
      </w:pPr>
      <w:r>
        <w:rPr>
          <w:rFonts w:hint="eastAsia" w:ascii="宋体" w:hAnsi="宋体" w:eastAsia="宋体" w:cs="宋体"/>
          <w:sz w:val="28"/>
          <w:szCs w:val="28"/>
          <w:shd w:val="clear" w:fill="FFFFFF"/>
          <w:lang w:val="en-US"/>
        </w:rPr>
        <w:fldChar w:fldCharType="begin"/>
      </w:r>
      <w:r>
        <w:rPr>
          <w:rFonts w:hint="eastAsia" w:ascii="宋体" w:hAnsi="宋体" w:eastAsia="宋体" w:cs="宋体"/>
          <w:sz w:val="28"/>
          <w:szCs w:val="28"/>
          <w:shd w:val="clear" w:fill="FFFFFF"/>
          <w:lang w:val="en-US"/>
        </w:rPr>
        <w:instrText xml:space="preserve"> HYPERLINK "http://10.105.181.49/home/downloadAttachment?attachGUID=e2dfd4a4d78f461eb560b557522a8920" \t "_blank" </w:instrText>
      </w:r>
      <w:r>
        <w:rPr>
          <w:rFonts w:hint="eastAsia" w:ascii="宋体" w:hAnsi="宋体" w:eastAsia="宋体" w:cs="宋体"/>
          <w:sz w:val="28"/>
          <w:szCs w:val="28"/>
          <w:shd w:val="clear" w:fill="FFFFFF"/>
          <w:lang w:val="en-US"/>
        </w:rPr>
        <w:fldChar w:fldCharType="separate"/>
      </w:r>
      <w:r>
        <w:rPr>
          <w:rStyle w:val="14"/>
          <w:rFonts w:hint="eastAsia" w:ascii="宋体" w:hAnsi="宋体" w:eastAsia="宋体" w:cs="宋体"/>
          <w:sz w:val="28"/>
          <w:szCs w:val="28"/>
          <w:u w:val="single"/>
          <w:shd w:val="clear" w:fill="FFFFFF"/>
          <w:lang w:val="en-US"/>
        </w:rPr>
        <w:t>永州市冷水滩区林业局2021年度绩效自评报告.docx</w:t>
      </w:r>
      <w:r>
        <w:rPr>
          <w:rFonts w:hint="eastAsia" w:ascii="宋体" w:hAnsi="宋体" w:eastAsia="宋体" w:cs="宋体"/>
          <w:sz w:val="28"/>
          <w:szCs w:val="28"/>
          <w:shd w:val="clear" w:fill="FFFFFF"/>
          <w:lang w:val="en-US"/>
        </w:rPr>
        <w:fldChar w:fldCharType="end"/>
      </w:r>
      <w:r>
        <w:rPr>
          <w:rFonts w:hint="eastAsia" w:ascii="宋体" w:hAnsi="宋体" w:eastAsia="宋体" w:cs="宋体"/>
          <w:color w:val="000000"/>
          <w:sz w:val="28"/>
          <w:szCs w:val="28"/>
          <w:shd w:val="clear" w:fill="FFFFFF"/>
          <w:lang w:val="en-US"/>
        </w:rPr>
        <w:br w:type="textWrapping"/>
      </w:r>
    </w:p>
    <w:p>
      <w:pPr>
        <w:spacing w:after="2" w:afterAutospacing="0"/>
        <w:rPr>
          <w:color w:val="000000"/>
          <w:szCs w:val="21"/>
          <w:lang w:val="en-US"/>
        </w:rPr>
      </w:pPr>
    </w:p>
    <w:sectPr>
      <w:pgSz w:w="11906" w:h="16838" w:orient="landscape"/>
      <w:pgMar w:top="1440" w:right="1080" w:bottom="1440" w:left="1080" w:header="851" w:footer="992" w:gutter="0"/>
      <w:paperSrc/>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variable"/>
    <w:sig w:usb0="A00002BF" w:usb1="38CF7CFA" w:usb2="00000016" w:usb3="00000000" w:csb0="0004000F"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等线">
    <w:altName w:val="微软雅黑"/>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0539563E"/>
    <w:rsid w:val="1CD852E5"/>
    <w:rsid w:val="33EA5BD2"/>
    <w:rsid w:val="345D63A4"/>
    <w:rsid w:val="41766CF7"/>
    <w:rsid w:val="452A22D2"/>
    <w:rsid w:val="46431783"/>
    <w:rsid w:val="4AD66A58"/>
    <w:rsid w:val="50616DC4"/>
    <w:rsid w:val="516A1CA8"/>
    <w:rsid w:val="52A93A24"/>
    <w:rsid w:val="54F71AA5"/>
    <w:rsid w:val="5A2A46CB"/>
    <w:rsid w:val="5D011713"/>
    <w:rsid w:val="6BD83F86"/>
    <w:rsid w:val="6D4A2C62"/>
    <w:rsid w:val="6D4B0788"/>
    <w:rsid w:val="6E500C05"/>
    <w:rsid w:val="72C15774"/>
    <w:rsid w:val="72E651DB"/>
    <w:rsid w:val="75E4177A"/>
    <w:rsid w:val="784A7FBA"/>
    <w:rsid w:val="7C060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nhideWhenUsed="0" w:uiPriority="99"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nhideWhenUsed="0" w:uiPriority="99" w:semiHidden="0" w:name="Normal Table"/>
    <w:lsdException w:uiPriority="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0" w:name="Balloon Text"/>
    <w:lsdException w:unhideWhenUsed="0" w:uiPriority="99" w:semiHidden="0" w:name="Table Grid"/>
    <w:lsdException w:unhideWhenUsed="0" w:uiPriority="99" w:semiHidden="0" w:name="Table Theme"/>
    <w:lsdException w:unhideWhenUsed="0" w:uiPriority="99" w:semiHidden="0" w:name="Light Shading"/>
    <w:lsdException w:unhideWhenUsed="0" w:uiPriority="99" w:semiHidden="0" w:name="Light List"/>
    <w:lsdException w:unhideWhenUsed="0" w:uiPriority="99" w:semiHidden="0" w:name="Light Grid"/>
    <w:lsdException w:unhideWhenUsed="0" w:uiPriority="99" w:semiHidden="0" w:name="Medium Shading 1"/>
    <w:lsdException w:unhideWhenUsed="0" w:uiPriority="99" w:semiHidden="0" w:name="Medium Shading 2"/>
    <w:lsdException w:unhideWhenUsed="0" w:uiPriority="99" w:semiHidden="0" w:name="Medium List 1"/>
    <w:lsdException w:unhideWhenUsed="0" w:uiPriority="99" w:semiHidden="0" w:name="Medium List 2"/>
    <w:lsdException w:unhideWhenUsed="0" w:uiPriority="99" w:semiHidden="0" w:name="Medium Grid 1"/>
    <w:lsdException w:unhideWhenUsed="0" w:uiPriority="99" w:semiHidden="0" w:name="Medium Grid 2"/>
    <w:lsdException w:unhideWhenUsed="0" w:uiPriority="99" w:semiHidden="0" w:name="Medium Grid 3"/>
    <w:lsdException w:unhideWhenUsed="0" w:uiPriority="99" w:semiHidden="0" w:name="Dark List"/>
    <w:lsdException w:unhideWhenUsed="0" w:uiPriority="99" w:semiHidden="0" w:name="Colorful Shading"/>
    <w:lsdException w:unhideWhenUsed="0" w:uiPriority="99" w:semiHidden="0" w:name="Colorful List"/>
    <w:lsdException w:unhideWhenUsed="0" w:uiPriority="99" w:semiHidden="0" w:name="Colorful Grid"/>
    <w:lsdException w:unhideWhenUsed="0" w:uiPriority="99" w:semiHidden="0" w:name="Light Shading Accent 1"/>
    <w:lsdException w:unhideWhenUsed="0" w:uiPriority="99" w:semiHidden="0" w:name="Light List Accent 1"/>
    <w:lsdException w:unhideWhenUsed="0" w:uiPriority="99" w:semiHidden="0" w:name="Light Grid Accent 1"/>
    <w:lsdException w:unhideWhenUsed="0" w:uiPriority="99" w:semiHidden="0" w:name="Medium Shading 1 Accent 1"/>
    <w:lsdException w:unhideWhenUsed="0" w:uiPriority="99" w:semiHidden="0" w:name="Medium Shading 2 Accent 1"/>
    <w:lsdException w:unhideWhenUsed="0" w:uiPriority="99" w:semiHidden="0" w:name="Medium List 1 Accent 1"/>
    <w:lsdException w:unhideWhenUsed="0" w:uiPriority="99" w:semiHidden="0" w:name="Medium List 2 Accent 1"/>
    <w:lsdException w:unhideWhenUsed="0" w:uiPriority="99" w:semiHidden="0" w:name="Medium Grid 1 Accent 1"/>
    <w:lsdException w:unhideWhenUsed="0" w:uiPriority="99" w:semiHidden="0" w:name="Medium Grid 2 Accent 1"/>
    <w:lsdException w:unhideWhenUsed="0" w:uiPriority="99" w:semiHidden="0" w:name="Medium Grid 3 Accent 1"/>
    <w:lsdException w:unhideWhenUsed="0" w:uiPriority="99" w:semiHidden="0" w:name="Dark List Accent 1"/>
    <w:lsdException w:unhideWhenUsed="0" w:uiPriority="99" w:semiHidden="0" w:name="Colorful Shading Accent 1"/>
    <w:lsdException w:unhideWhenUsed="0" w:uiPriority="99" w:semiHidden="0" w:name="Colorful List Accent 1"/>
    <w:lsdException w:unhideWhenUsed="0" w:uiPriority="99" w:semiHidden="0" w:name="Colorful Grid Accent 1"/>
    <w:lsdException w:unhideWhenUsed="0" w:uiPriority="99" w:semiHidden="0" w:name="Light Shading Accent 2"/>
    <w:lsdException w:unhideWhenUsed="0" w:uiPriority="99" w:semiHidden="0" w:name="Light List Accent 2"/>
    <w:lsdException w:unhideWhenUsed="0" w:uiPriority="99" w:semiHidden="0" w:name="Light Grid Accent 2"/>
    <w:lsdException w:unhideWhenUsed="0" w:uiPriority="99" w:semiHidden="0" w:name="Medium Shading 1 Accent 2"/>
    <w:lsdException w:unhideWhenUsed="0" w:uiPriority="99" w:semiHidden="0" w:name="Medium Shading 2 Accent 2"/>
    <w:lsdException w:unhideWhenUsed="0" w:uiPriority="99" w:semiHidden="0" w:name="Medium List 1 Accent 2"/>
    <w:lsdException w:unhideWhenUsed="0" w:uiPriority="99" w:semiHidden="0" w:name="Medium List 2 Accent 2"/>
    <w:lsdException w:unhideWhenUsed="0" w:uiPriority="99" w:semiHidden="0" w:name="Medium Grid 1 Accent 2"/>
    <w:lsdException w:unhideWhenUsed="0" w:uiPriority="99" w:semiHidden="0" w:name="Medium Grid 2 Accent 2"/>
    <w:lsdException w:unhideWhenUsed="0" w:uiPriority="99" w:semiHidden="0" w:name="Medium Grid 3 Accent 2"/>
    <w:lsdException w:unhideWhenUsed="0" w:uiPriority="99" w:semiHidden="0" w:name="Dark List Accent 2"/>
    <w:lsdException w:unhideWhenUsed="0" w:uiPriority="99" w:semiHidden="0" w:name="Colorful Shading Accent 2"/>
    <w:lsdException w:unhideWhenUsed="0" w:uiPriority="99" w:semiHidden="0" w:name="Colorful List Accent 2"/>
    <w:lsdException w:unhideWhenUsed="0" w:uiPriority="99" w:semiHidden="0" w:name="Colorful Grid Accent 2"/>
    <w:lsdException w:unhideWhenUsed="0" w:uiPriority="99" w:semiHidden="0" w:name="Light Shading Accent 3"/>
    <w:lsdException w:unhideWhenUsed="0" w:uiPriority="99" w:semiHidden="0" w:name="Light List Accent 3"/>
    <w:lsdException w:unhideWhenUsed="0" w:uiPriority="99" w:semiHidden="0" w:name="Light Grid Accent 3"/>
    <w:lsdException w:unhideWhenUsed="0" w:uiPriority="99" w:semiHidden="0" w:name="Medium Shading 1 Accent 3"/>
    <w:lsdException w:unhideWhenUsed="0" w:uiPriority="99" w:semiHidden="0" w:name="Medium Shading 2 Accent 3"/>
    <w:lsdException w:unhideWhenUsed="0" w:uiPriority="99" w:semiHidden="0" w:name="Medium List 1 Accent 3"/>
    <w:lsdException w:unhideWhenUsed="0" w:uiPriority="99" w:semiHidden="0" w:name="Medium List 2 Accent 3"/>
    <w:lsdException w:unhideWhenUsed="0" w:uiPriority="99" w:semiHidden="0" w:name="Medium Grid 1 Accent 3"/>
    <w:lsdException w:unhideWhenUsed="0" w:uiPriority="99" w:semiHidden="0" w:name="Medium Grid 2 Accent 3"/>
    <w:lsdException w:unhideWhenUsed="0" w:uiPriority="99" w:semiHidden="0" w:name="Medium Grid 3 Accent 3"/>
    <w:lsdException w:unhideWhenUsed="0" w:uiPriority="99" w:semiHidden="0" w:name="Dark List Accent 3"/>
    <w:lsdException w:unhideWhenUsed="0" w:uiPriority="99" w:semiHidden="0" w:name="Colorful Shading Accent 3"/>
    <w:lsdException w:unhideWhenUsed="0" w:uiPriority="99" w:semiHidden="0" w:name="Colorful List Accent 3"/>
    <w:lsdException w:unhideWhenUsed="0" w:uiPriority="99" w:semiHidden="0" w:name="Colorful Grid Accent 3"/>
    <w:lsdException w:unhideWhenUsed="0" w:uiPriority="99" w:semiHidden="0" w:name="Light Shading Accent 4"/>
    <w:lsdException w:unhideWhenUsed="0" w:uiPriority="99" w:semiHidden="0" w:name="Light List Accent 4"/>
    <w:lsdException w:unhideWhenUsed="0" w:uiPriority="99" w:semiHidden="0" w:name="Light Grid Accent 4"/>
    <w:lsdException w:unhideWhenUsed="0" w:uiPriority="99" w:semiHidden="0" w:name="Medium Shading 1 Accent 4"/>
    <w:lsdException w:unhideWhenUsed="0" w:uiPriority="99" w:semiHidden="0" w:name="Medium Shading 2 Accent 4"/>
    <w:lsdException w:unhideWhenUsed="0" w:uiPriority="99" w:semiHidden="0" w:name="Medium List 1 Accent 4"/>
    <w:lsdException w:unhideWhenUsed="0" w:uiPriority="99" w:semiHidden="0" w:name="Medium List 2 Accent 4"/>
    <w:lsdException w:unhideWhenUsed="0" w:uiPriority="99" w:semiHidden="0" w:name="Medium Grid 1 Accent 4"/>
    <w:lsdException w:unhideWhenUsed="0" w:uiPriority="99" w:semiHidden="0" w:name="Medium Grid 2 Accent 4"/>
    <w:lsdException w:unhideWhenUsed="0" w:uiPriority="99" w:semiHidden="0" w:name="Medium Grid 3 Accent 4"/>
    <w:lsdException w:unhideWhenUsed="0" w:uiPriority="99" w:semiHidden="0" w:name="Dark List Accent 4"/>
    <w:lsdException w:unhideWhenUsed="0" w:uiPriority="99" w:semiHidden="0" w:name="Colorful Shading Accent 4"/>
    <w:lsdException w:unhideWhenUsed="0" w:uiPriority="99" w:semiHidden="0" w:name="Colorful List Accent 4"/>
    <w:lsdException w:unhideWhenUsed="0" w:uiPriority="99" w:semiHidden="0" w:name="Colorful Grid Accent 4"/>
    <w:lsdException w:unhideWhenUsed="0" w:uiPriority="99" w:semiHidden="0" w:name="Light Shading Accent 5"/>
    <w:lsdException w:unhideWhenUsed="0" w:uiPriority="99" w:semiHidden="0" w:name="Light List Accent 5"/>
    <w:lsdException w:unhideWhenUsed="0" w:uiPriority="99" w:semiHidden="0" w:name="Light Grid Accent 5"/>
    <w:lsdException w:unhideWhenUsed="0" w:uiPriority="99" w:semiHidden="0" w:name="Medium Shading 1 Accent 5"/>
    <w:lsdException w:unhideWhenUsed="0" w:uiPriority="99" w:semiHidden="0" w:name="Medium Shading 2 Accent 5"/>
    <w:lsdException w:unhideWhenUsed="0" w:uiPriority="99" w:semiHidden="0" w:name="Medium List 1 Accent 5"/>
    <w:lsdException w:unhideWhenUsed="0" w:uiPriority="99" w:semiHidden="0" w:name="Medium List 2 Accent 5"/>
    <w:lsdException w:unhideWhenUsed="0" w:uiPriority="99" w:semiHidden="0" w:name="Medium Grid 1 Accent 5"/>
    <w:lsdException w:unhideWhenUsed="0" w:uiPriority="99" w:semiHidden="0" w:name="Medium Grid 2 Accent 5"/>
    <w:lsdException w:unhideWhenUsed="0" w:uiPriority="99" w:semiHidden="0" w:name="Medium Grid 3 Accent 5"/>
    <w:lsdException w:unhideWhenUsed="0" w:uiPriority="99" w:semiHidden="0" w:name="Dark List Accent 5"/>
    <w:lsdException w:unhideWhenUsed="0" w:uiPriority="99" w:semiHidden="0" w:name="Colorful Shading Accent 5"/>
    <w:lsdException w:unhideWhenUsed="0" w:uiPriority="99" w:semiHidden="0" w:name="Colorful List Accent 5"/>
    <w:lsdException w:unhideWhenUsed="0" w:uiPriority="99" w:semiHidden="0" w:name="Colorful Grid Accent 5"/>
    <w:lsdException w:unhideWhenUsed="0" w:uiPriority="99" w:semiHidden="0" w:name="Light Shading Accent 6"/>
    <w:lsdException w:unhideWhenUsed="0" w:uiPriority="99" w:semiHidden="0" w:name="Light List Accent 6"/>
    <w:lsdException w:unhideWhenUsed="0" w:uiPriority="99" w:semiHidden="0" w:name="Light Grid Accent 6"/>
    <w:lsdException w:unhideWhenUsed="0" w:uiPriority="99" w:semiHidden="0" w:name="Medium Shading 1 Accent 6"/>
    <w:lsdException w:unhideWhenUsed="0" w:uiPriority="99" w:semiHidden="0" w:name="Medium Shading 2 Accent 6"/>
    <w:lsdException w:unhideWhenUsed="0" w:uiPriority="99" w:semiHidden="0" w:name="Medium List 1 Accent 6"/>
    <w:lsdException w:unhideWhenUsed="0" w:uiPriority="99" w:semiHidden="0" w:name="Medium List 2 Accent 6"/>
    <w:lsdException w:unhideWhenUsed="0" w:uiPriority="99" w:semiHidden="0" w:name="Medium Grid 1 Accent 6"/>
    <w:lsdException w:unhideWhenUsed="0" w:uiPriority="99" w:semiHidden="0" w:name="Medium Grid 2 Accent 6"/>
    <w:lsdException w:unhideWhenUsed="0" w:uiPriority="99" w:semiHidden="0" w:name="Medium Grid 3 Accent 6"/>
    <w:lsdException w:unhideWhenUsed="0" w:uiPriority="99" w:semiHidden="0" w:name="Dark List Accent 6"/>
    <w:lsdException w:unhideWhenUsed="0" w:uiPriority="99" w:semiHidden="0" w:name="Colorful Shading Accent 6"/>
    <w:lsdException w:unhideWhenUsed="0" w:uiPriority="99" w:semiHidden="0" w:name="Colorful List Accent 6"/>
    <w:lsdException w:unhideWhenUsed="0" w:uiPriority="99" w:semiHidden="0" w:name="Colorful Grid Accent 6"/>
  </w:latentStyles>
  <w:style w:type="paragraph" w:default="1" w:styleId="1">
    <w:name w:val="Normal"/>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uiPriority w:val="99"/>
  </w:style>
  <w:style w:type="table" w:default="1" w:styleId="10">
    <w:name w:val="Normal Table"/>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semiHidden/>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Strong"/>
    <w:basedOn w:val="11"/>
    <w:qFormat/>
    <w:uiPriority w:val="22"/>
    <w:rPr>
      <w:b/>
    </w:rPr>
  </w:style>
  <w:style w:type="character" w:styleId="13">
    <w:name w:val="FollowedHyperlink"/>
    <w:basedOn w:val="11"/>
    <w:semiHidden/>
    <w:unhideWhenUsed/>
    <w:uiPriority w:val="0"/>
    <w:rPr>
      <w:color w:val="800080"/>
      <w:u w:val="single"/>
    </w:rPr>
  </w:style>
  <w:style w:type="character" w:styleId="14">
    <w:name w:val="Hyperlink"/>
    <w:basedOn w:val="11"/>
    <w:semiHidden/>
    <w:unhideWhenUsed/>
    <w:uiPriority w:val="0"/>
    <w:rPr>
      <w:color w:val="0000FF"/>
      <w:u w:val="single"/>
    </w:rPr>
  </w:style>
  <w:style w:type="paragraph" w:customStyle="1" w:styleId="15">
    <w:name w:val="18"/>
    <w:basedOn w:val="1"/>
    <w:hidden/>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16">
    <w:name w:val="17"/>
    <w:basedOn w:val="1"/>
    <w:hidden/>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
    <w:name w:val="peoplefilling"/>
    <w:basedOn w:val="11"/>
    <w:uiPriority w:val="0"/>
  </w:style>
  <w:style w:type="paragraph" w:customStyle="1" w:styleId="18">
    <w:name w:val="msonormal1"/>
    <w:basedOn w:val="1"/>
    <w:hidden/>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11069</Words>
  <Characters>13665</Characters>
  <Lines>115</Lines>
  <Paragraphs>32</Paragraphs>
  <TotalTime>1</TotalTime>
  <ScaleCrop>false</ScaleCrop>
  <LinksUpToDate>false</LinksUpToDate>
  <CharactersWithSpaces>13815</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Administrator</dc:creator>
  <cp:lastModifiedBy>东来</cp:lastModifiedBy>
  <dcterms:modified xsi:type="dcterms:W3CDTF">2023-11-08T01:25:50Z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76E665AE5FF947C4BDFEB439F117D380</vt:lpwstr>
  </property>
</Properties>
</file>