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
        <w:jc w:val="center"/>
        <w:rPr>
          <w:color w:val="000000"/>
        </w:rPr>
      </w:pPr>
      <w:r>
        <w:rPr>
          <w:rFonts w:hint="eastAsia" w:ascii="宋体" w:hAnsi="宋体" w:eastAsia="宋体"/>
          <w:color w:val="000000"/>
          <w:sz w:val="44"/>
          <w:szCs w:val="44"/>
          <w:lang w:val="en-US" w:eastAsia="zh-CN"/>
        </w:rPr>
        <w:t xml:space="preserve"> </w:t>
      </w:r>
      <w:r>
        <w:rPr>
          <w:rFonts w:hint="eastAsia" w:ascii="宋体" w:hAnsi="宋体" w:eastAsia="宋体"/>
          <w:color w:val="000000"/>
          <w:sz w:val="44"/>
          <w:szCs w:val="44"/>
        </w:rPr>
        <w:t>2021年度冷水滩区城镇住房制度改革办公室部门决算</w:t>
      </w:r>
      <w:r>
        <w:rPr>
          <w:rFonts w:hint="eastAsia"/>
          <w:color w:val="000000"/>
        </w:rPr>
        <w:t xml:space="preserve"> </w:t>
      </w:r>
    </w:p>
    <w:p>
      <w:pPr>
        <w:spacing w:after="2"/>
        <w:jc w:val="center"/>
        <w:rPr>
          <w:color w:val="000000"/>
          <w:szCs w:val="21"/>
        </w:rPr>
      </w:pPr>
      <w:r>
        <w:rPr>
          <w:rFonts w:hint="eastAsia"/>
          <w:color w:val="000000"/>
          <w:sz w:val="32"/>
          <w:szCs w:val="32"/>
        </w:rPr>
        <w:t> </w:t>
      </w:r>
      <w:r>
        <w:rPr>
          <w:rFonts w:hint="eastAsia"/>
          <w:color w:val="000000"/>
          <w:szCs w:val="21"/>
        </w:rPr>
        <w:t xml:space="preserve"> </w:t>
      </w:r>
    </w:p>
    <w:p>
      <w:pPr>
        <w:spacing w:after="2"/>
        <w:jc w:val="center"/>
        <w:rPr>
          <w:rFonts w:ascii="宋体" w:hAnsi="宋体" w:eastAsia="宋体"/>
          <w:color w:val="000000"/>
          <w:szCs w:val="21"/>
        </w:rPr>
      </w:pPr>
      <w:r>
        <w:rPr>
          <w:rFonts w:hint="eastAsia" w:ascii="宋体" w:hAnsi="宋体" w:eastAsia="宋体"/>
          <w:color w:val="000000"/>
          <w:sz w:val="32"/>
          <w:szCs w:val="32"/>
        </w:rPr>
        <w:t>目 录</w:t>
      </w:r>
      <w:r>
        <w:rPr>
          <w:rFonts w:hint="eastAsia" w:ascii="宋体" w:hAnsi="宋体" w:eastAsia="宋体"/>
          <w:color w:val="000000"/>
          <w:szCs w:val="21"/>
        </w:rPr>
        <w:t xml:space="preserve"> </w:t>
      </w:r>
    </w:p>
    <w:p>
      <w:pPr>
        <w:spacing w:after="2"/>
        <w:jc w:val="center"/>
        <w:rPr>
          <w:color w:val="000000"/>
          <w:szCs w:val="21"/>
        </w:rPr>
      </w:pPr>
    </w:p>
    <w:p>
      <w:pPr>
        <w:pStyle w:val="10"/>
        <w:spacing w:after="2"/>
        <w:ind w:firstLine="641"/>
        <w:rPr>
          <w:color w:val="000000"/>
          <w:sz w:val="27"/>
          <w:szCs w:val="27"/>
        </w:rPr>
      </w:pPr>
      <w:r>
        <w:rPr>
          <w:rFonts w:hint="eastAsia" w:ascii="宋体" w:hAnsi="宋体" w:eastAsia="宋体"/>
          <w:b/>
          <w:bCs/>
          <w:color w:val="000000"/>
          <w:sz w:val="32"/>
          <w:szCs w:val="32"/>
        </w:rPr>
        <w:t>第一部分 冷水滩区城镇住房制度改革办公室概况</w:t>
      </w:r>
      <w:r>
        <w:rPr>
          <w:rFonts w:hint="eastAsia"/>
          <w:color w:val="000000"/>
          <w:sz w:val="27"/>
          <w:szCs w:val="27"/>
        </w:rPr>
        <w:t xml:space="preserve"> </w:t>
      </w:r>
    </w:p>
    <w:p>
      <w:pPr>
        <w:pStyle w:val="10"/>
        <w:spacing w:after="2"/>
        <w:ind w:firstLine="700"/>
        <w:rPr>
          <w:color w:val="000000"/>
        </w:rPr>
      </w:pPr>
      <w:r>
        <w:rPr>
          <w:rFonts w:hint="eastAsia" w:ascii="宋体" w:hAnsi="宋体" w:eastAsia="宋体"/>
          <w:color w:val="000000"/>
          <w:sz w:val="28"/>
          <w:szCs w:val="28"/>
        </w:rPr>
        <w:t>一、部门职责</w:t>
      </w:r>
      <w:r>
        <w:rPr>
          <w:rFonts w:hint="eastAsia"/>
          <w:color w:val="000000"/>
        </w:rPr>
        <w:t xml:space="preserve"> </w:t>
      </w:r>
    </w:p>
    <w:p>
      <w:pPr>
        <w:pStyle w:val="10"/>
        <w:spacing w:after="2"/>
        <w:ind w:firstLine="700"/>
        <w:rPr>
          <w:color w:val="000000"/>
        </w:rPr>
      </w:pPr>
      <w:r>
        <w:rPr>
          <w:rFonts w:hint="eastAsia" w:ascii="宋体" w:hAnsi="宋体" w:eastAsia="宋体"/>
          <w:color w:val="000000"/>
          <w:sz w:val="28"/>
          <w:szCs w:val="28"/>
        </w:rPr>
        <w:t>二、机构设置</w:t>
      </w:r>
      <w:r>
        <w:rPr>
          <w:rFonts w:hint="eastAsia"/>
          <w:color w:val="000000"/>
        </w:rPr>
        <w:t xml:space="preserve"> </w:t>
      </w:r>
    </w:p>
    <w:p>
      <w:pPr>
        <w:pStyle w:val="10"/>
        <w:spacing w:after="2"/>
        <w:ind w:firstLine="641"/>
        <w:rPr>
          <w:color w:val="000000"/>
          <w:sz w:val="27"/>
          <w:szCs w:val="27"/>
        </w:rPr>
      </w:pPr>
      <w:r>
        <w:rPr>
          <w:rFonts w:hint="eastAsia" w:ascii="宋体" w:hAnsi="宋体" w:eastAsia="宋体"/>
          <w:b/>
          <w:bCs/>
          <w:color w:val="000000"/>
          <w:sz w:val="32"/>
          <w:szCs w:val="32"/>
        </w:rPr>
        <w:t>第二部分 2021年度部门决算表</w:t>
      </w:r>
      <w:r>
        <w:rPr>
          <w:rFonts w:hint="eastAsia"/>
          <w:color w:val="000000"/>
          <w:sz w:val="27"/>
          <w:szCs w:val="27"/>
        </w:rPr>
        <w:t xml:space="preserve"> </w:t>
      </w:r>
    </w:p>
    <w:p>
      <w:pPr>
        <w:pStyle w:val="10"/>
        <w:spacing w:after="2"/>
        <w:ind w:firstLine="700"/>
        <w:rPr>
          <w:color w:val="000000"/>
        </w:rPr>
      </w:pPr>
      <w:r>
        <w:rPr>
          <w:rFonts w:hint="eastAsia" w:ascii="宋体" w:hAnsi="宋体" w:eastAsia="宋体"/>
          <w:color w:val="000000"/>
          <w:sz w:val="28"/>
          <w:szCs w:val="28"/>
        </w:rPr>
        <w:t>一、收入支出决算总表</w:t>
      </w:r>
      <w:r>
        <w:rPr>
          <w:rFonts w:hint="eastAsia"/>
          <w:color w:val="000000"/>
        </w:rPr>
        <w:t xml:space="preserve"> </w:t>
      </w:r>
    </w:p>
    <w:p>
      <w:pPr>
        <w:pStyle w:val="10"/>
        <w:spacing w:after="2"/>
        <w:ind w:firstLine="700"/>
        <w:rPr>
          <w:color w:val="000000"/>
        </w:rPr>
      </w:pPr>
      <w:r>
        <w:rPr>
          <w:rFonts w:hint="eastAsia" w:ascii="宋体" w:hAnsi="宋体" w:eastAsia="宋体"/>
          <w:color w:val="000000"/>
          <w:sz w:val="28"/>
          <w:szCs w:val="28"/>
        </w:rPr>
        <w:t>二、收入决算表</w:t>
      </w:r>
      <w:r>
        <w:rPr>
          <w:rFonts w:hint="eastAsia"/>
          <w:color w:val="000000"/>
        </w:rPr>
        <w:t xml:space="preserve"> </w:t>
      </w:r>
    </w:p>
    <w:p>
      <w:pPr>
        <w:pStyle w:val="10"/>
        <w:spacing w:after="2"/>
        <w:ind w:firstLine="700"/>
        <w:rPr>
          <w:color w:val="000000"/>
        </w:rPr>
      </w:pPr>
      <w:r>
        <w:rPr>
          <w:rFonts w:hint="eastAsia" w:ascii="宋体" w:hAnsi="宋体" w:eastAsia="宋体"/>
          <w:color w:val="000000"/>
          <w:sz w:val="28"/>
          <w:szCs w:val="28"/>
        </w:rPr>
        <w:t>三、支出决算表</w:t>
      </w:r>
      <w:r>
        <w:rPr>
          <w:rFonts w:hint="eastAsia"/>
          <w:color w:val="000000"/>
        </w:rPr>
        <w:t xml:space="preserve"> </w:t>
      </w:r>
    </w:p>
    <w:p>
      <w:pPr>
        <w:pStyle w:val="10"/>
        <w:spacing w:after="2"/>
        <w:ind w:firstLine="700"/>
        <w:rPr>
          <w:color w:val="000000"/>
        </w:rPr>
      </w:pPr>
      <w:r>
        <w:rPr>
          <w:rFonts w:hint="eastAsia" w:ascii="宋体" w:hAnsi="宋体" w:eastAsia="宋体"/>
          <w:color w:val="000000"/>
          <w:sz w:val="28"/>
          <w:szCs w:val="28"/>
        </w:rPr>
        <w:t>四、财政拨款收入支出决算总表</w:t>
      </w:r>
      <w:r>
        <w:rPr>
          <w:rFonts w:hint="eastAsia"/>
          <w:color w:val="000000"/>
        </w:rPr>
        <w:t xml:space="preserve"> </w:t>
      </w:r>
    </w:p>
    <w:p>
      <w:pPr>
        <w:pStyle w:val="10"/>
        <w:spacing w:after="2"/>
        <w:ind w:firstLine="700"/>
        <w:rPr>
          <w:color w:val="000000"/>
        </w:rPr>
      </w:pPr>
      <w:r>
        <w:rPr>
          <w:rFonts w:hint="eastAsia" w:ascii="宋体" w:hAnsi="宋体" w:eastAsia="宋体"/>
          <w:color w:val="000000"/>
          <w:sz w:val="28"/>
          <w:szCs w:val="28"/>
        </w:rPr>
        <w:t>五、一般公共预算财政拨款支出决算表</w:t>
      </w:r>
      <w:r>
        <w:rPr>
          <w:rFonts w:hint="eastAsia"/>
          <w:color w:val="000000"/>
        </w:rPr>
        <w:t xml:space="preserve"> </w:t>
      </w:r>
    </w:p>
    <w:p>
      <w:pPr>
        <w:pStyle w:val="10"/>
        <w:spacing w:after="2"/>
        <w:ind w:firstLine="700"/>
        <w:rPr>
          <w:color w:val="000000"/>
        </w:rPr>
      </w:pPr>
      <w:r>
        <w:rPr>
          <w:rFonts w:hint="eastAsia" w:ascii="宋体" w:hAnsi="宋体" w:eastAsia="宋体"/>
          <w:color w:val="000000"/>
          <w:sz w:val="28"/>
          <w:szCs w:val="28"/>
        </w:rPr>
        <w:t>六、一般公共预算财政拨款基本支出决算明细表</w:t>
      </w:r>
      <w:r>
        <w:rPr>
          <w:rFonts w:hint="eastAsia"/>
          <w:color w:val="000000"/>
        </w:rPr>
        <w:t xml:space="preserve"> </w:t>
      </w:r>
    </w:p>
    <w:p>
      <w:pPr>
        <w:pStyle w:val="10"/>
        <w:spacing w:after="2"/>
        <w:ind w:firstLine="700"/>
        <w:rPr>
          <w:color w:val="000000"/>
        </w:rPr>
      </w:pPr>
      <w:r>
        <w:rPr>
          <w:rFonts w:hint="eastAsia" w:ascii="宋体" w:hAnsi="宋体" w:eastAsia="宋体"/>
          <w:color w:val="000000"/>
          <w:sz w:val="28"/>
          <w:szCs w:val="28"/>
        </w:rPr>
        <w:t>七、一般公共预算财政拨款“三公”经费支出决算表</w:t>
      </w:r>
      <w:r>
        <w:rPr>
          <w:rFonts w:hint="eastAsia"/>
          <w:color w:val="000000"/>
        </w:rPr>
        <w:t xml:space="preserve"> </w:t>
      </w:r>
    </w:p>
    <w:p>
      <w:pPr>
        <w:pStyle w:val="10"/>
        <w:spacing w:after="2"/>
        <w:ind w:firstLine="700"/>
        <w:rPr>
          <w:color w:val="000000"/>
        </w:rPr>
      </w:pPr>
      <w:r>
        <w:rPr>
          <w:rFonts w:hint="eastAsia" w:ascii="宋体" w:hAnsi="宋体" w:eastAsia="宋体"/>
          <w:color w:val="000000"/>
          <w:sz w:val="28"/>
          <w:szCs w:val="28"/>
        </w:rPr>
        <w:t>八、政府性基金预算财政拨款收入支出决算表</w:t>
      </w:r>
      <w:r>
        <w:rPr>
          <w:rFonts w:hint="eastAsia"/>
          <w:color w:val="000000"/>
        </w:rPr>
        <w:t xml:space="preserve"> </w:t>
      </w:r>
    </w:p>
    <w:p>
      <w:pPr>
        <w:pStyle w:val="10"/>
        <w:spacing w:after="2"/>
        <w:ind w:firstLine="700"/>
        <w:rPr>
          <w:color w:val="000000"/>
        </w:rPr>
      </w:pPr>
      <w:r>
        <w:rPr>
          <w:rFonts w:hint="eastAsia" w:ascii="宋体" w:hAnsi="宋体" w:eastAsia="宋体"/>
          <w:color w:val="000000"/>
          <w:sz w:val="28"/>
          <w:szCs w:val="28"/>
        </w:rPr>
        <w:t>九、国有资本经营预算财政拨款支出决算表</w:t>
      </w:r>
      <w:r>
        <w:rPr>
          <w:rFonts w:hint="eastAsia"/>
          <w:color w:val="000000"/>
        </w:rPr>
        <w:t xml:space="preserve"> </w:t>
      </w:r>
    </w:p>
    <w:p>
      <w:pPr>
        <w:pStyle w:val="10"/>
        <w:spacing w:after="2"/>
        <w:ind w:firstLine="700"/>
        <w:rPr>
          <w:color w:val="000000"/>
        </w:rPr>
      </w:pPr>
      <w:r>
        <w:rPr>
          <w:rFonts w:hint="eastAsia" w:ascii="宋体" w:hAnsi="宋体" w:eastAsia="宋体"/>
          <w:b/>
          <w:bCs/>
          <w:color w:val="000000"/>
          <w:sz w:val="32"/>
          <w:szCs w:val="32"/>
        </w:rPr>
        <w:t>第三部分 2021年度部门决算情况说明</w:t>
      </w:r>
      <w:r>
        <w:rPr>
          <w:rFonts w:hint="eastAsia"/>
          <w:color w:val="000000"/>
        </w:rPr>
        <w:t xml:space="preserve"> </w:t>
      </w:r>
    </w:p>
    <w:p>
      <w:pPr>
        <w:pStyle w:val="10"/>
        <w:spacing w:after="2"/>
        <w:ind w:firstLine="700"/>
        <w:rPr>
          <w:color w:val="000000"/>
        </w:rPr>
      </w:pPr>
      <w:r>
        <w:rPr>
          <w:rFonts w:hint="eastAsia" w:ascii="宋体" w:hAnsi="宋体" w:eastAsia="宋体"/>
          <w:color w:val="000000"/>
          <w:sz w:val="28"/>
          <w:szCs w:val="28"/>
        </w:rPr>
        <w:t>一、收入支出决算总体情况说明</w:t>
      </w:r>
      <w:r>
        <w:rPr>
          <w:rFonts w:hint="eastAsia"/>
          <w:color w:val="000000"/>
        </w:rPr>
        <w:t xml:space="preserve"> </w:t>
      </w:r>
    </w:p>
    <w:p>
      <w:pPr>
        <w:pStyle w:val="10"/>
        <w:spacing w:after="2"/>
        <w:ind w:firstLine="700"/>
        <w:rPr>
          <w:color w:val="000000"/>
        </w:rPr>
      </w:pPr>
      <w:r>
        <w:rPr>
          <w:rFonts w:hint="eastAsia" w:ascii="宋体" w:hAnsi="宋体" w:eastAsia="宋体"/>
          <w:color w:val="000000"/>
          <w:sz w:val="28"/>
          <w:szCs w:val="28"/>
        </w:rPr>
        <w:t>二、收入决算情况说明</w:t>
      </w:r>
      <w:r>
        <w:rPr>
          <w:rFonts w:hint="eastAsia"/>
          <w:color w:val="000000"/>
        </w:rPr>
        <w:t xml:space="preserve"> </w:t>
      </w:r>
    </w:p>
    <w:p>
      <w:pPr>
        <w:pStyle w:val="10"/>
        <w:spacing w:after="2"/>
        <w:ind w:firstLine="700"/>
        <w:rPr>
          <w:color w:val="000000"/>
        </w:rPr>
      </w:pPr>
      <w:r>
        <w:rPr>
          <w:rFonts w:hint="eastAsia" w:ascii="宋体" w:hAnsi="宋体" w:eastAsia="宋体"/>
          <w:color w:val="000000"/>
          <w:sz w:val="28"/>
          <w:szCs w:val="28"/>
        </w:rPr>
        <w:t>三、支出决算情况说明</w:t>
      </w:r>
      <w:r>
        <w:rPr>
          <w:rFonts w:hint="eastAsia"/>
          <w:color w:val="000000"/>
        </w:rPr>
        <w:t xml:space="preserve"> </w:t>
      </w:r>
    </w:p>
    <w:p>
      <w:pPr>
        <w:pStyle w:val="10"/>
        <w:spacing w:after="2"/>
        <w:ind w:firstLine="700"/>
        <w:rPr>
          <w:color w:val="000000"/>
        </w:rPr>
      </w:pPr>
      <w:r>
        <w:rPr>
          <w:rFonts w:hint="eastAsia" w:ascii="宋体" w:hAnsi="宋体" w:eastAsia="宋体"/>
          <w:color w:val="000000"/>
          <w:sz w:val="28"/>
          <w:szCs w:val="28"/>
        </w:rPr>
        <w:t>四、财政拨款收入支出决算总体情况说明</w:t>
      </w:r>
      <w:r>
        <w:rPr>
          <w:rFonts w:hint="eastAsia"/>
          <w:color w:val="000000"/>
        </w:rPr>
        <w:t xml:space="preserve"> </w:t>
      </w:r>
    </w:p>
    <w:p>
      <w:pPr>
        <w:pStyle w:val="10"/>
        <w:spacing w:after="2"/>
        <w:ind w:firstLine="700"/>
        <w:rPr>
          <w:color w:val="000000"/>
        </w:rPr>
      </w:pPr>
      <w:r>
        <w:rPr>
          <w:rFonts w:hint="eastAsia" w:ascii="宋体" w:hAnsi="宋体" w:eastAsia="宋体"/>
          <w:color w:val="000000"/>
          <w:sz w:val="28"/>
          <w:szCs w:val="28"/>
        </w:rPr>
        <w:t>五、一般公共预算财政拨款支出决算情况说明</w:t>
      </w:r>
      <w:r>
        <w:rPr>
          <w:rFonts w:hint="eastAsia"/>
          <w:color w:val="000000"/>
        </w:rPr>
        <w:t xml:space="preserve"> </w:t>
      </w:r>
    </w:p>
    <w:p>
      <w:pPr>
        <w:pStyle w:val="10"/>
        <w:spacing w:after="2"/>
        <w:ind w:firstLine="700"/>
        <w:rPr>
          <w:color w:val="000000"/>
        </w:rPr>
      </w:pPr>
      <w:r>
        <w:rPr>
          <w:rFonts w:hint="eastAsia" w:ascii="宋体" w:hAnsi="宋体" w:eastAsia="宋体"/>
          <w:color w:val="000000"/>
          <w:sz w:val="28"/>
          <w:szCs w:val="28"/>
        </w:rPr>
        <w:t>六、一般公共预算财政拨款基本支出决算情况说明</w:t>
      </w:r>
      <w:r>
        <w:rPr>
          <w:rFonts w:hint="eastAsia"/>
          <w:color w:val="000000"/>
        </w:rPr>
        <w:t xml:space="preserve"> </w:t>
      </w:r>
    </w:p>
    <w:p>
      <w:pPr>
        <w:pStyle w:val="10"/>
        <w:spacing w:after="2"/>
        <w:ind w:firstLine="700"/>
        <w:rPr>
          <w:color w:val="000000"/>
        </w:rPr>
      </w:pPr>
      <w:r>
        <w:rPr>
          <w:rFonts w:hint="eastAsia" w:ascii="宋体" w:hAnsi="宋体" w:eastAsia="宋体"/>
          <w:color w:val="000000"/>
          <w:sz w:val="28"/>
          <w:szCs w:val="28"/>
        </w:rPr>
        <w:t>七、一般公共预算财政拨款三公经费支出决算情况说明</w:t>
      </w:r>
      <w:r>
        <w:rPr>
          <w:rFonts w:hint="eastAsia"/>
          <w:color w:val="000000"/>
        </w:rPr>
        <w:t xml:space="preserve"> </w:t>
      </w:r>
    </w:p>
    <w:p>
      <w:pPr>
        <w:pStyle w:val="10"/>
        <w:spacing w:after="2"/>
        <w:ind w:firstLine="700"/>
        <w:rPr>
          <w:color w:val="000000"/>
        </w:rPr>
      </w:pPr>
      <w:r>
        <w:rPr>
          <w:rFonts w:hint="eastAsia" w:ascii="宋体" w:hAnsi="宋体" w:eastAsia="宋体"/>
          <w:color w:val="000000"/>
          <w:sz w:val="28"/>
          <w:szCs w:val="28"/>
        </w:rPr>
        <w:t>八、政府性基金预算收入支出决算情况</w:t>
      </w:r>
      <w:r>
        <w:rPr>
          <w:rFonts w:hint="eastAsia"/>
          <w:color w:val="000000"/>
        </w:rPr>
        <w:t xml:space="preserve"> </w:t>
      </w:r>
    </w:p>
    <w:p>
      <w:pPr>
        <w:pStyle w:val="10"/>
        <w:spacing w:after="2"/>
        <w:ind w:firstLine="700"/>
        <w:rPr>
          <w:color w:val="000000"/>
        </w:rPr>
      </w:pPr>
      <w:r>
        <w:rPr>
          <w:rFonts w:hint="eastAsia" w:ascii="宋体" w:hAnsi="宋体" w:eastAsia="宋体"/>
          <w:color w:val="000000"/>
          <w:sz w:val="28"/>
          <w:szCs w:val="28"/>
        </w:rPr>
        <w:t>九、关于机关运行经费支出说明</w:t>
      </w:r>
      <w:r>
        <w:rPr>
          <w:rFonts w:hint="eastAsia"/>
          <w:color w:val="000000"/>
        </w:rPr>
        <w:t xml:space="preserve"> </w:t>
      </w:r>
    </w:p>
    <w:p>
      <w:pPr>
        <w:pStyle w:val="10"/>
        <w:spacing w:after="2"/>
        <w:ind w:firstLine="700"/>
        <w:rPr>
          <w:color w:val="000000"/>
        </w:rPr>
      </w:pPr>
      <w:r>
        <w:rPr>
          <w:rFonts w:hint="eastAsia" w:ascii="宋体" w:hAnsi="宋体" w:eastAsia="宋体"/>
          <w:color w:val="000000"/>
          <w:sz w:val="28"/>
          <w:szCs w:val="28"/>
        </w:rPr>
        <w:t>十、一般性支出情况</w:t>
      </w:r>
      <w:r>
        <w:rPr>
          <w:rFonts w:hint="eastAsia"/>
          <w:color w:val="000000"/>
        </w:rPr>
        <w:t xml:space="preserve"> </w:t>
      </w:r>
    </w:p>
    <w:p>
      <w:pPr>
        <w:pStyle w:val="10"/>
        <w:spacing w:after="2"/>
        <w:ind w:firstLine="700"/>
        <w:rPr>
          <w:color w:val="000000"/>
        </w:rPr>
      </w:pPr>
      <w:r>
        <w:rPr>
          <w:rFonts w:hint="eastAsia" w:ascii="宋体" w:hAnsi="宋体" w:eastAsia="宋体"/>
          <w:color w:val="000000"/>
          <w:sz w:val="28"/>
          <w:szCs w:val="28"/>
        </w:rPr>
        <w:t>十一、关于政府采购支出说明</w:t>
      </w:r>
      <w:r>
        <w:rPr>
          <w:rFonts w:hint="eastAsia"/>
          <w:color w:val="000000"/>
        </w:rPr>
        <w:t xml:space="preserve"> </w:t>
      </w:r>
    </w:p>
    <w:p>
      <w:pPr>
        <w:pStyle w:val="10"/>
        <w:spacing w:after="2"/>
        <w:ind w:firstLine="700"/>
        <w:rPr>
          <w:color w:val="000000"/>
        </w:rPr>
      </w:pPr>
      <w:r>
        <w:rPr>
          <w:rFonts w:hint="eastAsia" w:ascii="宋体" w:hAnsi="宋体" w:eastAsia="宋体"/>
          <w:color w:val="000000"/>
          <w:sz w:val="28"/>
          <w:szCs w:val="28"/>
        </w:rPr>
        <w:t>十二、关于国有资产占用情况说明</w:t>
      </w:r>
      <w:r>
        <w:rPr>
          <w:rFonts w:hint="eastAsia"/>
          <w:color w:val="000000"/>
        </w:rPr>
        <w:t xml:space="preserve"> </w:t>
      </w:r>
    </w:p>
    <w:p>
      <w:pPr>
        <w:pStyle w:val="10"/>
        <w:spacing w:after="2"/>
        <w:ind w:firstLine="700"/>
        <w:rPr>
          <w:color w:val="000000"/>
        </w:rPr>
      </w:pPr>
      <w:r>
        <w:rPr>
          <w:rFonts w:hint="eastAsia" w:ascii="宋体" w:hAnsi="宋体" w:eastAsia="宋体"/>
          <w:color w:val="000000"/>
          <w:sz w:val="28"/>
          <w:szCs w:val="28"/>
        </w:rPr>
        <w:t>十三、关于2021年度预算绩效情况的说明</w:t>
      </w:r>
      <w:r>
        <w:rPr>
          <w:rFonts w:hint="eastAsia"/>
          <w:color w:val="000000"/>
        </w:rPr>
        <w:t xml:space="preserve"> </w:t>
      </w:r>
    </w:p>
    <w:p>
      <w:pPr>
        <w:pStyle w:val="10"/>
        <w:spacing w:after="2"/>
        <w:ind w:firstLine="641"/>
        <w:rPr>
          <w:color w:val="000000"/>
          <w:sz w:val="27"/>
          <w:szCs w:val="27"/>
        </w:rPr>
      </w:pPr>
      <w:r>
        <w:rPr>
          <w:rFonts w:hint="eastAsia" w:ascii="宋体" w:hAnsi="宋体" w:eastAsia="宋体"/>
          <w:b/>
          <w:bCs/>
          <w:color w:val="000000"/>
          <w:sz w:val="32"/>
          <w:szCs w:val="32"/>
        </w:rPr>
        <w:t>第四部分 名词解释</w:t>
      </w:r>
      <w:r>
        <w:rPr>
          <w:rFonts w:hint="eastAsia"/>
          <w:color w:val="000000"/>
          <w:sz w:val="27"/>
          <w:szCs w:val="27"/>
        </w:rPr>
        <w:t xml:space="preserve"> </w:t>
      </w:r>
    </w:p>
    <w:p>
      <w:pPr>
        <w:pStyle w:val="10"/>
        <w:spacing w:after="2"/>
        <w:ind w:firstLine="641"/>
        <w:rPr>
          <w:color w:val="000000"/>
          <w:sz w:val="27"/>
          <w:szCs w:val="27"/>
        </w:rPr>
      </w:pPr>
      <w:r>
        <w:rPr>
          <w:rFonts w:hint="eastAsia" w:ascii="宋体" w:hAnsi="宋体" w:eastAsia="宋体"/>
          <w:b/>
          <w:bCs/>
          <w:color w:val="000000"/>
          <w:sz w:val="32"/>
          <w:szCs w:val="32"/>
        </w:rPr>
        <w:t>第五部分 附件</w:t>
      </w:r>
      <w:r>
        <w:rPr>
          <w:rFonts w:hint="eastAsia"/>
          <w:color w:val="000000"/>
          <w:sz w:val="27"/>
          <w:szCs w:val="27"/>
        </w:rPr>
        <w:t xml:space="preserve"> </w:t>
      </w:r>
    </w:p>
    <w:p>
      <w:pPr>
        <w:rPr>
          <w:color w:val="000000"/>
        </w:rPr>
      </w:pPr>
    </w:p>
    <w:p>
      <w:pPr>
        <w:rPr>
          <w:color w:val="000000"/>
        </w:rPr>
      </w:pPr>
    </w:p>
    <w:p>
      <w:pPr>
        <w:rPr>
          <w:color w:val="000000"/>
        </w:rPr>
      </w:pPr>
    </w:p>
    <w:p>
      <w:pPr>
        <w:rPr>
          <w:color w:val="000000"/>
        </w:rPr>
      </w:pPr>
    </w:p>
    <w:p>
      <w:pPr>
        <w:rPr>
          <w:color w:val="000000"/>
        </w:rPr>
      </w:pPr>
    </w:p>
    <w:p>
      <w:pPr>
        <w:spacing w:after="2" w:line="600" w:lineRule="atLeast"/>
        <w:jc w:val="center"/>
        <w:rPr>
          <w:color w:val="000000"/>
          <w:szCs w:val="21"/>
        </w:rPr>
      </w:pPr>
      <w:r>
        <w:rPr>
          <w:rFonts w:hint="eastAsia" w:ascii="宋体" w:hAnsi="宋体" w:eastAsia="宋体"/>
          <w:b/>
          <w:bCs/>
          <w:color w:val="000000"/>
          <w:sz w:val="36"/>
          <w:szCs w:val="36"/>
        </w:rPr>
        <w:t>第一部分 冷水滩区城镇住房制度改革办公室概况</w:t>
      </w:r>
      <w:r>
        <w:rPr>
          <w:rFonts w:hint="eastAsia"/>
          <w:b/>
          <w:bCs/>
          <w:color w:val="000000"/>
          <w:szCs w:val="21"/>
        </w:rPr>
        <w:t xml:space="preserve"> </w:t>
      </w:r>
    </w:p>
    <w:p>
      <w:pPr>
        <w:pStyle w:val="4"/>
        <w:spacing w:before="0" w:beforeAutospacing="0" w:after="2" w:afterAutospacing="0"/>
        <w:rPr>
          <w:color w:val="000000"/>
        </w:rPr>
      </w:pPr>
    </w:p>
    <w:p>
      <w:pPr>
        <w:pStyle w:val="11"/>
        <w:spacing w:before="0" w:beforeAutospacing="0" w:after="2" w:afterAutospacing="0"/>
        <w:rPr>
          <w:color w:val="000000"/>
        </w:rPr>
      </w:pPr>
      <w:r>
        <w:rPr>
          <w:rFonts w:ascii="Calibri" w:hAnsi="Calibri" w:eastAsia="黑体" w:cs="Calibri"/>
          <w:color w:val="000000"/>
          <w:sz w:val="32"/>
          <w:szCs w:val="32"/>
        </w:rPr>
        <w:t> </w:t>
      </w:r>
      <w:r>
        <w:rPr>
          <w:color w:val="000000"/>
        </w:rPr>
        <w:t xml:space="preserve"> </w:t>
      </w:r>
    </w:p>
    <w:p>
      <w:pPr>
        <w:pStyle w:val="10"/>
        <w:spacing w:after="2"/>
        <w:ind w:firstLine="641"/>
        <w:rPr>
          <w:color w:val="000000"/>
          <w:sz w:val="27"/>
          <w:szCs w:val="27"/>
        </w:rPr>
      </w:pPr>
      <w:r>
        <w:rPr>
          <w:rFonts w:hint="eastAsia" w:ascii="宋体" w:hAnsi="宋体" w:eastAsia="宋体"/>
          <w:b/>
          <w:bCs/>
          <w:color w:val="000000"/>
          <w:sz w:val="32"/>
          <w:szCs w:val="32"/>
        </w:rPr>
        <w:t>一、部门职责</w:t>
      </w:r>
      <w:r>
        <w:rPr>
          <w:rFonts w:hint="eastAsia"/>
          <w:color w:val="000000"/>
          <w:sz w:val="27"/>
          <w:szCs w:val="27"/>
        </w:rPr>
        <w:t xml:space="preserve"> </w:t>
      </w:r>
    </w:p>
    <w:p>
      <w:pPr>
        <w:pStyle w:val="10"/>
        <w:spacing w:after="2"/>
        <w:ind w:firstLine="641"/>
        <w:rPr>
          <w:color w:val="000000"/>
          <w:sz w:val="32"/>
          <w:szCs w:val="32"/>
        </w:rPr>
      </w:pPr>
      <w:r>
        <w:rPr>
          <w:rFonts w:hint="eastAsia" w:ascii="宋体" w:hAnsi="宋体" w:eastAsia="宋体"/>
          <w:color w:val="000000"/>
          <w:sz w:val="32"/>
          <w:szCs w:val="32"/>
        </w:rPr>
        <w:t>（一）认真宣传、贯彻执行国家的房改政策,提高认识,积极参与住房制度改革。</w:t>
      </w:r>
      <w:r>
        <w:rPr>
          <w:rFonts w:hint="eastAsia"/>
          <w:color w:val="000000"/>
          <w:sz w:val="32"/>
          <w:szCs w:val="32"/>
        </w:rPr>
        <w:t xml:space="preserve"> </w:t>
      </w:r>
    </w:p>
    <w:p>
      <w:pPr>
        <w:pStyle w:val="10"/>
        <w:spacing w:after="2"/>
        <w:ind w:firstLine="641"/>
        <w:rPr>
          <w:color w:val="000000"/>
          <w:sz w:val="32"/>
          <w:szCs w:val="32"/>
        </w:rPr>
      </w:pPr>
      <w:r>
        <w:rPr>
          <w:rFonts w:hint="eastAsia" w:ascii="宋体" w:hAnsi="宋体" w:eastAsia="宋体"/>
          <w:color w:val="000000"/>
          <w:sz w:val="32"/>
          <w:szCs w:val="32"/>
        </w:rPr>
        <w:t>（二）负责落实区政府确定的改革任务,制定房改实施方案,加快推进全区住房制度改。</w:t>
      </w:r>
      <w:r>
        <w:rPr>
          <w:rFonts w:hint="eastAsia"/>
          <w:color w:val="000000"/>
          <w:sz w:val="32"/>
          <w:szCs w:val="32"/>
        </w:rPr>
        <w:t xml:space="preserve"> </w:t>
      </w:r>
    </w:p>
    <w:p>
      <w:pPr>
        <w:pStyle w:val="10"/>
        <w:spacing w:after="2"/>
        <w:ind w:firstLine="641"/>
        <w:rPr>
          <w:color w:val="000000"/>
          <w:sz w:val="32"/>
          <w:szCs w:val="32"/>
        </w:rPr>
      </w:pPr>
      <w:r>
        <w:rPr>
          <w:rFonts w:hint="eastAsia" w:ascii="宋体" w:hAnsi="宋体" w:eastAsia="宋体"/>
          <w:color w:val="000000"/>
          <w:sz w:val="32"/>
          <w:szCs w:val="32"/>
        </w:rPr>
        <w:t>（三）严格执行国务院制定的房改政策,严肃房改纪律,积极配合监察部门加强纪律监督、检查。</w:t>
      </w:r>
      <w:r>
        <w:rPr>
          <w:rFonts w:hint="eastAsia"/>
          <w:color w:val="000000"/>
          <w:sz w:val="32"/>
          <w:szCs w:val="32"/>
        </w:rPr>
        <w:t xml:space="preserve"> </w:t>
      </w:r>
    </w:p>
    <w:p>
      <w:pPr>
        <w:pStyle w:val="10"/>
        <w:spacing w:after="2"/>
        <w:ind w:firstLine="641"/>
        <w:rPr>
          <w:color w:val="000000"/>
          <w:sz w:val="27"/>
          <w:szCs w:val="27"/>
        </w:rPr>
      </w:pPr>
      <w:r>
        <w:rPr>
          <w:rFonts w:hint="eastAsia" w:ascii="宋体" w:hAnsi="宋体" w:eastAsia="宋体"/>
          <w:b/>
          <w:bCs/>
          <w:color w:val="000000"/>
          <w:sz w:val="32"/>
          <w:szCs w:val="32"/>
        </w:rPr>
        <w:t>二、机构设置及决算单位构成</w:t>
      </w:r>
      <w:r>
        <w:rPr>
          <w:rFonts w:hint="eastAsia"/>
          <w:color w:val="000000"/>
          <w:sz w:val="27"/>
          <w:szCs w:val="27"/>
        </w:rPr>
        <w:t xml:space="preserve"> </w:t>
      </w:r>
    </w:p>
    <w:p>
      <w:pPr>
        <w:pStyle w:val="10"/>
        <w:spacing w:after="2"/>
        <w:ind w:firstLine="641"/>
        <w:rPr>
          <w:color w:val="000000"/>
          <w:sz w:val="27"/>
          <w:szCs w:val="27"/>
        </w:rPr>
      </w:pPr>
      <w:r>
        <w:rPr>
          <w:rFonts w:hint="eastAsia" w:ascii="宋体" w:hAnsi="宋体" w:eastAsia="宋体"/>
          <w:color w:val="000000"/>
          <w:sz w:val="32"/>
          <w:szCs w:val="32"/>
        </w:rPr>
        <w:t>（一）内设机构设置</w:t>
      </w:r>
      <w:r>
        <w:rPr>
          <w:rFonts w:hint="eastAsia"/>
          <w:color w:val="000000"/>
          <w:sz w:val="27"/>
          <w:szCs w:val="27"/>
        </w:rPr>
        <w:t xml:space="preserve"> </w:t>
      </w:r>
    </w:p>
    <w:p>
      <w:pPr>
        <w:pStyle w:val="10"/>
        <w:spacing w:after="2"/>
        <w:ind w:firstLine="641"/>
        <w:rPr>
          <w:color w:val="000000"/>
          <w:sz w:val="27"/>
          <w:szCs w:val="27"/>
        </w:rPr>
      </w:pPr>
      <w:r>
        <w:rPr>
          <w:rFonts w:hint="eastAsia" w:ascii="宋体" w:hAnsi="宋体" w:eastAsia="宋体"/>
          <w:color w:val="000000"/>
          <w:sz w:val="32"/>
          <w:szCs w:val="32"/>
        </w:rPr>
        <w:t>冷水滩区城镇住房制度改革办公室内设机构包括：机构设置：房改办内设办公室。人员编制情况：法定编制10名。现有干部职工4人，其中在职4人、退休4人。</w:t>
      </w:r>
      <w:r>
        <w:rPr>
          <w:rFonts w:hint="eastAsia"/>
          <w:color w:val="000000"/>
          <w:sz w:val="27"/>
          <w:szCs w:val="27"/>
        </w:rPr>
        <w:t xml:space="preserve"> </w:t>
      </w:r>
    </w:p>
    <w:p>
      <w:pPr>
        <w:pStyle w:val="10"/>
        <w:spacing w:after="2"/>
        <w:ind w:firstLine="641"/>
        <w:rPr>
          <w:color w:val="000000"/>
          <w:sz w:val="27"/>
          <w:szCs w:val="27"/>
        </w:rPr>
      </w:pPr>
      <w:r>
        <w:rPr>
          <w:rFonts w:hint="eastAsia" w:ascii="宋体" w:hAnsi="宋体" w:eastAsia="宋体"/>
          <w:color w:val="000000"/>
          <w:sz w:val="32"/>
          <w:szCs w:val="32"/>
        </w:rPr>
        <w:t>（二）决算单位构成</w:t>
      </w:r>
      <w:r>
        <w:rPr>
          <w:rFonts w:hint="eastAsia"/>
          <w:color w:val="000000"/>
          <w:sz w:val="27"/>
          <w:szCs w:val="27"/>
        </w:rPr>
        <w:t xml:space="preserve"> </w:t>
      </w:r>
    </w:p>
    <w:p>
      <w:pPr>
        <w:pStyle w:val="10"/>
        <w:spacing w:after="2"/>
        <w:ind w:firstLine="641"/>
        <w:rPr>
          <w:color w:val="000000"/>
          <w:sz w:val="27"/>
          <w:szCs w:val="27"/>
        </w:rPr>
      </w:pPr>
      <w:r>
        <w:rPr>
          <w:rFonts w:hint="eastAsia" w:ascii="宋体" w:hAnsi="宋体" w:eastAsia="宋体"/>
          <w:color w:val="000000"/>
          <w:sz w:val="32"/>
          <w:szCs w:val="32"/>
        </w:rPr>
        <w:t>冷水滩区城镇住房制度改革办公室为一级预算单位，无独立二级单位，因此本次决算公开单位为冷水滩区城镇住房制度改革办公室本级。</w:t>
      </w:r>
      <w:r>
        <w:rPr>
          <w:rFonts w:hint="eastAsia"/>
          <w:color w:val="000000"/>
          <w:sz w:val="27"/>
          <w:szCs w:val="27"/>
        </w:rPr>
        <w:t xml:space="preserve"> </w:t>
      </w:r>
    </w:p>
    <w:p>
      <w:pPr>
        <w:widowControl/>
        <w:jc w:val="left"/>
        <w:rPr>
          <w:rFonts w:ascii="宋体" w:hAnsi="宋体" w:eastAsia="宋体" w:cs="宋体"/>
          <w:color w:val="000000"/>
          <w:kern w:val="0"/>
          <w:sz w:val="32"/>
          <w:szCs w:val="32"/>
        </w:rPr>
        <w:sectPr>
          <w:pgSz w:w="11906" w:h="16838" w:orient="landscape"/>
          <w:pgMar w:top="1440" w:right="1080" w:bottom="1440" w:left="1080" w:header="851" w:footer="992" w:gutter="0"/>
          <w:cols w:space="425" w:num="1"/>
          <w:docGrid w:type="lines" w:linePitch="160" w:charSpace="0"/>
        </w:sectPr>
      </w:pPr>
    </w:p>
    <w:p>
      <w:pPr>
        <w:spacing w:after="2"/>
        <w:ind w:firstLine="721"/>
        <w:jc w:val="center"/>
        <w:rPr>
          <w:color w:val="000000"/>
          <w:szCs w:val="21"/>
        </w:rPr>
      </w:pPr>
    </w:p>
    <w:p>
      <w:pPr>
        <w:spacing w:after="2"/>
        <w:ind w:firstLine="721"/>
        <w:jc w:val="center"/>
        <w:rPr>
          <w:color w:val="000000"/>
          <w:szCs w:val="21"/>
        </w:rPr>
      </w:pPr>
      <w:r>
        <w:rPr>
          <w:rFonts w:hint="eastAsia" w:ascii="宋体" w:hAnsi="宋体" w:eastAsia="宋体"/>
          <w:b/>
          <w:bCs/>
          <w:color w:val="000000"/>
          <w:sz w:val="36"/>
          <w:szCs w:val="36"/>
        </w:rPr>
        <w:t>第二部分 2021年度部门决算表</w:t>
      </w:r>
      <w:r>
        <w:rPr>
          <w:rFonts w:hint="eastAsia"/>
          <w:color w:val="000000"/>
          <w:szCs w:val="21"/>
        </w:rPr>
        <w:t xml:space="preserve"> </w:t>
      </w:r>
    </w:p>
    <w:p>
      <w:pPr>
        <w:pStyle w:val="4"/>
        <w:spacing w:before="0" w:beforeAutospacing="0" w:after="2" w:afterAutospacing="0"/>
        <w:rPr>
          <w:color w:val="000000"/>
          <w:sz w:val="32"/>
          <w:szCs w:val="32"/>
        </w:rPr>
      </w:pPr>
    </w:p>
    <w:p>
      <w:pPr>
        <w:spacing w:after="2"/>
        <w:jc w:val="center"/>
        <w:rPr>
          <w:color w:val="000000"/>
          <w:szCs w:val="21"/>
        </w:rPr>
      </w:pPr>
    </w:p>
    <w:tbl>
      <w:tblPr>
        <w:tblStyle w:val="5"/>
        <w:tblW w:w="5000" w:type="pct"/>
        <w:jc w:val="center"/>
        <w:tblCellSpacing w:w="0" w:type="dxa"/>
        <w:tblLayout w:type="autofit"/>
        <w:tblCellMar>
          <w:top w:w="0" w:type="dxa"/>
          <w:left w:w="0" w:type="dxa"/>
          <w:bottom w:w="0" w:type="dxa"/>
          <w:right w:w="0" w:type="dxa"/>
        </w:tblCellMar>
      </w:tblPr>
      <w:tblGrid>
        <w:gridCol w:w="4802"/>
        <w:gridCol w:w="648"/>
        <w:gridCol w:w="2569"/>
        <w:gridCol w:w="4802"/>
        <w:gridCol w:w="648"/>
        <w:gridCol w:w="2569"/>
      </w:tblGrid>
      <w:tr>
        <w:tblPrEx>
          <w:tblCellMar>
            <w:top w:w="0" w:type="dxa"/>
            <w:left w:w="0" w:type="dxa"/>
            <w:bottom w:w="0" w:type="dxa"/>
            <w:right w:w="0" w:type="dxa"/>
          </w:tblCellMar>
        </w:tblPrEx>
        <w:trPr>
          <w:tblCellSpacing w:w="0" w:type="dxa"/>
          <w:jc w:val="center"/>
        </w:trPr>
        <w:tc>
          <w:tcPr>
            <w:tcW w:w="5000" w:type="pct"/>
            <w:gridSpan w:val="6"/>
            <w:vAlign w:val="center"/>
          </w:tcPr>
          <w:p>
            <w:pPr>
              <w:pStyle w:val="4"/>
              <w:jc w:val="center"/>
              <w:rPr>
                <w:sz w:val="40"/>
                <w:szCs w:val="40"/>
              </w:rPr>
            </w:pPr>
            <w:r>
              <w:rPr>
                <w:sz w:val="40"/>
                <w:szCs w:val="40"/>
              </w:rPr>
              <w:t>收入支出决算总表</w:t>
            </w:r>
          </w:p>
        </w:tc>
      </w:tr>
      <w:tr>
        <w:tblPrEx>
          <w:tblCellMar>
            <w:top w:w="0" w:type="dxa"/>
            <w:left w:w="0" w:type="dxa"/>
            <w:bottom w:w="0" w:type="dxa"/>
            <w:right w:w="0" w:type="dxa"/>
          </w:tblCellMar>
        </w:tblPrEx>
        <w:trPr>
          <w:tblCellSpacing w:w="0" w:type="dxa"/>
          <w:jc w:val="center"/>
        </w:trPr>
        <w:tc>
          <w:tcPr>
            <w:tcW w:w="1497" w:type="pct"/>
            <w:vAlign w:val="center"/>
          </w:tcPr>
          <w:p>
            <w:pPr>
              <w:rPr>
                <w:sz w:val="40"/>
                <w:szCs w:val="40"/>
              </w:rPr>
            </w:pPr>
          </w:p>
        </w:tc>
        <w:tc>
          <w:tcPr>
            <w:tcW w:w="202" w:type="pct"/>
            <w:vAlign w:val="center"/>
          </w:tcPr>
          <w:p>
            <w:pPr>
              <w:rPr>
                <w:rFonts w:ascii="Times New Roman" w:hAnsi="Times New Roman" w:eastAsia="Times New Roman" w:cs="Times New Roman"/>
                <w:kern w:val="0"/>
                <w:sz w:val="20"/>
                <w:szCs w:val="20"/>
              </w:rPr>
            </w:pPr>
          </w:p>
        </w:tc>
        <w:tc>
          <w:tcPr>
            <w:tcW w:w="799" w:type="pct"/>
            <w:vAlign w:val="center"/>
          </w:tcPr>
          <w:p>
            <w:pPr>
              <w:rPr>
                <w:rFonts w:ascii="Times New Roman" w:hAnsi="Times New Roman" w:eastAsia="Times New Roman" w:cs="Times New Roman"/>
                <w:kern w:val="0"/>
                <w:sz w:val="20"/>
                <w:szCs w:val="20"/>
              </w:rPr>
            </w:pPr>
          </w:p>
        </w:tc>
        <w:tc>
          <w:tcPr>
            <w:tcW w:w="1497" w:type="pct"/>
            <w:vAlign w:val="center"/>
          </w:tcPr>
          <w:p>
            <w:pPr>
              <w:rPr>
                <w:rFonts w:ascii="Times New Roman" w:hAnsi="Times New Roman" w:eastAsia="Times New Roman" w:cs="Times New Roman"/>
                <w:kern w:val="0"/>
                <w:sz w:val="20"/>
                <w:szCs w:val="20"/>
              </w:rPr>
            </w:pPr>
          </w:p>
        </w:tc>
        <w:tc>
          <w:tcPr>
            <w:tcW w:w="1002" w:type="pct"/>
            <w:gridSpan w:val="2"/>
            <w:vAlign w:val="center"/>
          </w:tcPr>
          <w:p>
            <w:pPr>
              <w:pStyle w:val="4"/>
              <w:jc w:val="right"/>
              <w:rPr>
                <w:sz w:val="20"/>
                <w:szCs w:val="20"/>
              </w:rPr>
            </w:pPr>
            <w:r>
              <w:rPr>
                <w:sz w:val="20"/>
                <w:szCs w:val="20"/>
              </w:rPr>
              <w:t>公开01表</w:t>
            </w:r>
          </w:p>
        </w:tc>
      </w:tr>
      <w:tr>
        <w:tblPrEx>
          <w:tblCellMar>
            <w:top w:w="0" w:type="dxa"/>
            <w:left w:w="0" w:type="dxa"/>
            <w:bottom w:w="0" w:type="dxa"/>
            <w:right w:w="0" w:type="dxa"/>
          </w:tblCellMar>
        </w:tblPrEx>
        <w:trPr>
          <w:tblCellSpacing w:w="0" w:type="dxa"/>
          <w:jc w:val="center"/>
        </w:trPr>
        <w:tc>
          <w:tcPr>
            <w:tcW w:w="3997" w:type="pct"/>
            <w:gridSpan w:val="4"/>
            <w:vAlign w:val="center"/>
          </w:tcPr>
          <w:p>
            <w:pPr>
              <w:pStyle w:val="4"/>
              <w:rPr>
                <w:sz w:val="22"/>
                <w:szCs w:val="22"/>
              </w:rPr>
            </w:pPr>
            <w:r>
              <w:rPr>
                <w:sz w:val="22"/>
                <w:szCs w:val="22"/>
              </w:rPr>
              <w:t>部门：永州市冷水滩区房改办</w:t>
            </w:r>
          </w:p>
        </w:tc>
        <w:tc>
          <w:tcPr>
            <w:tcW w:w="1002" w:type="pct"/>
            <w:gridSpan w:val="2"/>
            <w:vAlign w:val="center"/>
          </w:tcPr>
          <w:p>
            <w:pPr>
              <w:pStyle w:val="4"/>
              <w:jc w:val="right"/>
              <w:rPr>
                <w:sz w:val="20"/>
                <w:szCs w:val="20"/>
              </w:rPr>
            </w:pPr>
            <w:r>
              <w:rPr>
                <w:sz w:val="20"/>
                <w:szCs w:val="20"/>
              </w:rPr>
              <w:t>金额单位：万元</w:t>
            </w:r>
          </w:p>
        </w:tc>
      </w:tr>
      <w:tr>
        <w:tblPrEx>
          <w:tblCellMar>
            <w:top w:w="0" w:type="dxa"/>
            <w:left w:w="0" w:type="dxa"/>
            <w:bottom w:w="0" w:type="dxa"/>
            <w:right w:w="0" w:type="dxa"/>
          </w:tblCellMar>
        </w:tblPrEx>
        <w:trPr>
          <w:tblCellSpacing w:w="0" w:type="dxa"/>
          <w:jc w:val="center"/>
        </w:trPr>
        <w:tc>
          <w:tcPr>
            <w:tcW w:w="2500" w:type="pct"/>
            <w:gridSpan w:val="3"/>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收入</w:t>
            </w:r>
          </w:p>
        </w:tc>
        <w:tc>
          <w:tcPr>
            <w:tcW w:w="2500" w:type="pct"/>
            <w:gridSpan w:val="3"/>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支出</w:t>
            </w: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项目</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行次</w:t>
            </w:r>
          </w:p>
        </w:tc>
        <w:tc>
          <w:tcPr>
            <w:tcW w:w="799"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金额</w:t>
            </w: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项目</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行次</w:t>
            </w:r>
          </w:p>
        </w:tc>
        <w:tc>
          <w:tcPr>
            <w:tcW w:w="799"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金额</w:t>
            </w: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栏次</w:t>
            </w:r>
          </w:p>
        </w:tc>
        <w:tc>
          <w:tcPr>
            <w:tcW w:w="20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799"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w:t>
            </w: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栏次</w:t>
            </w:r>
          </w:p>
        </w:tc>
        <w:tc>
          <w:tcPr>
            <w:tcW w:w="20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799"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w:t>
            </w: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一、一般公共预算财政拨款收入</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w:t>
            </w:r>
          </w:p>
        </w:tc>
        <w:tc>
          <w:tcPr>
            <w:tcW w:w="799"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46.66</w:t>
            </w: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一、一般公共服务支出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32</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二、政府性基金预算财政拨款收入</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二、外交支出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33</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三、国有资本经营预算财政拨款收入</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三、国防支出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34</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四、上级补助收入</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四、公共安全支出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35</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五、事业收入</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五、教育支出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36</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六、经营收入</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6</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六、科学技术支出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37</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七、附属单位上缴收入</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7</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七、文化旅游体育与传媒支出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38</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八、其他收入</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8</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八、社会保障和就业支出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39</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9</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九、卫生健康支出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40</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10</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十、节能环保支出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41</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11</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十一、城乡社区支出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42</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12</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十二、农林水支出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43</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13</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十三、交通运输支出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44</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14</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十四、资源勘探工业信息等支出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45</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15</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十五、商业服务业等支出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46</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16</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十六、金融支出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47</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17</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十七、援助其他地区支出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48</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18</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十八、自然资源海洋气象等支出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49</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19</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十九、住房保障支出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50</w:t>
            </w:r>
          </w:p>
        </w:tc>
        <w:tc>
          <w:tcPr>
            <w:tcW w:w="799"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46.66</w:t>
            </w: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20</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二十、粮油物资储备支出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51</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21</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二十一、国有资本经营预算支出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52</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22</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二十二、灾害防治及应急管理支出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53</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23</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二十三、其他支出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54</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0"/>
                <w:szCs w:val="20"/>
              </w:rPr>
            </w:pPr>
            <w:r>
              <w:rPr>
                <w:sz w:val="20"/>
                <w:szCs w:val="20"/>
              </w:rPr>
              <w:t>24</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0"/>
                <w:szCs w:val="20"/>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二十四、债务还本支出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55</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0"/>
                <w:szCs w:val="20"/>
              </w:rPr>
            </w:pPr>
            <w:r>
              <w:rPr>
                <w:sz w:val="20"/>
                <w:szCs w:val="20"/>
              </w:rPr>
              <w:t>25</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0"/>
                <w:szCs w:val="20"/>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二十五、债务付息支出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56</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0"/>
                <w:szCs w:val="20"/>
              </w:rPr>
            </w:pPr>
            <w:r>
              <w:rPr>
                <w:sz w:val="20"/>
                <w:szCs w:val="20"/>
              </w:rPr>
              <w:t>26</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0"/>
                <w:szCs w:val="20"/>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二十六、抗疫特别国债安排的支出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57</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4"/>
              <w:jc w:val="center"/>
              <w:rPr>
                <w:b/>
                <w:bCs/>
                <w:sz w:val="22"/>
                <w:szCs w:val="22"/>
              </w:rPr>
            </w:pPr>
            <w:r>
              <w:rPr>
                <w:b/>
                <w:bCs/>
                <w:sz w:val="22"/>
                <w:szCs w:val="22"/>
              </w:rPr>
              <w:t>本年收入合计</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27</w:t>
            </w:r>
          </w:p>
        </w:tc>
        <w:tc>
          <w:tcPr>
            <w:tcW w:w="799" w:type="pct"/>
            <w:tcBorders>
              <w:top w:val="single" w:color="666666" w:sz="6" w:space="0"/>
              <w:left w:val="single" w:color="666666" w:sz="6" w:space="0"/>
              <w:bottom w:val="single" w:color="666666" w:sz="6" w:space="0"/>
              <w:right w:val="single" w:color="666666" w:sz="6" w:space="0"/>
            </w:tcBorders>
            <w:vAlign w:val="center"/>
          </w:tcPr>
          <w:p>
            <w:pPr>
              <w:pStyle w:val="4"/>
              <w:jc w:val="right"/>
              <w:rPr>
                <w:b/>
                <w:bCs/>
                <w:sz w:val="22"/>
                <w:szCs w:val="22"/>
              </w:rPr>
            </w:pPr>
            <w:r>
              <w:rPr>
                <w:b/>
                <w:bCs/>
                <w:sz w:val="22"/>
                <w:szCs w:val="22"/>
              </w:rPr>
              <w:t>46.66</w:t>
            </w: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jc w:val="center"/>
              <w:rPr>
                <w:b/>
                <w:bCs/>
                <w:sz w:val="22"/>
                <w:szCs w:val="22"/>
              </w:rPr>
            </w:pPr>
            <w:r>
              <w:rPr>
                <w:b/>
                <w:bCs/>
                <w:sz w:val="22"/>
                <w:szCs w:val="22"/>
              </w:rPr>
              <w:t>本年支出合计</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58</w:t>
            </w:r>
          </w:p>
        </w:tc>
        <w:tc>
          <w:tcPr>
            <w:tcW w:w="799" w:type="pct"/>
            <w:tcBorders>
              <w:top w:val="single" w:color="666666" w:sz="6" w:space="0"/>
              <w:left w:val="single" w:color="666666" w:sz="6" w:space="0"/>
              <w:bottom w:val="single" w:color="666666" w:sz="6" w:space="0"/>
              <w:right w:val="single" w:color="666666" w:sz="6" w:space="0"/>
            </w:tcBorders>
            <w:vAlign w:val="center"/>
          </w:tcPr>
          <w:p>
            <w:pPr>
              <w:pStyle w:val="4"/>
              <w:jc w:val="right"/>
              <w:rPr>
                <w:b/>
                <w:bCs/>
                <w:sz w:val="22"/>
                <w:szCs w:val="22"/>
              </w:rPr>
            </w:pPr>
            <w:r>
              <w:rPr>
                <w:b/>
                <w:bCs/>
                <w:sz w:val="22"/>
                <w:szCs w:val="22"/>
              </w:rPr>
              <w:t>46.66</w:t>
            </w: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使用非财政拨款结余</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28</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结余分配</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59</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年初结转和结余</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29</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年末结转和结余</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60</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30</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61</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4"/>
              <w:jc w:val="center"/>
              <w:rPr>
                <w:b/>
                <w:bCs/>
                <w:sz w:val="22"/>
                <w:szCs w:val="22"/>
              </w:rPr>
            </w:pPr>
            <w:r>
              <w:rPr>
                <w:b/>
                <w:bCs/>
                <w:sz w:val="22"/>
                <w:szCs w:val="22"/>
              </w:rPr>
              <w:t>总计</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31</w:t>
            </w:r>
          </w:p>
        </w:tc>
        <w:tc>
          <w:tcPr>
            <w:tcW w:w="799" w:type="pct"/>
            <w:tcBorders>
              <w:top w:val="single" w:color="666666" w:sz="6" w:space="0"/>
              <w:left w:val="single" w:color="666666" w:sz="6" w:space="0"/>
              <w:bottom w:val="single" w:color="666666" w:sz="6" w:space="0"/>
              <w:right w:val="single" w:color="666666" w:sz="6" w:space="0"/>
            </w:tcBorders>
            <w:vAlign w:val="center"/>
          </w:tcPr>
          <w:p>
            <w:pPr>
              <w:pStyle w:val="4"/>
              <w:jc w:val="right"/>
              <w:rPr>
                <w:b/>
                <w:bCs/>
                <w:sz w:val="22"/>
                <w:szCs w:val="22"/>
              </w:rPr>
            </w:pPr>
            <w:r>
              <w:rPr>
                <w:b/>
                <w:bCs/>
                <w:sz w:val="22"/>
                <w:szCs w:val="22"/>
              </w:rPr>
              <w:t>46.66</w:t>
            </w: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jc w:val="center"/>
              <w:rPr>
                <w:b/>
                <w:bCs/>
                <w:sz w:val="22"/>
                <w:szCs w:val="22"/>
              </w:rPr>
            </w:pPr>
            <w:r>
              <w:rPr>
                <w:b/>
                <w:bCs/>
                <w:sz w:val="22"/>
                <w:szCs w:val="22"/>
              </w:rPr>
              <w:t>总计</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62</w:t>
            </w:r>
          </w:p>
        </w:tc>
        <w:tc>
          <w:tcPr>
            <w:tcW w:w="799" w:type="pct"/>
            <w:tcBorders>
              <w:top w:val="single" w:color="666666" w:sz="6" w:space="0"/>
              <w:left w:val="single" w:color="666666" w:sz="6" w:space="0"/>
              <w:bottom w:val="single" w:color="666666" w:sz="6" w:space="0"/>
              <w:right w:val="single" w:color="666666" w:sz="6" w:space="0"/>
            </w:tcBorders>
            <w:vAlign w:val="center"/>
          </w:tcPr>
          <w:p>
            <w:pPr>
              <w:pStyle w:val="4"/>
              <w:jc w:val="right"/>
              <w:rPr>
                <w:b/>
                <w:bCs/>
                <w:sz w:val="22"/>
                <w:szCs w:val="22"/>
              </w:rPr>
            </w:pPr>
            <w:r>
              <w:rPr>
                <w:b/>
                <w:bCs/>
                <w:sz w:val="22"/>
                <w:szCs w:val="22"/>
              </w:rPr>
              <w:t>46.66</w:t>
            </w:r>
          </w:p>
        </w:tc>
      </w:tr>
      <w:tr>
        <w:tblPrEx>
          <w:tblCellMar>
            <w:top w:w="0" w:type="dxa"/>
            <w:left w:w="0" w:type="dxa"/>
            <w:bottom w:w="0" w:type="dxa"/>
            <w:right w:w="0" w:type="dxa"/>
          </w:tblCellMar>
        </w:tblPrEx>
        <w:trPr>
          <w:tblCellSpacing w:w="0" w:type="dxa"/>
          <w:jc w:val="center"/>
        </w:trPr>
        <w:tc>
          <w:tcPr>
            <w:tcW w:w="5000" w:type="pct"/>
            <w:gridSpan w:val="6"/>
            <w:vAlign w:val="center"/>
          </w:tcPr>
          <w:p>
            <w:pPr>
              <w:pStyle w:val="4"/>
              <w:rPr>
                <w:sz w:val="22"/>
                <w:szCs w:val="22"/>
              </w:rPr>
            </w:pPr>
            <w:r>
              <w:rPr>
                <w:sz w:val="22"/>
                <w:szCs w:val="22"/>
              </w:rPr>
              <w:t>注：本表反映部门本年度的总收支和年末结转结余情况。本表金额转换为万元时，因四舍五入可能存在尾数误差。</w:t>
            </w:r>
          </w:p>
        </w:tc>
      </w:tr>
    </w:tbl>
    <w:p>
      <w:pPr>
        <w:spacing w:after="2"/>
        <w:jc w:val="center"/>
        <w:rPr>
          <w:color w:val="000000"/>
          <w:szCs w:val="21"/>
        </w:rPr>
      </w:pPr>
    </w:p>
    <w:tbl>
      <w:tblPr>
        <w:tblStyle w:val="5"/>
        <w:tblW w:w="5000" w:type="pct"/>
        <w:jc w:val="center"/>
        <w:tblCellSpacing w:w="0" w:type="dxa"/>
        <w:tblLayout w:type="autofit"/>
        <w:tblCellMar>
          <w:top w:w="0" w:type="dxa"/>
          <w:left w:w="0" w:type="dxa"/>
          <w:bottom w:w="0" w:type="dxa"/>
          <w:right w:w="0" w:type="dxa"/>
        </w:tblCellMar>
      </w:tblPr>
      <w:tblGrid>
        <w:gridCol w:w="362"/>
        <w:gridCol w:w="362"/>
        <w:gridCol w:w="362"/>
        <w:gridCol w:w="3192"/>
        <w:gridCol w:w="2175"/>
        <w:gridCol w:w="1594"/>
        <w:gridCol w:w="1594"/>
        <w:gridCol w:w="1594"/>
        <w:gridCol w:w="1607"/>
        <w:gridCol w:w="1594"/>
        <w:gridCol w:w="1602"/>
      </w:tblGrid>
      <w:tr>
        <w:tblPrEx>
          <w:tblCellMar>
            <w:top w:w="0" w:type="dxa"/>
            <w:left w:w="0" w:type="dxa"/>
            <w:bottom w:w="0" w:type="dxa"/>
            <w:right w:w="0" w:type="dxa"/>
          </w:tblCellMar>
        </w:tblPrEx>
        <w:trPr>
          <w:tblCellSpacing w:w="0" w:type="dxa"/>
          <w:jc w:val="center"/>
        </w:trPr>
        <w:tc>
          <w:tcPr>
            <w:tcW w:w="5000" w:type="pct"/>
            <w:gridSpan w:val="11"/>
            <w:vAlign w:val="center"/>
          </w:tcPr>
          <w:p>
            <w:pPr>
              <w:pStyle w:val="4"/>
              <w:jc w:val="center"/>
              <w:rPr>
                <w:sz w:val="40"/>
                <w:szCs w:val="40"/>
              </w:rPr>
            </w:pPr>
            <w:r>
              <w:rPr>
                <w:sz w:val="40"/>
                <w:szCs w:val="40"/>
              </w:rPr>
              <w:t>收入决算表</w:t>
            </w:r>
          </w:p>
        </w:tc>
      </w:tr>
      <w:tr>
        <w:tblPrEx>
          <w:tblCellMar>
            <w:top w:w="0" w:type="dxa"/>
            <w:left w:w="0" w:type="dxa"/>
            <w:bottom w:w="0" w:type="dxa"/>
            <w:right w:w="0" w:type="dxa"/>
          </w:tblCellMar>
        </w:tblPrEx>
        <w:trPr>
          <w:tblCellSpacing w:w="0" w:type="dxa"/>
          <w:jc w:val="center"/>
        </w:trPr>
        <w:tc>
          <w:tcPr>
            <w:tcW w:w="113" w:type="pct"/>
            <w:vAlign w:val="center"/>
          </w:tcPr>
          <w:p>
            <w:pPr>
              <w:rPr>
                <w:sz w:val="40"/>
                <w:szCs w:val="40"/>
              </w:rPr>
            </w:pPr>
          </w:p>
        </w:tc>
        <w:tc>
          <w:tcPr>
            <w:tcW w:w="113" w:type="pct"/>
            <w:vAlign w:val="center"/>
          </w:tcPr>
          <w:p>
            <w:pPr>
              <w:rPr>
                <w:rFonts w:ascii="Times New Roman" w:hAnsi="Times New Roman" w:eastAsia="Times New Roman" w:cs="Times New Roman"/>
                <w:kern w:val="0"/>
                <w:sz w:val="20"/>
                <w:szCs w:val="20"/>
              </w:rPr>
            </w:pPr>
          </w:p>
        </w:tc>
        <w:tc>
          <w:tcPr>
            <w:tcW w:w="113" w:type="pct"/>
            <w:vAlign w:val="center"/>
          </w:tcPr>
          <w:p>
            <w:pPr>
              <w:rPr>
                <w:rFonts w:ascii="Times New Roman" w:hAnsi="Times New Roman" w:eastAsia="Times New Roman" w:cs="Times New Roman"/>
                <w:kern w:val="0"/>
                <w:sz w:val="20"/>
                <w:szCs w:val="20"/>
              </w:rPr>
            </w:pPr>
          </w:p>
        </w:tc>
        <w:tc>
          <w:tcPr>
            <w:tcW w:w="995" w:type="pct"/>
            <w:vAlign w:val="center"/>
          </w:tcPr>
          <w:p>
            <w:pPr>
              <w:rPr>
                <w:rFonts w:ascii="Times New Roman" w:hAnsi="Times New Roman" w:eastAsia="Times New Roman" w:cs="Times New Roman"/>
                <w:kern w:val="0"/>
                <w:sz w:val="20"/>
                <w:szCs w:val="20"/>
              </w:rPr>
            </w:pPr>
          </w:p>
        </w:tc>
        <w:tc>
          <w:tcPr>
            <w:tcW w:w="678" w:type="pct"/>
            <w:vAlign w:val="center"/>
          </w:tcPr>
          <w:p>
            <w:pPr>
              <w:rPr>
                <w:rFonts w:ascii="Times New Roman" w:hAnsi="Times New Roman" w:eastAsia="Times New Roman" w:cs="Times New Roman"/>
                <w:kern w:val="0"/>
                <w:sz w:val="20"/>
                <w:szCs w:val="20"/>
              </w:rPr>
            </w:pPr>
          </w:p>
        </w:tc>
        <w:tc>
          <w:tcPr>
            <w:tcW w:w="497" w:type="pct"/>
            <w:vAlign w:val="center"/>
          </w:tcPr>
          <w:p>
            <w:pPr>
              <w:rPr>
                <w:rFonts w:ascii="Times New Roman" w:hAnsi="Times New Roman" w:eastAsia="Times New Roman" w:cs="Times New Roman"/>
                <w:kern w:val="0"/>
                <w:sz w:val="20"/>
                <w:szCs w:val="20"/>
              </w:rPr>
            </w:pPr>
          </w:p>
        </w:tc>
        <w:tc>
          <w:tcPr>
            <w:tcW w:w="497" w:type="pct"/>
            <w:vAlign w:val="center"/>
          </w:tcPr>
          <w:p>
            <w:pPr>
              <w:rPr>
                <w:rFonts w:ascii="Times New Roman" w:hAnsi="Times New Roman" w:eastAsia="Times New Roman" w:cs="Times New Roman"/>
                <w:kern w:val="0"/>
                <w:sz w:val="20"/>
                <w:szCs w:val="20"/>
              </w:rPr>
            </w:pPr>
          </w:p>
        </w:tc>
        <w:tc>
          <w:tcPr>
            <w:tcW w:w="497" w:type="pct"/>
            <w:vAlign w:val="center"/>
          </w:tcPr>
          <w:p>
            <w:pPr>
              <w:rPr>
                <w:rFonts w:ascii="Times New Roman" w:hAnsi="Times New Roman" w:eastAsia="Times New Roman" w:cs="Times New Roman"/>
                <w:kern w:val="0"/>
                <w:sz w:val="20"/>
                <w:szCs w:val="20"/>
              </w:rPr>
            </w:pPr>
          </w:p>
        </w:tc>
        <w:tc>
          <w:tcPr>
            <w:tcW w:w="497" w:type="pct"/>
            <w:vAlign w:val="center"/>
          </w:tcPr>
          <w:p>
            <w:pPr>
              <w:rPr>
                <w:rFonts w:ascii="Times New Roman" w:hAnsi="Times New Roman" w:eastAsia="Times New Roman" w:cs="Times New Roman"/>
                <w:kern w:val="0"/>
                <w:sz w:val="20"/>
                <w:szCs w:val="20"/>
              </w:rPr>
            </w:pPr>
          </w:p>
        </w:tc>
        <w:tc>
          <w:tcPr>
            <w:tcW w:w="995" w:type="pct"/>
            <w:gridSpan w:val="2"/>
            <w:vAlign w:val="center"/>
          </w:tcPr>
          <w:p>
            <w:pPr>
              <w:pStyle w:val="4"/>
              <w:jc w:val="right"/>
              <w:rPr>
                <w:sz w:val="20"/>
                <w:szCs w:val="20"/>
              </w:rPr>
            </w:pPr>
            <w:r>
              <w:rPr>
                <w:sz w:val="20"/>
                <w:szCs w:val="20"/>
              </w:rPr>
              <w:t>公开02表</w:t>
            </w:r>
          </w:p>
        </w:tc>
      </w:tr>
      <w:tr>
        <w:tblPrEx>
          <w:tblCellMar>
            <w:top w:w="0" w:type="dxa"/>
            <w:left w:w="0" w:type="dxa"/>
            <w:bottom w:w="0" w:type="dxa"/>
            <w:right w:w="0" w:type="dxa"/>
          </w:tblCellMar>
        </w:tblPrEx>
        <w:trPr>
          <w:tblCellSpacing w:w="0" w:type="dxa"/>
          <w:jc w:val="center"/>
        </w:trPr>
        <w:tc>
          <w:tcPr>
            <w:tcW w:w="4004" w:type="pct"/>
            <w:gridSpan w:val="9"/>
            <w:vAlign w:val="center"/>
          </w:tcPr>
          <w:p>
            <w:pPr>
              <w:pStyle w:val="4"/>
              <w:rPr>
                <w:sz w:val="22"/>
                <w:szCs w:val="22"/>
              </w:rPr>
            </w:pPr>
            <w:r>
              <w:rPr>
                <w:sz w:val="22"/>
                <w:szCs w:val="22"/>
              </w:rPr>
              <w:t>部门：永州市冷水滩区房改办</w:t>
            </w:r>
          </w:p>
        </w:tc>
        <w:tc>
          <w:tcPr>
            <w:tcW w:w="995" w:type="pct"/>
            <w:gridSpan w:val="2"/>
            <w:vAlign w:val="center"/>
          </w:tcPr>
          <w:p>
            <w:pPr>
              <w:pStyle w:val="4"/>
              <w:jc w:val="right"/>
              <w:rPr>
                <w:sz w:val="20"/>
                <w:szCs w:val="20"/>
              </w:rPr>
            </w:pPr>
            <w:r>
              <w:rPr>
                <w:sz w:val="20"/>
                <w:szCs w:val="20"/>
              </w:rPr>
              <w:t>金额单位：万元</w:t>
            </w:r>
          </w:p>
        </w:tc>
      </w:tr>
      <w:tr>
        <w:tblPrEx>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本年收入合计</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财政拨款收入</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上级补助收入</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事业收入</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经营收入</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附属单位上缴收入</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其他收入</w:t>
            </w:r>
          </w:p>
        </w:tc>
      </w:tr>
      <w:tr>
        <w:tblPrEx>
          <w:tblCellMar>
            <w:top w:w="0" w:type="dxa"/>
            <w:left w:w="0" w:type="dxa"/>
            <w:bottom w:w="0" w:type="dxa"/>
            <w:right w:w="0" w:type="dxa"/>
          </w:tblCellMar>
        </w:tblPrEx>
        <w:trPr>
          <w:trHeight w:val="285" w:hRule="atLeast"/>
          <w:tblCellSpacing w:w="0" w:type="dxa"/>
          <w:jc w:val="center"/>
        </w:trPr>
        <w:tc>
          <w:tcPr>
            <w:tcW w:w="339" w:type="pct"/>
            <w:gridSpan w:val="3"/>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科目名称</w:t>
            </w: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rHeight w:val="285" w:hRule="atLeast"/>
          <w:tblCellSpacing w:w="0" w:type="dxa"/>
          <w:jc w:val="center"/>
        </w:trPr>
        <w:tc>
          <w:tcPr>
            <w:tcW w:w="0" w:type="auto"/>
            <w:gridSpan w:val="3"/>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rHeight w:val="285" w:hRule="atLeast"/>
          <w:tblCellSpacing w:w="0" w:type="dxa"/>
          <w:jc w:val="center"/>
        </w:trPr>
        <w:tc>
          <w:tcPr>
            <w:tcW w:w="0" w:type="auto"/>
            <w:gridSpan w:val="3"/>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栏次</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6</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7</w:t>
            </w:r>
          </w:p>
        </w:tc>
      </w:tr>
      <w:tr>
        <w:tblPrEx>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合计</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4"/>
              <w:jc w:val="right"/>
              <w:rPr>
                <w:b/>
                <w:bCs/>
                <w:sz w:val="22"/>
                <w:szCs w:val="22"/>
              </w:rPr>
            </w:pPr>
            <w:r>
              <w:rPr>
                <w:b/>
                <w:bCs/>
                <w:sz w:val="22"/>
                <w:szCs w:val="22"/>
              </w:rPr>
              <w:t>46.66</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4"/>
              <w:jc w:val="right"/>
              <w:rPr>
                <w:b/>
                <w:bCs/>
                <w:sz w:val="22"/>
                <w:szCs w:val="22"/>
              </w:rPr>
            </w:pPr>
            <w:r>
              <w:rPr>
                <w:b/>
                <w:bCs/>
                <w:sz w:val="22"/>
                <w:szCs w:val="22"/>
              </w:rPr>
              <w:t>46.66</w:t>
            </w:r>
          </w:p>
        </w:tc>
        <w:tc>
          <w:tcPr>
            <w:tcW w:w="497" w:type="pct"/>
            <w:tcBorders>
              <w:top w:val="single" w:color="666666" w:sz="6" w:space="0"/>
              <w:left w:val="single" w:color="666666" w:sz="6" w:space="0"/>
              <w:bottom w:val="single" w:color="666666" w:sz="6" w:space="0"/>
              <w:right w:val="single" w:color="666666" w:sz="6" w:space="0"/>
            </w:tcBorders>
            <w:vAlign w:val="center"/>
          </w:tcPr>
          <w:p>
            <w:pPr>
              <w:rPr>
                <w:b/>
                <w:bCs/>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221</w:t>
            </w:r>
          </w:p>
        </w:tc>
        <w:tc>
          <w:tcPr>
            <w:tcW w:w="995"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住房保障支出</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46.66</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46.66</w:t>
            </w:r>
          </w:p>
        </w:tc>
        <w:tc>
          <w:tcPr>
            <w:tcW w:w="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22103</w:t>
            </w:r>
          </w:p>
        </w:tc>
        <w:tc>
          <w:tcPr>
            <w:tcW w:w="995"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城乡社区住宅</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46.66</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46.66</w:t>
            </w:r>
          </w:p>
        </w:tc>
        <w:tc>
          <w:tcPr>
            <w:tcW w:w="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2210399</w:t>
            </w:r>
          </w:p>
        </w:tc>
        <w:tc>
          <w:tcPr>
            <w:tcW w:w="995"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其他城乡社区住宅支出</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46.66</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46.66</w:t>
            </w:r>
          </w:p>
        </w:tc>
        <w:tc>
          <w:tcPr>
            <w:tcW w:w="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995"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67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995"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67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995"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67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995"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67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995"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67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5000" w:type="pct"/>
            <w:gridSpan w:val="11"/>
            <w:vAlign w:val="center"/>
          </w:tcPr>
          <w:p>
            <w:pPr>
              <w:pStyle w:val="4"/>
              <w:rPr>
                <w:sz w:val="22"/>
                <w:szCs w:val="22"/>
              </w:rPr>
            </w:pPr>
            <w:r>
              <w:rPr>
                <w:sz w:val="22"/>
                <w:szCs w:val="22"/>
              </w:rPr>
              <w:t>注：本表反映部门本年度取得的各项收入情况。本表金额转换为万元时，因四舍五入可能存在尾数误差。</w:t>
            </w:r>
          </w:p>
        </w:tc>
      </w:tr>
    </w:tbl>
    <w:p>
      <w:pPr>
        <w:spacing w:after="2"/>
        <w:jc w:val="center"/>
        <w:rPr>
          <w:color w:val="000000"/>
          <w:szCs w:val="21"/>
        </w:rPr>
      </w:pPr>
    </w:p>
    <w:tbl>
      <w:tblPr>
        <w:tblStyle w:val="5"/>
        <w:tblW w:w="5000" w:type="pct"/>
        <w:jc w:val="center"/>
        <w:tblCellSpacing w:w="0" w:type="dxa"/>
        <w:tblLayout w:type="autofit"/>
        <w:tblCellMar>
          <w:top w:w="0" w:type="dxa"/>
          <w:left w:w="0" w:type="dxa"/>
          <w:bottom w:w="0" w:type="dxa"/>
          <w:right w:w="0" w:type="dxa"/>
        </w:tblCellMar>
      </w:tblPr>
      <w:tblGrid>
        <w:gridCol w:w="400"/>
        <w:gridCol w:w="401"/>
        <w:gridCol w:w="404"/>
        <w:gridCol w:w="3548"/>
        <w:gridCol w:w="2415"/>
        <w:gridCol w:w="1771"/>
        <w:gridCol w:w="1771"/>
        <w:gridCol w:w="1780"/>
        <w:gridCol w:w="1771"/>
        <w:gridCol w:w="1777"/>
      </w:tblGrid>
      <w:tr>
        <w:tblPrEx>
          <w:tblCellMar>
            <w:top w:w="0" w:type="dxa"/>
            <w:left w:w="0" w:type="dxa"/>
            <w:bottom w:w="0" w:type="dxa"/>
            <w:right w:w="0" w:type="dxa"/>
          </w:tblCellMar>
        </w:tblPrEx>
        <w:trPr>
          <w:tblCellSpacing w:w="0" w:type="dxa"/>
          <w:jc w:val="center"/>
        </w:trPr>
        <w:tc>
          <w:tcPr>
            <w:tcW w:w="5000" w:type="pct"/>
            <w:gridSpan w:val="10"/>
            <w:vAlign w:val="center"/>
          </w:tcPr>
          <w:p>
            <w:pPr>
              <w:pStyle w:val="4"/>
              <w:jc w:val="center"/>
              <w:rPr>
                <w:sz w:val="40"/>
                <w:szCs w:val="40"/>
              </w:rPr>
            </w:pPr>
            <w:r>
              <w:rPr>
                <w:sz w:val="40"/>
                <w:szCs w:val="40"/>
              </w:rPr>
              <w:t>支出决算表</w:t>
            </w:r>
          </w:p>
        </w:tc>
      </w:tr>
      <w:tr>
        <w:tblPrEx>
          <w:tblCellMar>
            <w:top w:w="0" w:type="dxa"/>
            <w:left w:w="0" w:type="dxa"/>
            <w:bottom w:w="0" w:type="dxa"/>
            <w:right w:w="0" w:type="dxa"/>
          </w:tblCellMar>
        </w:tblPrEx>
        <w:trPr>
          <w:tblCellSpacing w:w="0" w:type="dxa"/>
          <w:jc w:val="center"/>
        </w:trPr>
        <w:tc>
          <w:tcPr>
            <w:tcW w:w="125" w:type="pct"/>
            <w:vAlign w:val="center"/>
          </w:tcPr>
          <w:p>
            <w:pPr>
              <w:rPr>
                <w:sz w:val="40"/>
                <w:szCs w:val="40"/>
              </w:rPr>
            </w:pPr>
          </w:p>
        </w:tc>
        <w:tc>
          <w:tcPr>
            <w:tcW w:w="125" w:type="pct"/>
            <w:vAlign w:val="center"/>
          </w:tcPr>
          <w:p>
            <w:pPr>
              <w:rPr>
                <w:rFonts w:ascii="Times New Roman" w:hAnsi="Times New Roman" w:eastAsia="Times New Roman" w:cs="Times New Roman"/>
                <w:kern w:val="0"/>
                <w:sz w:val="20"/>
                <w:szCs w:val="20"/>
              </w:rPr>
            </w:pPr>
          </w:p>
        </w:tc>
        <w:tc>
          <w:tcPr>
            <w:tcW w:w="125" w:type="pct"/>
            <w:vAlign w:val="center"/>
          </w:tcPr>
          <w:p>
            <w:pPr>
              <w:rPr>
                <w:rFonts w:ascii="Times New Roman" w:hAnsi="Times New Roman" w:eastAsia="Times New Roman" w:cs="Times New Roman"/>
                <w:kern w:val="0"/>
                <w:sz w:val="20"/>
                <w:szCs w:val="20"/>
              </w:rPr>
            </w:pPr>
          </w:p>
        </w:tc>
        <w:tc>
          <w:tcPr>
            <w:tcW w:w="1105" w:type="pct"/>
            <w:vAlign w:val="center"/>
          </w:tcPr>
          <w:p>
            <w:pPr>
              <w:rPr>
                <w:rFonts w:ascii="Times New Roman" w:hAnsi="Times New Roman" w:eastAsia="Times New Roman" w:cs="Times New Roman"/>
                <w:kern w:val="0"/>
                <w:sz w:val="20"/>
                <w:szCs w:val="20"/>
              </w:rPr>
            </w:pPr>
          </w:p>
        </w:tc>
        <w:tc>
          <w:tcPr>
            <w:tcW w:w="753" w:type="pct"/>
            <w:vAlign w:val="center"/>
          </w:tcPr>
          <w:p>
            <w:pPr>
              <w:rPr>
                <w:rFonts w:ascii="Times New Roman" w:hAnsi="Times New Roman" w:eastAsia="Times New Roman" w:cs="Times New Roman"/>
                <w:kern w:val="0"/>
                <w:sz w:val="20"/>
                <w:szCs w:val="20"/>
              </w:rPr>
            </w:pPr>
          </w:p>
        </w:tc>
        <w:tc>
          <w:tcPr>
            <w:tcW w:w="552" w:type="pct"/>
            <w:vAlign w:val="center"/>
          </w:tcPr>
          <w:p>
            <w:pPr>
              <w:rPr>
                <w:rFonts w:ascii="Times New Roman" w:hAnsi="Times New Roman" w:eastAsia="Times New Roman" w:cs="Times New Roman"/>
                <w:kern w:val="0"/>
                <w:sz w:val="20"/>
                <w:szCs w:val="20"/>
              </w:rPr>
            </w:pPr>
          </w:p>
        </w:tc>
        <w:tc>
          <w:tcPr>
            <w:tcW w:w="552" w:type="pct"/>
            <w:vAlign w:val="center"/>
          </w:tcPr>
          <w:p>
            <w:pPr>
              <w:rPr>
                <w:rFonts w:ascii="Times New Roman" w:hAnsi="Times New Roman" w:eastAsia="Times New Roman" w:cs="Times New Roman"/>
                <w:kern w:val="0"/>
                <w:sz w:val="20"/>
                <w:szCs w:val="20"/>
              </w:rPr>
            </w:pPr>
          </w:p>
        </w:tc>
        <w:tc>
          <w:tcPr>
            <w:tcW w:w="552" w:type="pct"/>
            <w:vAlign w:val="center"/>
          </w:tcPr>
          <w:p>
            <w:pPr>
              <w:rPr>
                <w:rFonts w:ascii="Times New Roman" w:hAnsi="Times New Roman" w:eastAsia="Times New Roman" w:cs="Times New Roman"/>
                <w:kern w:val="0"/>
                <w:sz w:val="20"/>
                <w:szCs w:val="20"/>
              </w:rPr>
            </w:pPr>
          </w:p>
        </w:tc>
        <w:tc>
          <w:tcPr>
            <w:tcW w:w="1105" w:type="pct"/>
            <w:gridSpan w:val="2"/>
            <w:vAlign w:val="center"/>
          </w:tcPr>
          <w:p>
            <w:pPr>
              <w:pStyle w:val="4"/>
              <w:jc w:val="right"/>
              <w:rPr>
                <w:sz w:val="20"/>
                <w:szCs w:val="20"/>
              </w:rPr>
            </w:pPr>
            <w:r>
              <w:rPr>
                <w:sz w:val="20"/>
                <w:szCs w:val="20"/>
              </w:rPr>
              <w:t>公开03表</w:t>
            </w:r>
          </w:p>
        </w:tc>
      </w:tr>
      <w:tr>
        <w:tblPrEx>
          <w:tblCellMar>
            <w:top w:w="0" w:type="dxa"/>
            <w:left w:w="0" w:type="dxa"/>
            <w:bottom w:w="0" w:type="dxa"/>
            <w:right w:w="0" w:type="dxa"/>
          </w:tblCellMar>
        </w:tblPrEx>
        <w:trPr>
          <w:tblCellSpacing w:w="0" w:type="dxa"/>
          <w:jc w:val="center"/>
        </w:trPr>
        <w:tc>
          <w:tcPr>
            <w:tcW w:w="3894" w:type="pct"/>
            <w:gridSpan w:val="8"/>
            <w:vAlign w:val="center"/>
          </w:tcPr>
          <w:p>
            <w:pPr>
              <w:pStyle w:val="4"/>
              <w:rPr>
                <w:sz w:val="22"/>
                <w:szCs w:val="22"/>
              </w:rPr>
            </w:pPr>
            <w:r>
              <w:rPr>
                <w:sz w:val="22"/>
                <w:szCs w:val="22"/>
              </w:rPr>
              <w:t>部门：永州市冷水滩区房改办</w:t>
            </w:r>
          </w:p>
        </w:tc>
        <w:tc>
          <w:tcPr>
            <w:tcW w:w="1105" w:type="pct"/>
            <w:gridSpan w:val="2"/>
            <w:vAlign w:val="center"/>
          </w:tcPr>
          <w:p>
            <w:pPr>
              <w:pStyle w:val="4"/>
              <w:jc w:val="right"/>
              <w:rPr>
                <w:sz w:val="20"/>
                <w:szCs w:val="20"/>
              </w:rPr>
            </w:pPr>
            <w:r>
              <w:rPr>
                <w:sz w:val="20"/>
                <w:szCs w:val="20"/>
              </w:rPr>
              <w:t>金额单位：万元</w:t>
            </w:r>
          </w:p>
        </w:tc>
      </w:tr>
      <w:tr>
        <w:tblPrEx>
          <w:tblCellMar>
            <w:top w:w="0" w:type="dxa"/>
            <w:left w:w="0" w:type="dxa"/>
            <w:bottom w:w="0" w:type="dxa"/>
            <w:right w:w="0" w:type="dxa"/>
          </w:tblCellMar>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本年支出合计</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项目支出</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上缴上级支出</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经营支出</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对附属单位补助支出</w:t>
            </w:r>
          </w:p>
        </w:tc>
      </w:tr>
      <w:tr>
        <w:tblPrEx>
          <w:tblCellMar>
            <w:top w:w="0" w:type="dxa"/>
            <w:left w:w="0" w:type="dxa"/>
            <w:bottom w:w="0" w:type="dxa"/>
            <w:right w:w="0" w:type="dxa"/>
          </w:tblCellMar>
        </w:tblPrEx>
        <w:trPr>
          <w:trHeight w:val="285" w:hRule="atLeast"/>
          <w:tblCellSpacing w:w="0" w:type="dxa"/>
          <w:jc w:val="center"/>
        </w:trPr>
        <w:tc>
          <w:tcPr>
            <w:tcW w:w="376" w:type="pct"/>
            <w:gridSpan w:val="3"/>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科目名称</w:t>
            </w: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rHeight w:val="285" w:hRule="atLeast"/>
          <w:tblCellSpacing w:w="0" w:type="dxa"/>
          <w:jc w:val="center"/>
        </w:trPr>
        <w:tc>
          <w:tcPr>
            <w:tcW w:w="0" w:type="auto"/>
            <w:gridSpan w:val="3"/>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rHeight w:val="285" w:hRule="atLeast"/>
          <w:tblCellSpacing w:w="0" w:type="dxa"/>
          <w:jc w:val="center"/>
        </w:trPr>
        <w:tc>
          <w:tcPr>
            <w:tcW w:w="0" w:type="auto"/>
            <w:gridSpan w:val="3"/>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栏次</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6</w:t>
            </w:r>
          </w:p>
        </w:tc>
      </w:tr>
      <w:tr>
        <w:tblPrEx>
          <w:tblCellMar>
            <w:top w:w="0" w:type="dxa"/>
            <w:left w:w="0" w:type="dxa"/>
            <w:bottom w:w="0" w:type="dxa"/>
            <w:right w:w="0" w:type="dxa"/>
          </w:tblCellMar>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合计</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4"/>
              <w:jc w:val="right"/>
              <w:rPr>
                <w:b/>
                <w:bCs/>
                <w:sz w:val="22"/>
                <w:szCs w:val="22"/>
              </w:rPr>
            </w:pPr>
            <w:r>
              <w:rPr>
                <w:b/>
                <w:bCs/>
                <w:sz w:val="22"/>
                <w:szCs w:val="22"/>
              </w:rPr>
              <w:t>46.66</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4"/>
              <w:jc w:val="right"/>
              <w:rPr>
                <w:b/>
                <w:bCs/>
                <w:sz w:val="22"/>
                <w:szCs w:val="22"/>
              </w:rPr>
            </w:pPr>
            <w:r>
              <w:rPr>
                <w:b/>
                <w:bCs/>
                <w:sz w:val="22"/>
                <w:szCs w:val="22"/>
              </w:rPr>
              <w:t>46.66</w:t>
            </w:r>
          </w:p>
        </w:tc>
        <w:tc>
          <w:tcPr>
            <w:tcW w:w="552" w:type="pct"/>
            <w:tcBorders>
              <w:top w:val="single" w:color="666666" w:sz="6" w:space="0"/>
              <w:left w:val="single" w:color="666666" w:sz="6" w:space="0"/>
              <w:bottom w:val="single" w:color="666666" w:sz="6" w:space="0"/>
              <w:right w:val="single" w:color="666666" w:sz="6" w:space="0"/>
            </w:tcBorders>
            <w:vAlign w:val="center"/>
          </w:tcPr>
          <w:p>
            <w:pPr>
              <w:rPr>
                <w:b/>
                <w:bCs/>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221</w:t>
            </w:r>
          </w:p>
        </w:tc>
        <w:tc>
          <w:tcPr>
            <w:tcW w:w="1105"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住房保障支出</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46.66</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46.66</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22103</w:t>
            </w:r>
          </w:p>
        </w:tc>
        <w:tc>
          <w:tcPr>
            <w:tcW w:w="1105"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城乡社区住宅</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46.66</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46.66</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2210399</w:t>
            </w:r>
          </w:p>
        </w:tc>
        <w:tc>
          <w:tcPr>
            <w:tcW w:w="1105"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其他城乡社区住宅支出</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46.66</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46.66</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105"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75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105"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75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105"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75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105"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75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105"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75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5000" w:type="pct"/>
            <w:gridSpan w:val="10"/>
            <w:vAlign w:val="center"/>
          </w:tcPr>
          <w:p>
            <w:pPr>
              <w:pStyle w:val="4"/>
              <w:rPr>
                <w:sz w:val="22"/>
                <w:szCs w:val="22"/>
              </w:rPr>
            </w:pPr>
            <w:r>
              <w:rPr>
                <w:sz w:val="22"/>
                <w:szCs w:val="22"/>
              </w:rPr>
              <w:t>注：本表反映部门本年度各项支出情况。本表金额转换为万元时，因四舍五入可能存在尾数误差。</w:t>
            </w:r>
          </w:p>
        </w:tc>
      </w:tr>
    </w:tbl>
    <w:p>
      <w:pPr>
        <w:spacing w:after="2"/>
        <w:jc w:val="center"/>
        <w:rPr>
          <w:color w:val="000000"/>
          <w:szCs w:val="21"/>
        </w:rPr>
      </w:pPr>
    </w:p>
    <w:tbl>
      <w:tblPr>
        <w:tblStyle w:val="5"/>
        <w:tblW w:w="5000" w:type="pct"/>
        <w:jc w:val="center"/>
        <w:tblCellSpacing w:w="0" w:type="dxa"/>
        <w:tblLayout w:type="autofit"/>
        <w:tblCellMar>
          <w:top w:w="0" w:type="dxa"/>
          <w:left w:w="0" w:type="dxa"/>
          <w:bottom w:w="0" w:type="dxa"/>
          <w:right w:w="0" w:type="dxa"/>
        </w:tblCellMar>
      </w:tblPr>
      <w:tblGrid>
        <w:gridCol w:w="3204"/>
        <w:gridCol w:w="529"/>
        <w:gridCol w:w="1559"/>
        <w:gridCol w:w="3692"/>
        <w:gridCol w:w="529"/>
        <w:gridCol w:w="2130"/>
        <w:gridCol w:w="1466"/>
        <w:gridCol w:w="1463"/>
        <w:gridCol w:w="1466"/>
      </w:tblGrid>
      <w:tr>
        <w:tblPrEx>
          <w:tblCellMar>
            <w:top w:w="0" w:type="dxa"/>
            <w:left w:w="0" w:type="dxa"/>
            <w:bottom w:w="0" w:type="dxa"/>
            <w:right w:w="0" w:type="dxa"/>
          </w:tblCellMar>
        </w:tblPrEx>
        <w:trPr>
          <w:tblCellSpacing w:w="0" w:type="dxa"/>
          <w:jc w:val="center"/>
        </w:trPr>
        <w:tc>
          <w:tcPr>
            <w:tcW w:w="5000" w:type="pct"/>
            <w:gridSpan w:val="9"/>
            <w:vAlign w:val="center"/>
          </w:tcPr>
          <w:p>
            <w:pPr>
              <w:pStyle w:val="4"/>
              <w:jc w:val="center"/>
              <w:rPr>
                <w:sz w:val="40"/>
                <w:szCs w:val="40"/>
              </w:rPr>
            </w:pPr>
            <w:r>
              <w:rPr>
                <w:sz w:val="40"/>
                <w:szCs w:val="40"/>
              </w:rPr>
              <w:t>财政拨款收入支出决算总表</w:t>
            </w:r>
          </w:p>
        </w:tc>
      </w:tr>
      <w:tr>
        <w:tblPrEx>
          <w:tblCellMar>
            <w:top w:w="0" w:type="dxa"/>
            <w:left w:w="0" w:type="dxa"/>
            <w:bottom w:w="0" w:type="dxa"/>
            <w:right w:w="0" w:type="dxa"/>
          </w:tblCellMar>
        </w:tblPrEx>
        <w:trPr>
          <w:tblCellSpacing w:w="0" w:type="dxa"/>
          <w:jc w:val="center"/>
        </w:trPr>
        <w:tc>
          <w:tcPr>
            <w:tcW w:w="999" w:type="pct"/>
            <w:vAlign w:val="center"/>
          </w:tcPr>
          <w:p>
            <w:pPr>
              <w:rPr>
                <w:sz w:val="40"/>
                <w:szCs w:val="40"/>
              </w:rPr>
            </w:pPr>
          </w:p>
        </w:tc>
        <w:tc>
          <w:tcPr>
            <w:tcW w:w="165" w:type="pct"/>
            <w:vAlign w:val="center"/>
          </w:tcPr>
          <w:p>
            <w:pPr>
              <w:rPr>
                <w:rFonts w:ascii="Times New Roman" w:hAnsi="Times New Roman" w:eastAsia="Times New Roman" w:cs="Times New Roman"/>
                <w:kern w:val="0"/>
                <w:sz w:val="20"/>
                <w:szCs w:val="20"/>
              </w:rPr>
            </w:pPr>
          </w:p>
        </w:tc>
        <w:tc>
          <w:tcPr>
            <w:tcW w:w="486" w:type="pct"/>
            <w:vAlign w:val="center"/>
          </w:tcPr>
          <w:p>
            <w:pPr>
              <w:rPr>
                <w:rFonts w:ascii="Times New Roman" w:hAnsi="Times New Roman" w:eastAsia="Times New Roman" w:cs="Times New Roman"/>
                <w:kern w:val="0"/>
                <w:sz w:val="20"/>
                <w:szCs w:val="20"/>
              </w:rPr>
            </w:pPr>
          </w:p>
        </w:tc>
        <w:tc>
          <w:tcPr>
            <w:tcW w:w="1151" w:type="pct"/>
            <w:vAlign w:val="center"/>
          </w:tcPr>
          <w:p>
            <w:pPr>
              <w:rPr>
                <w:rFonts w:ascii="Times New Roman" w:hAnsi="Times New Roman" w:eastAsia="Times New Roman" w:cs="Times New Roman"/>
                <w:kern w:val="0"/>
                <w:sz w:val="20"/>
                <w:szCs w:val="20"/>
              </w:rPr>
            </w:pPr>
          </w:p>
        </w:tc>
        <w:tc>
          <w:tcPr>
            <w:tcW w:w="165" w:type="pct"/>
            <w:vAlign w:val="center"/>
          </w:tcPr>
          <w:p>
            <w:pPr>
              <w:rPr>
                <w:rFonts w:ascii="Times New Roman" w:hAnsi="Times New Roman" w:eastAsia="Times New Roman" w:cs="Times New Roman"/>
                <w:kern w:val="0"/>
                <w:sz w:val="20"/>
                <w:szCs w:val="20"/>
              </w:rPr>
            </w:pPr>
          </w:p>
        </w:tc>
        <w:tc>
          <w:tcPr>
            <w:tcW w:w="664" w:type="pct"/>
            <w:vAlign w:val="center"/>
          </w:tcPr>
          <w:p>
            <w:pPr>
              <w:rPr>
                <w:rFonts w:ascii="Times New Roman" w:hAnsi="Times New Roman" w:eastAsia="Times New Roman" w:cs="Times New Roman"/>
                <w:kern w:val="0"/>
                <w:sz w:val="20"/>
                <w:szCs w:val="20"/>
              </w:rPr>
            </w:pPr>
          </w:p>
        </w:tc>
        <w:tc>
          <w:tcPr>
            <w:tcW w:w="456" w:type="pct"/>
            <w:vAlign w:val="center"/>
          </w:tcPr>
          <w:p>
            <w:pPr>
              <w:rPr>
                <w:rFonts w:ascii="Times New Roman" w:hAnsi="Times New Roman" w:eastAsia="Times New Roman" w:cs="Times New Roman"/>
                <w:kern w:val="0"/>
                <w:sz w:val="20"/>
                <w:szCs w:val="20"/>
              </w:rPr>
            </w:pPr>
          </w:p>
        </w:tc>
        <w:tc>
          <w:tcPr>
            <w:tcW w:w="912" w:type="pct"/>
            <w:gridSpan w:val="2"/>
            <w:vAlign w:val="center"/>
          </w:tcPr>
          <w:p>
            <w:pPr>
              <w:pStyle w:val="4"/>
              <w:jc w:val="right"/>
              <w:rPr>
                <w:sz w:val="20"/>
                <w:szCs w:val="20"/>
              </w:rPr>
            </w:pPr>
            <w:r>
              <w:rPr>
                <w:sz w:val="20"/>
                <w:szCs w:val="20"/>
              </w:rPr>
              <w:t>公开04表</w:t>
            </w:r>
          </w:p>
        </w:tc>
      </w:tr>
      <w:tr>
        <w:tblPrEx>
          <w:tblCellMar>
            <w:top w:w="0" w:type="dxa"/>
            <w:left w:w="0" w:type="dxa"/>
            <w:bottom w:w="0" w:type="dxa"/>
            <w:right w:w="0" w:type="dxa"/>
          </w:tblCellMar>
        </w:tblPrEx>
        <w:trPr>
          <w:tblCellSpacing w:w="0" w:type="dxa"/>
          <w:jc w:val="center"/>
        </w:trPr>
        <w:tc>
          <w:tcPr>
            <w:tcW w:w="4087" w:type="pct"/>
            <w:gridSpan w:val="7"/>
            <w:vAlign w:val="center"/>
          </w:tcPr>
          <w:p>
            <w:pPr>
              <w:pStyle w:val="4"/>
              <w:rPr>
                <w:sz w:val="22"/>
                <w:szCs w:val="22"/>
              </w:rPr>
            </w:pPr>
            <w:r>
              <w:rPr>
                <w:sz w:val="22"/>
                <w:szCs w:val="22"/>
              </w:rPr>
              <w:t>部门：永州市冷水滩区房改办</w:t>
            </w:r>
          </w:p>
        </w:tc>
        <w:tc>
          <w:tcPr>
            <w:tcW w:w="912" w:type="pct"/>
            <w:gridSpan w:val="2"/>
            <w:vAlign w:val="center"/>
          </w:tcPr>
          <w:p>
            <w:pPr>
              <w:pStyle w:val="4"/>
              <w:jc w:val="right"/>
              <w:rPr>
                <w:sz w:val="20"/>
                <w:szCs w:val="20"/>
              </w:rPr>
            </w:pPr>
            <w:r>
              <w:rPr>
                <w:sz w:val="20"/>
                <w:szCs w:val="20"/>
              </w:rPr>
              <w:t>金额单位：万元</w:t>
            </w:r>
          </w:p>
        </w:tc>
      </w:tr>
      <w:tr>
        <w:tblPrEx>
          <w:tblCellMar>
            <w:top w:w="0" w:type="dxa"/>
            <w:left w:w="0" w:type="dxa"/>
            <w:bottom w:w="0" w:type="dxa"/>
            <w:right w:w="0" w:type="dxa"/>
          </w:tblCellMar>
        </w:tblPrEx>
        <w:trPr>
          <w:tblCellSpacing w:w="0" w:type="dxa"/>
          <w:jc w:val="center"/>
        </w:trPr>
        <w:tc>
          <w:tcPr>
            <w:tcW w:w="1650" w:type="pct"/>
            <w:gridSpan w:val="3"/>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收 入</w:t>
            </w:r>
          </w:p>
        </w:tc>
        <w:tc>
          <w:tcPr>
            <w:tcW w:w="3349" w:type="pct"/>
            <w:gridSpan w:val="6"/>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支 出</w:t>
            </w:r>
          </w:p>
        </w:tc>
      </w:tr>
      <w:tr>
        <w:tblPrEx>
          <w:tblCellMar>
            <w:top w:w="0" w:type="dxa"/>
            <w:left w:w="0" w:type="dxa"/>
            <w:bottom w:w="0" w:type="dxa"/>
            <w:right w:w="0" w:type="dxa"/>
          </w:tblCellMar>
        </w:tblPrEx>
        <w:trPr>
          <w:trHeight w:val="285" w:hRule="atLeast"/>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行次</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金额</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行次</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一般公共预算财政拨款</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政府性基金预算财政拨款</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国有资本经营预算财政拨款</w:t>
            </w:r>
          </w:p>
        </w:tc>
      </w:tr>
      <w:tr>
        <w:tblPrEx>
          <w:tblCellMar>
            <w:top w:w="0" w:type="dxa"/>
            <w:left w:w="0" w:type="dxa"/>
            <w:bottom w:w="0" w:type="dxa"/>
            <w:right w:w="0" w:type="dxa"/>
          </w:tblCellMar>
        </w:tblPrEx>
        <w:trPr>
          <w:trHeight w:val="285" w:hRule="atLeast"/>
          <w:tblCellSpacing w:w="0" w:type="dxa"/>
          <w:jc w:val="center"/>
        </w:trPr>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栏次</w:t>
            </w:r>
          </w:p>
        </w:tc>
        <w:tc>
          <w:tcPr>
            <w:tcW w:w="165"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86"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w:t>
            </w: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栏次</w:t>
            </w:r>
          </w:p>
        </w:tc>
        <w:tc>
          <w:tcPr>
            <w:tcW w:w="165"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664"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w:t>
            </w:r>
          </w:p>
        </w:tc>
        <w:tc>
          <w:tcPr>
            <w:tcW w:w="456"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w:t>
            </w:r>
          </w:p>
        </w:tc>
        <w:tc>
          <w:tcPr>
            <w:tcW w:w="456"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w:t>
            </w:r>
          </w:p>
        </w:tc>
        <w:tc>
          <w:tcPr>
            <w:tcW w:w="456"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w:t>
            </w: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一、一般公共预算财政拨款</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w:t>
            </w:r>
          </w:p>
        </w:tc>
        <w:tc>
          <w:tcPr>
            <w:tcW w:w="486"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46.66</w:t>
            </w: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一、一般公共服务支出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33</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二、政府性基金预算财政拨款</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二、外交支出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34</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三、国有资本经营财政拨款</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三、国防支出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35</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四、公共安全支出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36</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五、教育支出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37</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6</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六、科学技术支出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38</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7</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七、文化旅游体育与传媒支出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39</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8</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八、社会保障和就业支出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40</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9</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九、卫生健康支出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41</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10</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十、节能环保支出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42</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11</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十一、城乡社区支出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43</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12</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十二、农林水支出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44</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13</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十三、交通运输支出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45</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14</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十四、资源勘探工业信息等支出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46</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15</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十五、商业服务业等支出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47</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16</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十六、金融支出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48</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17</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十七、援助其他地区支出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49</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18</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十八、自然资源海洋气象等支出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50</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19</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十九、住房保障支出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51</w:t>
            </w:r>
          </w:p>
        </w:tc>
        <w:tc>
          <w:tcPr>
            <w:tcW w:w="664"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46.66</w:t>
            </w:r>
          </w:p>
        </w:tc>
        <w:tc>
          <w:tcPr>
            <w:tcW w:w="456"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46.66</w:t>
            </w:r>
          </w:p>
        </w:tc>
        <w:tc>
          <w:tcPr>
            <w:tcW w:w="45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20</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二十、粮油物资储备支出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52</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21</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二十一、国有资本经营预算支出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53</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22</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二十二、灾害防治及应急管理支出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54</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23</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二十三、其他支出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55</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24</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二十四、债务还本支出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56</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25</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二十五、债务付息支出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57</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26</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二十六、抗疫特别国债安排的支出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58</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pStyle w:val="4"/>
              <w:jc w:val="center"/>
              <w:rPr>
                <w:b/>
                <w:bCs/>
                <w:sz w:val="22"/>
                <w:szCs w:val="22"/>
              </w:rPr>
            </w:pPr>
            <w:r>
              <w:rPr>
                <w:b/>
                <w:bCs/>
                <w:sz w:val="22"/>
                <w:szCs w:val="22"/>
              </w:rPr>
              <w:t>本年收入合计</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27</w:t>
            </w:r>
          </w:p>
        </w:tc>
        <w:tc>
          <w:tcPr>
            <w:tcW w:w="486" w:type="pct"/>
            <w:tcBorders>
              <w:top w:val="single" w:color="666666" w:sz="6" w:space="0"/>
              <w:left w:val="single" w:color="666666" w:sz="6" w:space="0"/>
              <w:bottom w:val="single" w:color="666666" w:sz="6" w:space="0"/>
              <w:right w:val="single" w:color="666666" w:sz="6" w:space="0"/>
            </w:tcBorders>
            <w:vAlign w:val="center"/>
          </w:tcPr>
          <w:p>
            <w:pPr>
              <w:pStyle w:val="4"/>
              <w:jc w:val="right"/>
              <w:rPr>
                <w:b/>
                <w:bCs/>
                <w:sz w:val="22"/>
                <w:szCs w:val="22"/>
              </w:rPr>
            </w:pPr>
            <w:r>
              <w:rPr>
                <w:b/>
                <w:bCs/>
                <w:sz w:val="22"/>
                <w:szCs w:val="22"/>
              </w:rPr>
              <w:t>46.66</w:t>
            </w: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jc w:val="center"/>
              <w:rPr>
                <w:b/>
                <w:bCs/>
                <w:sz w:val="22"/>
                <w:szCs w:val="22"/>
              </w:rPr>
            </w:pPr>
            <w:r>
              <w:rPr>
                <w:b/>
                <w:bCs/>
                <w:sz w:val="22"/>
                <w:szCs w:val="22"/>
              </w:rPr>
              <w:t>本年支出合计</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59</w:t>
            </w:r>
          </w:p>
        </w:tc>
        <w:tc>
          <w:tcPr>
            <w:tcW w:w="664" w:type="pct"/>
            <w:tcBorders>
              <w:top w:val="single" w:color="666666" w:sz="6" w:space="0"/>
              <w:left w:val="single" w:color="666666" w:sz="6" w:space="0"/>
              <w:bottom w:val="single" w:color="666666" w:sz="6" w:space="0"/>
              <w:right w:val="single" w:color="666666" w:sz="6" w:space="0"/>
            </w:tcBorders>
            <w:vAlign w:val="center"/>
          </w:tcPr>
          <w:p>
            <w:pPr>
              <w:pStyle w:val="4"/>
              <w:jc w:val="right"/>
              <w:rPr>
                <w:b/>
                <w:bCs/>
                <w:sz w:val="22"/>
                <w:szCs w:val="22"/>
              </w:rPr>
            </w:pPr>
            <w:r>
              <w:rPr>
                <w:b/>
                <w:bCs/>
                <w:sz w:val="22"/>
                <w:szCs w:val="22"/>
              </w:rPr>
              <w:t>46.66</w:t>
            </w:r>
          </w:p>
        </w:tc>
        <w:tc>
          <w:tcPr>
            <w:tcW w:w="456" w:type="pct"/>
            <w:tcBorders>
              <w:top w:val="single" w:color="666666" w:sz="6" w:space="0"/>
              <w:left w:val="single" w:color="666666" w:sz="6" w:space="0"/>
              <w:bottom w:val="single" w:color="666666" w:sz="6" w:space="0"/>
              <w:right w:val="single" w:color="666666" w:sz="6" w:space="0"/>
            </w:tcBorders>
            <w:vAlign w:val="center"/>
          </w:tcPr>
          <w:p>
            <w:pPr>
              <w:pStyle w:val="4"/>
              <w:jc w:val="right"/>
              <w:rPr>
                <w:b/>
                <w:bCs/>
                <w:sz w:val="22"/>
                <w:szCs w:val="22"/>
              </w:rPr>
            </w:pPr>
            <w:r>
              <w:rPr>
                <w:b/>
                <w:bCs/>
                <w:sz w:val="22"/>
                <w:szCs w:val="22"/>
              </w:rPr>
              <w:t>46.66</w:t>
            </w:r>
          </w:p>
        </w:tc>
        <w:tc>
          <w:tcPr>
            <w:tcW w:w="456" w:type="pct"/>
            <w:tcBorders>
              <w:top w:val="single" w:color="666666" w:sz="6" w:space="0"/>
              <w:left w:val="single" w:color="666666" w:sz="6" w:space="0"/>
              <w:bottom w:val="single" w:color="666666" w:sz="6" w:space="0"/>
              <w:right w:val="single" w:color="666666" w:sz="6" w:space="0"/>
            </w:tcBorders>
            <w:vAlign w:val="center"/>
          </w:tcPr>
          <w:p>
            <w:pPr>
              <w:rPr>
                <w:b/>
                <w:bCs/>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年初财政拨款结转和结余</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28</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年末财政拨款结转和结余</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60</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一般公共预算财政拨款</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29</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61</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政府性基金预算财政拨款</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30</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62</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国有资本经营预算财政拨款</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31</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63</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pStyle w:val="4"/>
              <w:jc w:val="center"/>
              <w:rPr>
                <w:b/>
                <w:bCs/>
                <w:sz w:val="22"/>
                <w:szCs w:val="22"/>
              </w:rPr>
            </w:pPr>
            <w:r>
              <w:rPr>
                <w:b/>
                <w:bCs/>
                <w:sz w:val="22"/>
                <w:szCs w:val="22"/>
              </w:rPr>
              <w:t>总计</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32</w:t>
            </w:r>
          </w:p>
        </w:tc>
        <w:tc>
          <w:tcPr>
            <w:tcW w:w="486" w:type="pct"/>
            <w:tcBorders>
              <w:top w:val="single" w:color="666666" w:sz="6" w:space="0"/>
              <w:left w:val="single" w:color="666666" w:sz="6" w:space="0"/>
              <w:bottom w:val="single" w:color="666666" w:sz="6" w:space="0"/>
              <w:right w:val="single" w:color="666666" w:sz="6" w:space="0"/>
            </w:tcBorders>
            <w:vAlign w:val="center"/>
          </w:tcPr>
          <w:p>
            <w:pPr>
              <w:pStyle w:val="4"/>
              <w:jc w:val="right"/>
              <w:rPr>
                <w:b/>
                <w:bCs/>
                <w:sz w:val="22"/>
                <w:szCs w:val="22"/>
              </w:rPr>
            </w:pPr>
            <w:r>
              <w:rPr>
                <w:b/>
                <w:bCs/>
                <w:sz w:val="22"/>
                <w:szCs w:val="22"/>
              </w:rPr>
              <w:t>46.66</w:t>
            </w: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jc w:val="center"/>
              <w:rPr>
                <w:b/>
                <w:bCs/>
                <w:sz w:val="22"/>
                <w:szCs w:val="22"/>
              </w:rPr>
            </w:pPr>
            <w:r>
              <w:rPr>
                <w:b/>
                <w:bCs/>
                <w:sz w:val="22"/>
                <w:szCs w:val="22"/>
              </w:rPr>
              <w:t>总计</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64</w:t>
            </w:r>
          </w:p>
        </w:tc>
        <w:tc>
          <w:tcPr>
            <w:tcW w:w="664" w:type="pct"/>
            <w:tcBorders>
              <w:top w:val="single" w:color="666666" w:sz="6" w:space="0"/>
              <w:left w:val="single" w:color="666666" w:sz="6" w:space="0"/>
              <w:bottom w:val="single" w:color="666666" w:sz="6" w:space="0"/>
              <w:right w:val="single" w:color="666666" w:sz="6" w:space="0"/>
            </w:tcBorders>
            <w:vAlign w:val="center"/>
          </w:tcPr>
          <w:p>
            <w:pPr>
              <w:pStyle w:val="4"/>
              <w:jc w:val="right"/>
              <w:rPr>
                <w:b/>
                <w:bCs/>
                <w:sz w:val="22"/>
                <w:szCs w:val="22"/>
              </w:rPr>
            </w:pPr>
            <w:r>
              <w:rPr>
                <w:b/>
                <w:bCs/>
                <w:sz w:val="22"/>
                <w:szCs w:val="22"/>
              </w:rPr>
              <w:t>46.66</w:t>
            </w:r>
          </w:p>
        </w:tc>
        <w:tc>
          <w:tcPr>
            <w:tcW w:w="456" w:type="pct"/>
            <w:tcBorders>
              <w:top w:val="single" w:color="666666" w:sz="6" w:space="0"/>
              <w:left w:val="single" w:color="666666" w:sz="6" w:space="0"/>
              <w:bottom w:val="single" w:color="666666" w:sz="6" w:space="0"/>
              <w:right w:val="single" w:color="666666" w:sz="6" w:space="0"/>
            </w:tcBorders>
            <w:vAlign w:val="center"/>
          </w:tcPr>
          <w:p>
            <w:pPr>
              <w:pStyle w:val="4"/>
              <w:jc w:val="right"/>
              <w:rPr>
                <w:b/>
                <w:bCs/>
                <w:sz w:val="22"/>
                <w:szCs w:val="22"/>
              </w:rPr>
            </w:pPr>
            <w:r>
              <w:rPr>
                <w:b/>
                <w:bCs/>
                <w:sz w:val="22"/>
                <w:szCs w:val="22"/>
              </w:rPr>
              <w:t>46.66</w:t>
            </w:r>
          </w:p>
        </w:tc>
        <w:tc>
          <w:tcPr>
            <w:tcW w:w="456" w:type="pct"/>
            <w:tcBorders>
              <w:top w:val="single" w:color="666666" w:sz="6" w:space="0"/>
              <w:left w:val="single" w:color="666666" w:sz="6" w:space="0"/>
              <w:bottom w:val="single" w:color="666666" w:sz="6" w:space="0"/>
              <w:right w:val="single" w:color="666666" w:sz="6" w:space="0"/>
            </w:tcBorders>
            <w:vAlign w:val="center"/>
          </w:tcPr>
          <w:p>
            <w:pPr>
              <w:rPr>
                <w:b/>
                <w:bCs/>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5000" w:type="pct"/>
            <w:gridSpan w:val="9"/>
            <w:vAlign w:val="center"/>
          </w:tcPr>
          <w:p>
            <w:pPr>
              <w:pStyle w:val="4"/>
              <w:rPr>
                <w:sz w:val="22"/>
                <w:szCs w:val="22"/>
              </w:rPr>
            </w:pPr>
            <w:r>
              <w:rPr>
                <w:sz w:val="22"/>
                <w:szCs w:val="22"/>
              </w:rPr>
              <w:t>注：本表反映部门本年度一般公共预算财政拨款、政府性基金预算财政拨款和国有资本经营预算财政拨款的总收支和年末结转结余情况。本表金额转换为万元时，因四舍五入可能存在尾数误差。</w:t>
            </w:r>
          </w:p>
        </w:tc>
      </w:tr>
    </w:tbl>
    <w:p>
      <w:pPr>
        <w:spacing w:after="2"/>
        <w:jc w:val="center"/>
        <w:rPr>
          <w:color w:val="000000"/>
          <w:szCs w:val="21"/>
        </w:rPr>
      </w:pPr>
    </w:p>
    <w:tbl>
      <w:tblPr>
        <w:tblStyle w:val="5"/>
        <w:tblW w:w="5000" w:type="pct"/>
        <w:jc w:val="center"/>
        <w:tblCellSpacing w:w="0" w:type="dxa"/>
        <w:tblLayout w:type="autofit"/>
        <w:tblCellMar>
          <w:top w:w="0" w:type="dxa"/>
          <w:left w:w="0" w:type="dxa"/>
          <w:bottom w:w="0" w:type="dxa"/>
          <w:right w:w="0" w:type="dxa"/>
        </w:tblCellMar>
      </w:tblPr>
      <w:tblGrid>
        <w:gridCol w:w="452"/>
        <w:gridCol w:w="452"/>
        <w:gridCol w:w="455"/>
        <w:gridCol w:w="5398"/>
        <w:gridCol w:w="3092"/>
        <w:gridCol w:w="3093"/>
        <w:gridCol w:w="3096"/>
      </w:tblGrid>
      <w:tr>
        <w:tblPrEx>
          <w:tblCellMar>
            <w:top w:w="0" w:type="dxa"/>
            <w:left w:w="0" w:type="dxa"/>
            <w:bottom w:w="0" w:type="dxa"/>
            <w:right w:w="0" w:type="dxa"/>
          </w:tblCellMar>
        </w:tblPrEx>
        <w:trPr>
          <w:tblCellSpacing w:w="0" w:type="dxa"/>
          <w:jc w:val="center"/>
        </w:trPr>
        <w:tc>
          <w:tcPr>
            <w:tcW w:w="5000" w:type="pct"/>
            <w:gridSpan w:val="7"/>
            <w:vAlign w:val="center"/>
          </w:tcPr>
          <w:p>
            <w:pPr>
              <w:pStyle w:val="4"/>
              <w:jc w:val="center"/>
              <w:rPr>
                <w:sz w:val="40"/>
                <w:szCs w:val="40"/>
              </w:rPr>
            </w:pPr>
            <w:r>
              <w:rPr>
                <w:sz w:val="40"/>
                <w:szCs w:val="40"/>
              </w:rPr>
              <w:t>一般公共预算财政拨款支出决算表</w:t>
            </w:r>
          </w:p>
        </w:tc>
      </w:tr>
      <w:tr>
        <w:tblPrEx>
          <w:tblCellMar>
            <w:top w:w="0" w:type="dxa"/>
            <w:left w:w="0" w:type="dxa"/>
            <w:bottom w:w="0" w:type="dxa"/>
            <w:right w:w="0" w:type="dxa"/>
          </w:tblCellMar>
        </w:tblPrEx>
        <w:trPr>
          <w:tblCellSpacing w:w="0" w:type="dxa"/>
          <w:jc w:val="center"/>
        </w:trPr>
        <w:tc>
          <w:tcPr>
            <w:tcW w:w="141" w:type="pct"/>
            <w:vAlign w:val="center"/>
          </w:tcPr>
          <w:p>
            <w:pPr>
              <w:rPr>
                <w:sz w:val="40"/>
                <w:szCs w:val="40"/>
              </w:rPr>
            </w:pPr>
          </w:p>
        </w:tc>
        <w:tc>
          <w:tcPr>
            <w:tcW w:w="141" w:type="pct"/>
            <w:vAlign w:val="center"/>
          </w:tcPr>
          <w:p>
            <w:pPr>
              <w:rPr>
                <w:rFonts w:ascii="Times New Roman" w:hAnsi="Times New Roman" w:eastAsia="Times New Roman" w:cs="Times New Roman"/>
                <w:kern w:val="0"/>
                <w:sz w:val="20"/>
                <w:szCs w:val="20"/>
              </w:rPr>
            </w:pPr>
          </w:p>
        </w:tc>
        <w:tc>
          <w:tcPr>
            <w:tcW w:w="141" w:type="pct"/>
            <w:vAlign w:val="center"/>
          </w:tcPr>
          <w:p>
            <w:pPr>
              <w:rPr>
                <w:rFonts w:ascii="Times New Roman" w:hAnsi="Times New Roman" w:eastAsia="Times New Roman" w:cs="Times New Roman"/>
                <w:kern w:val="0"/>
                <w:sz w:val="20"/>
                <w:szCs w:val="20"/>
              </w:rPr>
            </w:pPr>
          </w:p>
        </w:tc>
        <w:tc>
          <w:tcPr>
            <w:tcW w:w="1683" w:type="pct"/>
            <w:vAlign w:val="center"/>
          </w:tcPr>
          <w:p>
            <w:pPr>
              <w:rPr>
                <w:rFonts w:ascii="Times New Roman" w:hAnsi="Times New Roman" w:eastAsia="Times New Roman" w:cs="Times New Roman"/>
                <w:kern w:val="0"/>
                <w:sz w:val="20"/>
                <w:szCs w:val="20"/>
              </w:rPr>
            </w:pPr>
          </w:p>
        </w:tc>
        <w:tc>
          <w:tcPr>
            <w:tcW w:w="964" w:type="pct"/>
            <w:vAlign w:val="center"/>
          </w:tcPr>
          <w:p>
            <w:pPr>
              <w:rPr>
                <w:rFonts w:ascii="Times New Roman" w:hAnsi="Times New Roman" w:eastAsia="Times New Roman" w:cs="Times New Roman"/>
                <w:kern w:val="0"/>
                <w:sz w:val="20"/>
                <w:szCs w:val="20"/>
              </w:rPr>
            </w:pPr>
          </w:p>
        </w:tc>
        <w:tc>
          <w:tcPr>
            <w:tcW w:w="1928" w:type="pct"/>
            <w:gridSpan w:val="2"/>
            <w:vAlign w:val="center"/>
          </w:tcPr>
          <w:p>
            <w:pPr>
              <w:pStyle w:val="4"/>
              <w:jc w:val="right"/>
              <w:rPr>
                <w:sz w:val="20"/>
                <w:szCs w:val="20"/>
              </w:rPr>
            </w:pPr>
            <w:r>
              <w:rPr>
                <w:sz w:val="20"/>
                <w:szCs w:val="20"/>
              </w:rPr>
              <w:t>公开05表</w:t>
            </w:r>
          </w:p>
        </w:tc>
      </w:tr>
      <w:tr>
        <w:tblPrEx>
          <w:tblCellMar>
            <w:top w:w="0" w:type="dxa"/>
            <w:left w:w="0" w:type="dxa"/>
            <w:bottom w:w="0" w:type="dxa"/>
            <w:right w:w="0" w:type="dxa"/>
          </w:tblCellMar>
        </w:tblPrEx>
        <w:trPr>
          <w:tblCellSpacing w:w="0" w:type="dxa"/>
          <w:jc w:val="center"/>
        </w:trPr>
        <w:tc>
          <w:tcPr>
            <w:tcW w:w="3071" w:type="pct"/>
            <w:gridSpan w:val="5"/>
            <w:vAlign w:val="center"/>
          </w:tcPr>
          <w:p>
            <w:pPr>
              <w:pStyle w:val="4"/>
              <w:rPr>
                <w:sz w:val="22"/>
                <w:szCs w:val="22"/>
              </w:rPr>
            </w:pPr>
            <w:r>
              <w:rPr>
                <w:sz w:val="22"/>
                <w:szCs w:val="22"/>
              </w:rPr>
              <w:t>部门：永州市冷水滩区房改办</w:t>
            </w:r>
          </w:p>
        </w:tc>
        <w:tc>
          <w:tcPr>
            <w:tcW w:w="1928" w:type="pct"/>
            <w:gridSpan w:val="2"/>
            <w:vAlign w:val="center"/>
          </w:tcPr>
          <w:p>
            <w:pPr>
              <w:pStyle w:val="4"/>
              <w:jc w:val="right"/>
              <w:rPr>
                <w:sz w:val="20"/>
                <w:szCs w:val="20"/>
              </w:rPr>
            </w:pPr>
            <w:r>
              <w:rPr>
                <w:sz w:val="20"/>
                <w:szCs w:val="20"/>
              </w:rPr>
              <w:t>金额单位：万元</w:t>
            </w:r>
          </w:p>
        </w:tc>
      </w:tr>
      <w:tr>
        <w:tblPrEx>
          <w:tblCellMar>
            <w:top w:w="0" w:type="dxa"/>
            <w:left w:w="0" w:type="dxa"/>
            <w:bottom w:w="0" w:type="dxa"/>
            <w:right w:w="0" w:type="dxa"/>
          </w:tblCellMar>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项目</w:t>
            </w:r>
          </w:p>
        </w:tc>
        <w:tc>
          <w:tcPr>
            <w:tcW w:w="2892" w:type="pct"/>
            <w:gridSpan w:val="3"/>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本年支出</w:t>
            </w:r>
          </w:p>
        </w:tc>
      </w:tr>
      <w:tr>
        <w:tblPrEx>
          <w:tblCellMar>
            <w:top w:w="0" w:type="dxa"/>
            <w:left w:w="0" w:type="dxa"/>
            <w:bottom w:w="0" w:type="dxa"/>
            <w:right w:w="0" w:type="dxa"/>
          </w:tblCellMar>
        </w:tblPrEx>
        <w:trPr>
          <w:trHeight w:val="285" w:hRule="atLeast"/>
          <w:tblCellSpacing w:w="0" w:type="dxa"/>
          <w:jc w:val="center"/>
        </w:trPr>
        <w:tc>
          <w:tcPr>
            <w:tcW w:w="424" w:type="pct"/>
            <w:gridSpan w:val="3"/>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小计</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项目支出</w:t>
            </w:r>
          </w:p>
        </w:tc>
      </w:tr>
      <w:tr>
        <w:tblPrEx>
          <w:tblCellMar>
            <w:top w:w="0" w:type="dxa"/>
            <w:left w:w="0" w:type="dxa"/>
            <w:bottom w:w="0" w:type="dxa"/>
            <w:right w:w="0" w:type="dxa"/>
          </w:tblCellMar>
        </w:tblPrEx>
        <w:trPr>
          <w:trHeight w:val="285" w:hRule="atLeast"/>
          <w:tblCellSpacing w:w="0" w:type="dxa"/>
          <w:jc w:val="center"/>
        </w:trPr>
        <w:tc>
          <w:tcPr>
            <w:tcW w:w="0" w:type="auto"/>
            <w:gridSpan w:val="3"/>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rHeight w:val="285" w:hRule="atLeast"/>
          <w:tblCellSpacing w:w="0" w:type="dxa"/>
          <w:jc w:val="center"/>
        </w:trPr>
        <w:tc>
          <w:tcPr>
            <w:tcW w:w="0" w:type="auto"/>
            <w:gridSpan w:val="3"/>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栏次</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w:t>
            </w:r>
          </w:p>
        </w:tc>
      </w:tr>
      <w:tr>
        <w:tblPrEx>
          <w:tblCellMar>
            <w:top w:w="0" w:type="dxa"/>
            <w:left w:w="0" w:type="dxa"/>
            <w:bottom w:w="0" w:type="dxa"/>
            <w:right w:w="0" w:type="dxa"/>
          </w:tblCellMar>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合计</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4"/>
              <w:jc w:val="right"/>
              <w:rPr>
                <w:b/>
                <w:bCs/>
                <w:sz w:val="22"/>
                <w:szCs w:val="22"/>
              </w:rPr>
            </w:pPr>
            <w:r>
              <w:rPr>
                <w:b/>
                <w:bCs/>
                <w:sz w:val="22"/>
                <w:szCs w:val="22"/>
              </w:rPr>
              <w:t>46.66</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4"/>
              <w:jc w:val="right"/>
              <w:rPr>
                <w:b/>
                <w:bCs/>
                <w:sz w:val="22"/>
                <w:szCs w:val="22"/>
              </w:rPr>
            </w:pPr>
            <w:r>
              <w:rPr>
                <w:b/>
                <w:bCs/>
                <w:sz w:val="22"/>
                <w:szCs w:val="22"/>
              </w:rPr>
              <w:t>46.66</w:t>
            </w:r>
          </w:p>
        </w:tc>
        <w:tc>
          <w:tcPr>
            <w:tcW w:w="964" w:type="pct"/>
            <w:tcBorders>
              <w:top w:val="single" w:color="666666" w:sz="6" w:space="0"/>
              <w:left w:val="single" w:color="666666" w:sz="6" w:space="0"/>
              <w:bottom w:val="single" w:color="666666" w:sz="6" w:space="0"/>
              <w:right w:val="single" w:color="666666" w:sz="6" w:space="0"/>
            </w:tcBorders>
            <w:vAlign w:val="center"/>
          </w:tcPr>
          <w:p>
            <w:pPr>
              <w:rPr>
                <w:b/>
                <w:bCs/>
                <w:sz w:val="22"/>
              </w:rPr>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221</w:t>
            </w:r>
          </w:p>
        </w:tc>
        <w:tc>
          <w:tcPr>
            <w:tcW w:w="168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住房保障支出</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46.66</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46.66</w:t>
            </w:r>
          </w:p>
        </w:tc>
        <w:tc>
          <w:tcPr>
            <w:tcW w:w="964"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22103</w:t>
            </w:r>
          </w:p>
        </w:tc>
        <w:tc>
          <w:tcPr>
            <w:tcW w:w="168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城乡社区住宅</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46.66</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46.66</w:t>
            </w:r>
          </w:p>
        </w:tc>
        <w:tc>
          <w:tcPr>
            <w:tcW w:w="964"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2210399</w:t>
            </w:r>
          </w:p>
        </w:tc>
        <w:tc>
          <w:tcPr>
            <w:tcW w:w="168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其他城乡社区住宅支出</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46.66</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46.66</w:t>
            </w:r>
          </w:p>
        </w:tc>
        <w:tc>
          <w:tcPr>
            <w:tcW w:w="964"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8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96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96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96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8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96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96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96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8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96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96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96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8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96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96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96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8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96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96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96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5000" w:type="pct"/>
            <w:gridSpan w:val="7"/>
            <w:vAlign w:val="center"/>
          </w:tcPr>
          <w:p>
            <w:pPr>
              <w:pStyle w:val="4"/>
              <w:rPr>
                <w:sz w:val="22"/>
                <w:szCs w:val="22"/>
              </w:rPr>
            </w:pPr>
            <w:r>
              <w:rPr>
                <w:sz w:val="22"/>
                <w:szCs w:val="22"/>
              </w:rPr>
              <w:t>注：本表反映部门本年度一般公共预算财政拨款支出情况。本表金额转换为万元时，因四舍五入可能存在尾数误差。</w:t>
            </w:r>
          </w:p>
        </w:tc>
      </w:tr>
    </w:tbl>
    <w:p>
      <w:pPr>
        <w:spacing w:after="2"/>
        <w:jc w:val="center"/>
        <w:rPr>
          <w:color w:val="000000"/>
          <w:szCs w:val="21"/>
        </w:rPr>
      </w:pPr>
    </w:p>
    <w:tbl>
      <w:tblPr>
        <w:tblStyle w:val="5"/>
        <w:tblW w:w="5000" w:type="pct"/>
        <w:jc w:val="center"/>
        <w:tblCellSpacing w:w="0" w:type="dxa"/>
        <w:tblLayout w:type="autofit"/>
        <w:tblCellMar>
          <w:top w:w="0" w:type="dxa"/>
          <w:left w:w="0" w:type="dxa"/>
          <w:bottom w:w="0" w:type="dxa"/>
          <w:right w:w="0" w:type="dxa"/>
        </w:tblCellMar>
      </w:tblPr>
      <w:tblGrid>
        <w:gridCol w:w="718"/>
        <w:gridCol w:w="3380"/>
        <w:gridCol w:w="1726"/>
        <w:gridCol w:w="719"/>
        <w:gridCol w:w="2659"/>
        <w:gridCol w:w="1726"/>
        <w:gridCol w:w="722"/>
        <w:gridCol w:w="2659"/>
        <w:gridCol w:w="1729"/>
      </w:tblGrid>
      <w:tr>
        <w:tblPrEx>
          <w:tblCellMar>
            <w:top w:w="0" w:type="dxa"/>
            <w:left w:w="0" w:type="dxa"/>
            <w:bottom w:w="0" w:type="dxa"/>
            <w:right w:w="0" w:type="dxa"/>
          </w:tblCellMar>
        </w:tblPrEx>
        <w:trPr>
          <w:tblCellSpacing w:w="0" w:type="dxa"/>
          <w:jc w:val="center"/>
        </w:trPr>
        <w:tc>
          <w:tcPr>
            <w:tcW w:w="5000" w:type="pct"/>
            <w:gridSpan w:val="9"/>
            <w:vAlign w:val="center"/>
          </w:tcPr>
          <w:p>
            <w:pPr>
              <w:pStyle w:val="4"/>
              <w:jc w:val="center"/>
              <w:rPr>
                <w:sz w:val="40"/>
                <w:szCs w:val="40"/>
              </w:rPr>
            </w:pPr>
            <w:r>
              <w:rPr>
                <w:sz w:val="40"/>
                <w:szCs w:val="40"/>
              </w:rPr>
              <w:t>一般公共预算财政拨款基本支出决算明细表</w:t>
            </w:r>
          </w:p>
        </w:tc>
      </w:tr>
      <w:tr>
        <w:tblPrEx>
          <w:tblCellMar>
            <w:top w:w="0" w:type="dxa"/>
            <w:left w:w="0" w:type="dxa"/>
            <w:bottom w:w="0" w:type="dxa"/>
            <w:right w:w="0" w:type="dxa"/>
          </w:tblCellMar>
        </w:tblPrEx>
        <w:trPr>
          <w:tblCellSpacing w:w="0" w:type="dxa"/>
          <w:jc w:val="center"/>
        </w:trPr>
        <w:tc>
          <w:tcPr>
            <w:tcW w:w="224" w:type="pct"/>
            <w:vAlign w:val="center"/>
          </w:tcPr>
          <w:p>
            <w:pPr>
              <w:rPr>
                <w:sz w:val="40"/>
                <w:szCs w:val="40"/>
              </w:rPr>
            </w:pPr>
          </w:p>
        </w:tc>
        <w:tc>
          <w:tcPr>
            <w:tcW w:w="1053" w:type="pct"/>
            <w:vAlign w:val="center"/>
          </w:tcPr>
          <w:p>
            <w:pPr>
              <w:rPr>
                <w:rFonts w:ascii="Times New Roman" w:hAnsi="Times New Roman" w:eastAsia="Times New Roman" w:cs="Times New Roman"/>
                <w:kern w:val="0"/>
                <w:sz w:val="20"/>
                <w:szCs w:val="20"/>
              </w:rPr>
            </w:pPr>
          </w:p>
        </w:tc>
        <w:tc>
          <w:tcPr>
            <w:tcW w:w="538" w:type="pct"/>
            <w:vAlign w:val="center"/>
          </w:tcPr>
          <w:p>
            <w:pPr>
              <w:rPr>
                <w:rFonts w:ascii="Times New Roman" w:hAnsi="Times New Roman" w:eastAsia="Times New Roman" w:cs="Times New Roman"/>
                <w:kern w:val="0"/>
                <w:sz w:val="20"/>
                <w:szCs w:val="20"/>
              </w:rPr>
            </w:pPr>
          </w:p>
        </w:tc>
        <w:tc>
          <w:tcPr>
            <w:tcW w:w="224" w:type="pct"/>
            <w:vAlign w:val="center"/>
          </w:tcPr>
          <w:p>
            <w:pPr>
              <w:rPr>
                <w:rFonts w:ascii="Times New Roman" w:hAnsi="Times New Roman" w:eastAsia="Times New Roman" w:cs="Times New Roman"/>
                <w:kern w:val="0"/>
                <w:sz w:val="20"/>
                <w:szCs w:val="20"/>
              </w:rPr>
            </w:pPr>
          </w:p>
        </w:tc>
        <w:tc>
          <w:tcPr>
            <w:tcW w:w="829" w:type="pct"/>
            <w:vAlign w:val="center"/>
          </w:tcPr>
          <w:p>
            <w:pPr>
              <w:rPr>
                <w:rFonts w:ascii="Times New Roman" w:hAnsi="Times New Roman" w:eastAsia="Times New Roman" w:cs="Times New Roman"/>
                <w:kern w:val="0"/>
                <w:sz w:val="20"/>
                <w:szCs w:val="20"/>
              </w:rPr>
            </w:pPr>
          </w:p>
        </w:tc>
        <w:tc>
          <w:tcPr>
            <w:tcW w:w="538" w:type="pct"/>
            <w:vAlign w:val="center"/>
          </w:tcPr>
          <w:p>
            <w:pPr>
              <w:rPr>
                <w:rFonts w:ascii="Times New Roman" w:hAnsi="Times New Roman" w:eastAsia="Times New Roman" w:cs="Times New Roman"/>
                <w:kern w:val="0"/>
                <w:sz w:val="20"/>
                <w:szCs w:val="20"/>
              </w:rPr>
            </w:pPr>
          </w:p>
        </w:tc>
        <w:tc>
          <w:tcPr>
            <w:tcW w:w="224" w:type="pct"/>
            <w:vAlign w:val="center"/>
          </w:tcPr>
          <w:p>
            <w:pPr>
              <w:rPr>
                <w:rFonts w:ascii="Times New Roman" w:hAnsi="Times New Roman" w:eastAsia="Times New Roman" w:cs="Times New Roman"/>
                <w:kern w:val="0"/>
                <w:sz w:val="20"/>
                <w:szCs w:val="20"/>
              </w:rPr>
            </w:pPr>
          </w:p>
        </w:tc>
        <w:tc>
          <w:tcPr>
            <w:tcW w:w="1367" w:type="pct"/>
            <w:gridSpan w:val="2"/>
            <w:vAlign w:val="center"/>
          </w:tcPr>
          <w:p>
            <w:pPr>
              <w:pStyle w:val="4"/>
              <w:jc w:val="right"/>
              <w:rPr>
                <w:sz w:val="18"/>
                <w:szCs w:val="18"/>
              </w:rPr>
            </w:pPr>
            <w:r>
              <w:rPr>
                <w:sz w:val="18"/>
                <w:szCs w:val="18"/>
              </w:rPr>
              <w:t>公开06表</w:t>
            </w:r>
          </w:p>
        </w:tc>
      </w:tr>
      <w:tr>
        <w:tblPrEx>
          <w:tblCellMar>
            <w:top w:w="0" w:type="dxa"/>
            <w:left w:w="0" w:type="dxa"/>
            <w:bottom w:w="0" w:type="dxa"/>
            <w:right w:w="0" w:type="dxa"/>
          </w:tblCellMar>
        </w:tblPrEx>
        <w:trPr>
          <w:tblCellSpacing w:w="0" w:type="dxa"/>
          <w:jc w:val="center"/>
        </w:trPr>
        <w:tc>
          <w:tcPr>
            <w:tcW w:w="3632" w:type="pct"/>
            <w:gridSpan w:val="7"/>
            <w:vAlign w:val="center"/>
          </w:tcPr>
          <w:p>
            <w:pPr>
              <w:pStyle w:val="4"/>
              <w:rPr>
                <w:sz w:val="22"/>
                <w:szCs w:val="22"/>
              </w:rPr>
            </w:pPr>
            <w:r>
              <w:rPr>
                <w:sz w:val="22"/>
                <w:szCs w:val="22"/>
              </w:rPr>
              <w:t>部门：永州市冷水滩区房改办</w:t>
            </w:r>
          </w:p>
        </w:tc>
        <w:tc>
          <w:tcPr>
            <w:tcW w:w="1367" w:type="pct"/>
            <w:gridSpan w:val="2"/>
            <w:vAlign w:val="center"/>
          </w:tcPr>
          <w:p>
            <w:pPr>
              <w:pStyle w:val="4"/>
              <w:jc w:val="right"/>
              <w:rPr>
                <w:sz w:val="18"/>
                <w:szCs w:val="18"/>
              </w:rPr>
            </w:pPr>
            <w:r>
              <w:rPr>
                <w:sz w:val="18"/>
                <w:szCs w:val="18"/>
              </w:rPr>
              <w:t>金额单位：万元</w:t>
            </w:r>
          </w:p>
        </w:tc>
      </w:tr>
      <w:tr>
        <w:tblPrEx>
          <w:tblCellMar>
            <w:top w:w="0" w:type="dxa"/>
            <w:left w:w="0" w:type="dxa"/>
            <w:bottom w:w="0" w:type="dxa"/>
            <w:right w:w="0" w:type="dxa"/>
          </w:tblCellMar>
        </w:tblPrEx>
        <w:trPr>
          <w:tblCellSpacing w:w="0" w:type="dxa"/>
          <w:jc w:val="center"/>
        </w:trPr>
        <w:tc>
          <w:tcPr>
            <w:tcW w:w="1816" w:type="pct"/>
            <w:gridSpan w:val="3"/>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人员经费</w:t>
            </w:r>
          </w:p>
        </w:tc>
        <w:tc>
          <w:tcPr>
            <w:tcW w:w="3183" w:type="pct"/>
            <w:gridSpan w:val="6"/>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公用经费</w:t>
            </w:r>
          </w:p>
        </w:tc>
      </w:tr>
      <w:tr>
        <w:tblPrEx>
          <w:tblCellMar>
            <w:top w:w="0" w:type="dxa"/>
            <w:left w:w="0" w:type="dxa"/>
            <w:bottom w:w="0" w:type="dxa"/>
            <w:right w:w="0" w:type="dxa"/>
          </w:tblCellMar>
        </w:tblPrEx>
        <w:trPr>
          <w:trHeight w:val="285" w:hRule="atLeast"/>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科目编码</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决算数</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科目编码</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决算数</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科目编码</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决算数</w:t>
            </w:r>
          </w:p>
        </w:tc>
      </w:tr>
      <w:tr>
        <w:tblPrEx>
          <w:tblCellMar>
            <w:top w:w="0" w:type="dxa"/>
            <w:left w:w="0" w:type="dxa"/>
            <w:bottom w:w="0" w:type="dxa"/>
            <w:right w:w="0" w:type="dxa"/>
          </w:tblCellMar>
        </w:tblPrEx>
        <w:trPr>
          <w:trHeight w:val="285" w:hRule="atLeast"/>
          <w:tblCellSpacing w:w="0" w:type="dxa"/>
          <w:jc w:val="center"/>
        </w:trPr>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b/>
                <w:bCs/>
                <w:sz w:val="22"/>
                <w:szCs w:val="22"/>
              </w:rPr>
            </w:pPr>
            <w:r>
              <w:rPr>
                <w:b/>
                <w:bCs/>
                <w:sz w:val="22"/>
                <w:szCs w:val="22"/>
              </w:rPr>
              <w:t>301</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b/>
                <w:bCs/>
                <w:sz w:val="22"/>
                <w:szCs w:val="22"/>
              </w:rPr>
            </w:pPr>
            <w:r>
              <w:rPr>
                <w:b/>
                <w:bCs/>
                <w:sz w:val="22"/>
                <w:szCs w:val="22"/>
              </w:rPr>
              <w:t>工资福利支出</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4"/>
              <w:jc w:val="right"/>
              <w:rPr>
                <w:b/>
                <w:bCs/>
                <w:sz w:val="22"/>
                <w:szCs w:val="22"/>
              </w:rPr>
            </w:pPr>
            <w:r>
              <w:rPr>
                <w:b/>
                <w:bCs/>
                <w:sz w:val="22"/>
                <w:szCs w:val="22"/>
              </w:rPr>
              <w:t>40.42</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b/>
                <w:bCs/>
                <w:sz w:val="22"/>
                <w:szCs w:val="22"/>
              </w:rPr>
            </w:pPr>
            <w:r>
              <w:rPr>
                <w:b/>
                <w:bCs/>
                <w:sz w:val="22"/>
                <w:szCs w:val="22"/>
              </w:rPr>
              <w:t>302</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b/>
                <w:bCs/>
                <w:sz w:val="22"/>
                <w:szCs w:val="22"/>
              </w:rPr>
            </w:pPr>
            <w:r>
              <w:rPr>
                <w:b/>
                <w:bCs/>
                <w:sz w:val="22"/>
                <w:szCs w:val="22"/>
              </w:rPr>
              <w:t>商品和服务支出</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4"/>
              <w:jc w:val="right"/>
              <w:rPr>
                <w:b/>
                <w:bCs/>
                <w:sz w:val="22"/>
                <w:szCs w:val="22"/>
              </w:rPr>
            </w:pPr>
            <w:r>
              <w:rPr>
                <w:b/>
                <w:bCs/>
                <w:sz w:val="22"/>
                <w:szCs w:val="22"/>
              </w:rPr>
              <w:t>6.24</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b/>
                <w:bCs/>
                <w:sz w:val="22"/>
                <w:szCs w:val="22"/>
              </w:rPr>
            </w:pPr>
            <w:r>
              <w:rPr>
                <w:b/>
                <w:bCs/>
                <w:sz w:val="22"/>
                <w:szCs w:val="22"/>
              </w:rPr>
              <w:t>307</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b/>
                <w:bCs/>
                <w:sz w:val="22"/>
                <w:szCs w:val="22"/>
              </w:rPr>
            </w:pPr>
            <w:r>
              <w:rPr>
                <w:b/>
                <w:bCs/>
                <w:sz w:val="22"/>
                <w:szCs w:val="22"/>
              </w:rPr>
              <w:t>债务利息及费用支出</w:t>
            </w:r>
          </w:p>
        </w:tc>
        <w:tc>
          <w:tcPr>
            <w:tcW w:w="538" w:type="pct"/>
            <w:tcBorders>
              <w:top w:val="single" w:color="666666" w:sz="6" w:space="0"/>
              <w:left w:val="single" w:color="666666" w:sz="6" w:space="0"/>
              <w:bottom w:val="single" w:color="666666" w:sz="6" w:space="0"/>
              <w:right w:val="single" w:color="666666" w:sz="6" w:space="0"/>
            </w:tcBorders>
            <w:vAlign w:val="center"/>
          </w:tcPr>
          <w:p>
            <w:pPr>
              <w:rPr>
                <w:b/>
                <w:bCs/>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30101</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基本工资</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23.29</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30201</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办公费</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2.40</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30701</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国内债务付息</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30102</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津贴补贴</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3.79</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30202</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印刷费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30702</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国外债务付息</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30103</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奖金</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30203</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咨询费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b/>
                <w:bCs/>
                <w:sz w:val="22"/>
                <w:szCs w:val="22"/>
              </w:rPr>
            </w:pPr>
            <w:r>
              <w:rPr>
                <w:b/>
                <w:bCs/>
                <w:sz w:val="22"/>
                <w:szCs w:val="22"/>
              </w:rPr>
              <w:t>310</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b/>
                <w:bCs/>
                <w:sz w:val="22"/>
                <w:szCs w:val="22"/>
              </w:rPr>
            </w:pPr>
            <w:r>
              <w:rPr>
                <w:b/>
                <w:bCs/>
                <w:sz w:val="22"/>
                <w:szCs w:val="22"/>
              </w:rPr>
              <w:t>资本性支出</w:t>
            </w:r>
          </w:p>
        </w:tc>
        <w:tc>
          <w:tcPr>
            <w:tcW w:w="538" w:type="pct"/>
            <w:tcBorders>
              <w:top w:val="single" w:color="666666" w:sz="6" w:space="0"/>
              <w:left w:val="single" w:color="666666" w:sz="6" w:space="0"/>
              <w:bottom w:val="single" w:color="666666" w:sz="6" w:space="0"/>
              <w:right w:val="single" w:color="666666" w:sz="6" w:space="0"/>
            </w:tcBorders>
            <w:vAlign w:val="center"/>
          </w:tcPr>
          <w:p>
            <w:pPr>
              <w:rPr>
                <w:b/>
                <w:bCs/>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30106</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伙食补助费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30204</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手续费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31001</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房屋建筑物购建</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30107</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绩效工资</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7.02</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30205</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水费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31002</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办公设备购置</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30108</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机关事业单位基本养老保险缴费</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4.09</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30206</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电费</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0.51</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31003</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专用设备购置</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30109</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职业年金缴费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30207</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邮电费</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0.32</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31005</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基础设施建设</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30110</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职工基本医疗保险缴费</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2.23</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30208</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取暖费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31006</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大型修缮</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30111</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公务员医疗补助缴费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30209</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物业管理费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31007</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信息网络及软件购置更新</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30112</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其他社会保障缴费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30211</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差旅费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31008</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物资储备</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30113</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住房公积金</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30212</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因公出国（境）费用</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31009</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土地补偿</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30114</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医疗费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30213</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维修（护）费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31010</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安置补助</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30199</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其他工资福利支出</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30214</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租赁费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31011</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地上附着物和青苗补偿</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b/>
                <w:bCs/>
                <w:sz w:val="22"/>
                <w:szCs w:val="22"/>
              </w:rPr>
            </w:pPr>
            <w:r>
              <w:rPr>
                <w:b/>
                <w:bCs/>
                <w:sz w:val="22"/>
                <w:szCs w:val="22"/>
              </w:rPr>
              <w:t>303</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b/>
                <w:bCs/>
                <w:sz w:val="22"/>
                <w:szCs w:val="22"/>
              </w:rPr>
            </w:pPr>
            <w:r>
              <w:rPr>
                <w:b/>
                <w:bCs/>
                <w:sz w:val="22"/>
                <w:szCs w:val="22"/>
              </w:rPr>
              <w:t>对个人和家庭的补助</w:t>
            </w:r>
          </w:p>
        </w:tc>
        <w:tc>
          <w:tcPr>
            <w:tcW w:w="538" w:type="pct"/>
            <w:tcBorders>
              <w:top w:val="single" w:color="666666" w:sz="6" w:space="0"/>
              <w:left w:val="single" w:color="666666" w:sz="6" w:space="0"/>
              <w:bottom w:val="single" w:color="666666" w:sz="6" w:space="0"/>
              <w:right w:val="single" w:color="666666" w:sz="6" w:space="0"/>
            </w:tcBorders>
            <w:vAlign w:val="center"/>
          </w:tcPr>
          <w:p>
            <w:pPr>
              <w:rPr>
                <w:b/>
                <w:bCs/>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30215</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会议费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31012</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拆迁补偿</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30301</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离休费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30216</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培训费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31013</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公务用车购置</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30302</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退休费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30217</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公务接待费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31019</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其他交通工具购置</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30303</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退职（役）费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30218</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专用材料费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31021</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文物和陈列品购置</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30304</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抚恤金</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30224</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被装购置费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31022</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无形资产购置</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30305</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生活补助</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30225</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专用燃料费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31099</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其他资本性支出</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30306</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救济费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30226</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劳务费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b/>
                <w:bCs/>
                <w:sz w:val="22"/>
                <w:szCs w:val="22"/>
              </w:rPr>
            </w:pPr>
            <w:r>
              <w:rPr>
                <w:b/>
                <w:bCs/>
                <w:sz w:val="22"/>
                <w:szCs w:val="22"/>
              </w:rPr>
              <w:t>399</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b/>
                <w:bCs/>
                <w:sz w:val="22"/>
                <w:szCs w:val="22"/>
              </w:rPr>
            </w:pPr>
            <w:r>
              <w:rPr>
                <w:b/>
                <w:bCs/>
                <w:sz w:val="22"/>
                <w:szCs w:val="22"/>
              </w:rPr>
              <w:t>其他支出</w:t>
            </w:r>
          </w:p>
        </w:tc>
        <w:tc>
          <w:tcPr>
            <w:tcW w:w="538" w:type="pct"/>
            <w:tcBorders>
              <w:top w:val="single" w:color="666666" w:sz="6" w:space="0"/>
              <w:left w:val="single" w:color="666666" w:sz="6" w:space="0"/>
              <w:bottom w:val="single" w:color="666666" w:sz="6" w:space="0"/>
              <w:right w:val="single" w:color="666666" w:sz="6" w:space="0"/>
            </w:tcBorders>
            <w:vAlign w:val="center"/>
          </w:tcPr>
          <w:p>
            <w:pPr>
              <w:rPr>
                <w:b/>
                <w:bCs/>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30307</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医疗费补助</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30227</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委托业务费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39906</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赠与</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30308</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助学金</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30228</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工会经费</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0.52</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39907</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国家赔偿费用支出</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30309</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奖励金</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30229</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福利费</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1.05</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39908</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对民间非营利组织和群众性自治组织补贴</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30310</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个人农业生产补贴</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30231</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公务用车运行维护费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39999</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其他支出</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30311</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代缴社会保险费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30239</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其他交通费用</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2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3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30399</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其他对个人和家庭的补助</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30240</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税金及附加费用</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2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3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05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3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30299</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其他商品和服务支出</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1.44</w:t>
            </w:r>
          </w:p>
        </w:tc>
        <w:tc>
          <w:tcPr>
            <w:tcW w:w="22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82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3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1278" w:type="pct"/>
            <w:gridSpan w:val="2"/>
            <w:tcBorders>
              <w:top w:val="single" w:color="666666" w:sz="6" w:space="0"/>
              <w:left w:val="single" w:color="666666" w:sz="6" w:space="0"/>
              <w:bottom w:val="single" w:color="666666" w:sz="6" w:space="0"/>
              <w:right w:val="single" w:color="666666" w:sz="6" w:space="0"/>
            </w:tcBorders>
            <w:vAlign w:val="center"/>
          </w:tcPr>
          <w:p>
            <w:pPr>
              <w:pStyle w:val="4"/>
              <w:jc w:val="center"/>
              <w:rPr>
                <w:b/>
                <w:bCs/>
                <w:sz w:val="22"/>
                <w:szCs w:val="22"/>
              </w:rPr>
            </w:pPr>
            <w:r>
              <w:rPr>
                <w:b/>
                <w:bCs/>
                <w:sz w:val="22"/>
                <w:szCs w:val="22"/>
              </w:rPr>
              <w:t>人员经费合计</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4"/>
              <w:jc w:val="right"/>
              <w:rPr>
                <w:b/>
                <w:bCs/>
                <w:sz w:val="22"/>
                <w:szCs w:val="22"/>
              </w:rPr>
            </w:pPr>
            <w:r>
              <w:rPr>
                <w:b/>
                <w:bCs/>
                <w:sz w:val="22"/>
                <w:szCs w:val="22"/>
              </w:rPr>
              <w:t>40.42</w:t>
            </w:r>
          </w:p>
        </w:tc>
        <w:tc>
          <w:tcPr>
            <w:tcW w:w="2645" w:type="pct"/>
            <w:gridSpan w:val="5"/>
            <w:tcBorders>
              <w:top w:val="single" w:color="666666" w:sz="6" w:space="0"/>
              <w:left w:val="single" w:color="666666" w:sz="6" w:space="0"/>
              <w:bottom w:val="single" w:color="666666" w:sz="6" w:space="0"/>
              <w:right w:val="single" w:color="666666" w:sz="6" w:space="0"/>
            </w:tcBorders>
            <w:vAlign w:val="center"/>
          </w:tcPr>
          <w:p>
            <w:pPr>
              <w:pStyle w:val="4"/>
              <w:jc w:val="center"/>
              <w:rPr>
                <w:b/>
                <w:bCs/>
                <w:sz w:val="22"/>
                <w:szCs w:val="22"/>
              </w:rPr>
            </w:pPr>
            <w:r>
              <w:rPr>
                <w:b/>
                <w:bCs/>
                <w:sz w:val="22"/>
                <w:szCs w:val="22"/>
              </w:rPr>
              <w:t>公用经费合计</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4"/>
              <w:jc w:val="right"/>
              <w:rPr>
                <w:b/>
                <w:bCs/>
                <w:sz w:val="22"/>
                <w:szCs w:val="22"/>
              </w:rPr>
            </w:pPr>
            <w:r>
              <w:rPr>
                <w:b/>
                <w:bCs/>
                <w:sz w:val="22"/>
                <w:szCs w:val="22"/>
              </w:rPr>
              <w:t>6.24</w:t>
            </w:r>
          </w:p>
        </w:tc>
      </w:tr>
      <w:tr>
        <w:tblPrEx>
          <w:tblCellMar>
            <w:top w:w="0" w:type="dxa"/>
            <w:left w:w="0" w:type="dxa"/>
            <w:bottom w:w="0" w:type="dxa"/>
            <w:right w:w="0" w:type="dxa"/>
          </w:tblCellMar>
        </w:tblPrEx>
        <w:trPr>
          <w:tblCellSpacing w:w="0" w:type="dxa"/>
          <w:jc w:val="center"/>
        </w:trPr>
        <w:tc>
          <w:tcPr>
            <w:tcW w:w="5000" w:type="pct"/>
            <w:gridSpan w:val="9"/>
            <w:vAlign w:val="center"/>
          </w:tcPr>
          <w:p>
            <w:pPr>
              <w:pStyle w:val="4"/>
              <w:rPr>
                <w:sz w:val="22"/>
                <w:szCs w:val="22"/>
              </w:rPr>
            </w:pPr>
            <w:r>
              <w:rPr>
                <w:sz w:val="22"/>
                <w:szCs w:val="22"/>
              </w:rPr>
              <w:t>注：本表反映部门本年度一般公共预算财政拨款基本支出明细情况。本表金额转换为万元时，因四舍五入可能存在尾数误差。</w:t>
            </w:r>
          </w:p>
        </w:tc>
      </w:tr>
    </w:tbl>
    <w:p>
      <w:pPr>
        <w:spacing w:after="2"/>
        <w:jc w:val="center"/>
        <w:rPr>
          <w:color w:val="000000"/>
          <w:szCs w:val="21"/>
        </w:rPr>
      </w:pPr>
    </w:p>
    <w:tbl>
      <w:tblPr>
        <w:tblStyle w:val="5"/>
        <w:tblW w:w="5000" w:type="pct"/>
        <w:jc w:val="center"/>
        <w:tblCellSpacing w:w="0" w:type="dxa"/>
        <w:tblLayout w:type="autofit"/>
        <w:tblCellMar>
          <w:top w:w="0" w:type="dxa"/>
          <w:left w:w="0" w:type="dxa"/>
          <w:bottom w:w="0" w:type="dxa"/>
          <w:right w:w="0" w:type="dxa"/>
        </w:tblCellMar>
      </w:tblPr>
      <w:tblGrid>
        <w:gridCol w:w="1334"/>
        <w:gridCol w:w="1334"/>
        <w:gridCol w:w="1334"/>
        <w:gridCol w:w="1334"/>
        <w:gridCol w:w="1341"/>
        <w:gridCol w:w="1347"/>
        <w:gridCol w:w="1334"/>
        <w:gridCol w:w="1334"/>
        <w:gridCol w:w="1334"/>
        <w:gridCol w:w="1342"/>
        <w:gridCol w:w="1335"/>
        <w:gridCol w:w="1335"/>
      </w:tblGrid>
      <w:tr>
        <w:tblPrEx>
          <w:tblCellMar>
            <w:top w:w="0" w:type="dxa"/>
            <w:left w:w="0" w:type="dxa"/>
            <w:bottom w:w="0" w:type="dxa"/>
            <w:right w:w="0" w:type="dxa"/>
          </w:tblCellMar>
        </w:tblPrEx>
        <w:trPr>
          <w:tblCellSpacing w:w="0" w:type="dxa"/>
          <w:jc w:val="center"/>
        </w:trPr>
        <w:tc>
          <w:tcPr>
            <w:tcW w:w="5000" w:type="pct"/>
            <w:gridSpan w:val="12"/>
            <w:vAlign w:val="center"/>
          </w:tcPr>
          <w:p>
            <w:pPr>
              <w:pStyle w:val="4"/>
              <w:jc w:val="center"/>
              <w:rPr>
                <w:sz w:val="40"/>
                <w:szCs w:val="40"/>
              </w:rPr>
            </w:pPr>
            <w:r>
              <w:rPr>
                <w:sz w:val="40"/>
                <w:szCs w:val="40"/>
              </w:rPr>
              <w:t>一般公共预算财政拨款“三公”经费支出决算表</w:t>
            </w:r>
          </w:p>
        </w:tc>
      </w:tr>
      <w:tr>
        <w:tblPrEx>
          <w:tblCellMar>
            <w:top w:w="0" w:type="dxa"/>
            <w:left w:w="0" w:type="dxa"/>
            <w:bottom w:w="0" w:type="dxa"/>
            <w:right w:w="0" w:type="dxa"/>
          </w:tblCellMar>
        </w:tblPrEx>
        <w:trPr>
          <w:tblCellSpacing w:w="0" w:type="dxa"/>
          <w:jc w:val="center"/>
        </w:trPr>
        <w:tc>
          <w:tcPr>
            <w:tcW w:w="416" w:type="pct"/>
            <w:vAlign w:val="center"/>
          </w:tcPr>
          <w:p>
            <w:pPr>
              <w:rPr>
                <w:sz w:val="40"/>
                <w:szCs w:val="40"/>
              </w:rPr>
            </w:pPr>
          </w:p>
        </w:tc>
        <w:tc>
          <w:tcPr>
            <w:tcW w:w="416" w:type="pct"/>
            <w:vAlign w:val="center"/>
          </w:tcPr>
          <w:p>
            <w:pPr>
              <w:rPr>
                <w:rFonts w:ascii="Times New Roman" w:hAnsi="Times New Roman" w:eastAsia="Times New Roman" w:cs="Times New Roman"/>
                <w:kern w:val="0"/>
                <w:sz w:val="20"/>
                <w:szCs w:val="20"/>
              </w:rPr>
            </w:pPr>
          </w:p>
        </w:tc>
        <w:tc>
          <w:tcPr>
            <w:tcW w:w="416" w:type="pct"/>
            <w:vAlign w:val="center"/>
          </w:tcPr>
          <w:p>
            <w:pPr>
              <w:rPr>
                <w:rFonts w:ascii="Times New Roman" w:hAnsi="Times New Roman" w:eastAsia="Times New Roman" w:cs="Times New Roman"/>
                <w:kern w:val="0"/>
                <w:sz w:val="20"/>
                <w:szCs w:val="20"/>
              </w:rPr>
            </w:pPr>
          </w:p>
        </w:tc>
        <w:tc>
          <w:tcPr>
            <w:tcW w:w="416" w:type="pct"/>
            <w:vAlign w:val="center"/>
          </w:tcPr>
          <w:p>
            <w:pPr>
              <w:rPr>
                <w:rFonts w:ascii="Times New Roman" w:hAnsi="Times New Roman" w:eastAsia="Times New Roman" w:cs="Times New Roman"/>
                <w:kern w:val="0"/>
                <w:sz w:val="20"/>
                <w:szCs w:val="20"/>
              </w:rPr>
            </w:pPr>
          </w:p>
        </w:tc>
        <w:tc>
          <w:tcPr>
            <w:tcW w:w="416" w:type="pct"/>
            <w:vAlign w:val="center"/>
          </w:tcPr>
          <w:p>
            <w:pPr>
              <w:rPr>
                <w:rFonts w:ascii="Times New Roman" w:hAnsi="Times New Roman" w:eastAsia="Times New Roman" w:cs="Times New Roman"/>
                <w:kern w:val="0"/>
                <w:sz w:val="20"/>
                <w:szCs w:val="20"/>
              </w:rPr>
            </w:pPr>
          </w:p>
        </w:tc>
        <w:tc>
          <w:tcPr>
            <w:tcW w:w="416" w:type="pct"/>
            <w:vAlign w:val="center"/>
          </w:tcPr>
          <w:p>
            <w:pPr>
              <w:rPr>
                <w:rFonts w:ascii="Times New Roman" w:hAnsi="Times New Roman" w:eastAsia="Times New Roman" w:cs="Times New Roman"/>
                <w:kern w:val="0"/>
                <w:sz w:val="20"/>
                <w:szCs w:val="20"/>
              </w:rPr>
            </w:pPr>
          </w:p>
        </w:tc>
        <w:tc>
          <w:tcPr>
            <w:tcW w:w="416" w:type="pct"/>
            <w:vAlign w:val="center"/>
          </w:tcPr>
          <w:p>
            <w:pPr>
              <w:rPr>
                <w:rFonts w:ascii="Times New Roman" w:hAnsi="Times New Roman" w:eastAsia="Times New Roman" w:cs="Times New Roman"/>
                <w:kern w:val="0"/>
                <w:sz w:val="20"/>
                <w:szCs w:val="20"/>
              </w:rPr>
            </w:pPr>
          </w:p>
        </w:tc>
        <w:tc>
          <w:tcPr>
            <w:tcW w:w="416" w:type="pct"/>
            <w:vAlign w:val="center"/>
          </w:tcPr>
          <w:p>
            <w:pPr>
              <w:rPr>
                <w:rFonts w:ascii="Times New Roman" w:hAnsi="Times New Roman" w:eastAsia="Times New Roman" w:cs="Times New Roman"/>
                <w:kern w:val="0"/>
                <w:sz w:val="20"/>
                <w:szCs w:val="20"/>
              </w:rPr>
            </w:pPr>
          </w:p>
        </w:tc>
        <w:tc>
          <w:tcPr>
            <w:tcW w:w="416" w:type="pct"/>
            <w:vAlign w:val="center"/>
          </w:tcPr>
          <w:p>
            <w:pPr>
              <w:rPr>
                <w:rFonts w:ascii="Times New Roman" w:hAnsi="Times New Roman" w:eastAsia="Times New Roman" w:cs="Times New Roman"/>
                <w:kern w:val="0"/>
                <w:sz w:val="20"/>
                <w:szCs w:val="20"/>
              </w:rPr>
            </w:pPr>
          </w:p>
        </w:tc>
        <w:tc>
          <w:tcPr>
            <w:tcW w:w="416" w:type="pct"/>
            <w:vAlign w:val="center"/>
          </w:tcPr>
          <w:p>
            <w:pPr>
              <w:rPr>
                <w:rFonts w:ascii="Times New Roman" w:hAnsi="Times New Roman" w:eastAsia="Times New Roman" w:cs="Times New Roman"/>
                <w:kern w:val="0"/>
                <w:sz w:val="20"/>
                <w:szCs w:val="20"/>
              </w:rPr>
            </w:pPr>
          </w:p>
        </w:tc>
        <w:tc>
          <w:tcPr>
            <w:tcW w:w="833" w:type="pct"/>
            <w:gridSpan w:val="2"/>
            <w:vAlign w:val="center"/>
          </w:tcPr>
          <w:p>
            <w:pPr>
              <w:pStyle w:val="4"/>
              <w:jc w:val="right"/>
              <w:rPr>
                <w:sz w:val="20"/>
                <w:szCs w:val="20"/>
              </w:rPr>
            </w:pPr>
            <w:r>
              <w:rPr>
                <w:sz w:val="20"/>
                <w:szCs w:val="20"/>
              </w:rPr>
              <w:t>公开07表</w:t>
            </w:r>
          </w:p>
        </w:tc>
      </w:tr>
      <w:tr>
        <w:tblPrEx>
          <w:tblCellMar>
            <w:top w:w="0" w:type="dxa"/>
            <w:left w:w="0" w:type="dxa"/>
            <w:bottom w:w="0" w:type="dxa"/>
            <w:right w:w="0" w:type="dxa"/>
          </w:tblCellMar>
        </w:tblPrEx>
        <w:trPr>
          <w:tblCellSpacing w:w="0" w:type="dxa"/>
          <w:jc w:val="center"/>
        </w:trPr>
        <w:tc>
          <w:tcPr>
            <w:tcW w:w="4166" w:type="pct"/>
            <w:gridSpan w:val="10"/>
            <w:vAlign w:val="center"/>
          </w:tcPr>
          <w:p>
            <w:pPr>
              <w:pStyle w:val="4"/>
              <w:rPr>
                <w:sz w:val="22"/>
                <w:szCs w:val="22"/>
              </w:rPr>
            </w:pPr>
            <w:r>
              <w:rPr>
                <w:sz w:val="22"/>
                <w:szCs w:val="22"/>
              </w:rPr>
              <w:t>部门：永州市冷水滩区房改办</w:t>
            </w:r>
          </w:p>
        </w:tc>
        <w:tc>
          <w:tcPr>
            <w:tcW w:w="833" w:type="pct"/>
            <w:gridSpan w:val="2"/>
            <w:vAlign w:val="center"/>
          </w:tcPr>
          <w:p>
            <w:pPr>
              <w:pStyle w:val="4"/>
              <w:jc w:val="right"/>
              <w:rPr>
                <w:sz w:val="20"/>
                <w:szCs w:val="20"/>
              </w:rPr>
            </w:pPr>
            <w:r>
              <w:rPr>
                <w:sz w:val="20"/>
                <w:szCs w:val="20"/>
              </w:rPr>
              <w:t>金额单位：万元</w:t>
            </w:r>
          </w:p>
        </w:tc>
      </w:tr>
      <w:tr>
        <w:tblPrEx>
          <w:tblCellMar>
            <w:top w:w="0" w:type="dxa"/>
            <w:left w:w="0" w:type="dxa"/>
            <w:bottom w:w="0" w:type="dxa"/>
            <w:right w:w="0" w:type="dxa"/>
          </w:tblCellMar>
        </w:tblPrEx>
        <w:trPr>
          <w:tblCellSpacing w:w="0" w:type="dxa"/>
          <w:jc w:val="center"/>
        </w:trPr>
        <w:tc>
          <w:tcPr>
            <w:tcW w:w="2500" w:type="pct"/>
            <w:gridSpan w:val="6"/>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预算数</w:t>
            </w:r>
          </w:p>
        </w:tc>
        <w:tc>
          <w:tcPr>
            <w:tcW w:w="2500" w:type="pct"/>
            <w:gridSpan w:val="6"/>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决算数</w:t>
            </w:r>
          </w:p>
        </w:tc>
      </w:tr>
      <w:tr>
        <w:tblPrEx>
          <w:tblCellMar>
            <w:top w:w="0" w:type="dxa"/>
            <w:left w:w="0" w:type="dxa"/>
            <w:bottom w:w="0" w:type="dxa"/>
            <w:right w:w="0" w:type="dxa"/>
          </w:tblCellMar>
        </w:tblPrEx>
        <w:trPr>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因公出国（境）费</w:t>
            </w:r>
          </w:p>
        </w:tc>
        <w:tc>
          <w:tcPr>
            <w:tcW w:w="1250" w:type="pct"/>
            <w:gridSpan w:val="3"/>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公务用车购置及运行费</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公务接待费</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因公出国（境）费</w:t>
            </w:r>
          </w:p>
        </w:tc>
        <w:tc>
          <w:tcPr>
            <w:tcW w:w="1250" w:type="pct"/>
            <w:gridSpan w:val="3"/>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公务用车购置及运行费</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公务接待费</w:t>
            </w:r>
          </w:p>
        </w:tc>
      </w:tr>
      <w:tr>
        <w:tblPrEx>
          <w:tblCellMar>
            <w:top w:w="0" w:type="dxa"/>
            <w:left w:w="0" w:type="dxa"/>
            <w:bottom w:w="0" w:type="dxa"/>
            <w:right w:w="0" w:type="dxa"/>
          </w:tblCellMar>
        </w:tblPrEx>
        <w:trPr>
          <w:tblCellSpacing w:w="0" w:type="dxa"/>
          <w:jc w:val="center"/>
        </w:trPr>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小计</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公务用车购置费</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公务用车运行费</w:t>
            </w: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小计</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公务用车购置费</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公务用车运行费</w:t>
            </w: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blCellSpacing w:w="0" w:type="dxa"/>
          <w:jc w:val="center"/>
        </w:trPr>
        <w:tc>
          <w:tcPr>
            <w:tcW w:w="416"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6</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7</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8</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9</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10</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11</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12</w:t>
            </w:r>
          </w:p>
        </w:tc>
      </w:tr>
      <w:tr>
        <w:tblPrEx>
          <w:tblCellMar>
            <w:top w:w="0" w:type="dxa"/>
            <w:left w:w="0" w:type="dxa"/>
            <w:bottom w:w="0" w:type="dxa"/>
            <w:right w:w="0" w:type="dxa"/>
          </w:tblCellMar>
        </w:tblPrEx>
        <w:trPr>
          <w:tblCellSpacing w:w="0" w:type="dxa"/>
          <w:jc w:val="center"/>
        </w:trPr>
        <w:tc>
          <w:tcPr>
            <w:tcW w:w="41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1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1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1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1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1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1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1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1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1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1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1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5000" w:type="pct"/>
            <w:gridSpan w:val="12"/>
            <w:vAlign w:val="center"/>
          </w:tcPr>
          <w:p>
            <w:pPr>
              <w:pStyle w:val="4"/>
              <w:rPr>
                <w:sz w:val="22"/>
                <w:szCs w:val="22"/>
              </w:rPr>
            </w:pPr>
            <w:r>
              <w:rPr>
                <w:sz w:val="22"/>
                <w:szCs w:val="22"/>
              </w:rPr>
              <w:t>注：本表反映部门本年度“三公”经费支出预决算情况。其中，预算数为“三公”经费全年预算数，反映按规定程序调整后的预算数；决算数是包括当年一般公共预算财政拨款和以前年度结转资金安排的实际支出。本单位没有一般公共预算财政拨款收入，也没有使用一般公共预算财政拨款安排的支出，故本表无数据。</w:t>
            </w:r>
          </w:p>
        </w:tc>
      </w:tr>
    </w:tbl>
    <w:p>
      <w:pPr>
        <w:spacing w:after="2"/>
        <w:jc w:val="center"/>
        <w:rPr>
          <w:color w:val="000000"/>
          <w:szCs w:val="21"/>
        </w:rPr>
      </w:pPr>
    </w:p>
    <w:tbl>
      <w:tblPr>
        <w:tblStyle w:val="5"/>
        <w:tblW w:w="5000" w:type="pct"/>
        <w:jc w:val="center"/>
        <w:tblCellSpacing w:w="0" w:type="dxa"/>
        <w:tblLayout w:type="autofit"/>
        <w:tblCellMar>
          <w:top w:w="0" w:type="dxa"/>
          <w:left w:w="0" w:type="dxa"/>
          <w:bottom w:w="0" w:type="dxa"/>
          <w:right w:w="0" w:type="dxa"/>
        </w:tblCellMar>
      </w:tblPr>
      <w:tblGrid>
        <w:gridCol w:w="333"/>
        <w:gridCol w:w="334"/>
        <w:gridCol w:w="334"/>
        <w:gridCol w:w="3458"/>
        <w:gridCol w:w="1180"/>
        <w:gridCol w:w="1969"/>
        <w:gridCol w:w="1075"/>
        <w:gridCol w:w="1527"/>
        <w:gridCol w:w="1517"/>
        <w:gridCol w:w="4311"/>
      </w:tblGrid>
      <w:tr>
        <w:tblPrEx>
          <w:tblCellMar>
            <w:top w:w="0" w:type="dxa"/>
            <w:left w:w="0" w:type="dxa"/>
            <w:bottom w:w="0" w:type="dxa"/>
            <w:right w:w="0" w:type="dxa"/>
          </w:tblCellMar>
        </w:tblPrEx>
        <w:trPr>
          <w:tblCellSpacing w:w="0" w:type="dxa"/>
          <w:jc w:val="center"/>
        </w:trPr>
        <w:tc>
          <w:tcPr>
            <w:tcW w:w="5000" w:type="pct"/>
            <w:gridSpan w:val="10"/>
            <w:vAlign w:val="center"/>
          </w:tcPr>
          <w:p>
            <w:pPr>
              <w:pStyle w:val="4"/>
              <w:jc w:val="center"/>
              <w:rPr>
                <w:sz w:val="40"/>
                <w:szCs w:val="40"/>
              </w:rPr>
            </w:pPr>
            <w:r>
              <w:rPr>
                <w:sz w:val="40"/>
                <w:szCs w:val="40"/>
              </w:rPr>
              <w:t>政府性基金预算财政拨款收入支出决算表</w:t>
            </w:r>
          </w:p>
        </w:tc>
      </w:tr>
      <w:tr>
        <w:tblPrEx>
          <w:tblCellMar>
            <w:top w:w="0" w:type="dxa"/>
            <w:left w:w="0" w:type="dxa"/>
            <w:bottom w:w="0" w:type="dxa"/>
            <w:right w:w="0" w:type="dxa"/>
          </w:tblCellMar>
        </w:tblPrEx>
        <w:trPr>
          <w:tblCellSpacing w:w="0" w:type="dxa"/>
          <w:jc w:val="center"/>
        </w:trPr>
        <w:tc>
          <w:tcPr>
            <w:tcW w:w="104" w:type="pct"/>
            <w:vAlign w:val="center"/>
          </w:tcPr>
          <w:p>
            <w:pPr>
              <w:rPr>
                <w:sz w:val="40"/>
                <w:szCs w:val="40"/>
              </w:rPr>
            </w:pPr>
          </w:p>
        </w:tc>
        <w:tc>
          <w:tcPr>
            <w:tcW w:w="104" w:type="pct"/>
            <w:vAlign w:val="center"/>
          </w:tcPr>
          <w:p>
            <w:pPr>
              <w:rPr>
                <w:rFonts w:ascii="Times New Roman" w:hAnsi="Times New Roman" w:eastAsia="Times New Roman" w:cs="Times New Roman"/>
                <w:kern w:val="0"/>
                <w:sz w:val="20"/>
                <w:szCs w:val="20"/>
              </w:rPr>
            </w:pPr>
          </w:p>
        </w:tc>
        <w:tc>
          <w:tcPr>
            <w:tcW w:w="104" w:type="pct"/>
            <w:vAlign w:val="center"/>
          </w:tcPr>
          <w:p>
            <w:pPr>
              <w:rPr>
                <w:rFonts w:ascii="Times New Roman" w:hAnsi="Times New Roman" w:eastAsia="Times New Roman" w:cs="Times New Roman"/>
                <w:kern w:val="0"/>
                <w:sz w:val="20"/>
                <w:szCs w:val="20"/>
              </w:rPr>
            </w:pPr>
          </w:p>
        </w:tc>
        <w:tc>
          <w:tcPr>
            <w:tcW w:w="1078" w:type="pct"/>
            <w:vAlign w:val="center"/>
          </w:tcPr>
          <w:p>
            <w:pPr>
              <w:rPr>
                <w:rFonts w:ascii="Times New Roman" w:hAnsi="Times New Roman" w:eastAsia="Times New Roman" w:cs="Times New Roman"/>
                <w:kern w:val="0"/>
                <w:sz w:val="20"/>
                <w:szCs w:val="20"/>
              </w:rPr>
            </w:pPr>
          </w:p>
        </w:tc>
        <w:tc>
          <w:tcPr>
            <w:tcW w:w="368" w:type="pct"/>
            <w:vAlign w:val="center"/>
          </w:tcPr>
          <w:p>
            <w:pPr>
              <w:rPr>
                <w:rFonts w:ascii="Times New Roman" w:hAnsi="Times New Roman" w:eastAsia="Times New Roman" w:cs="Times New Roman"/>
                <w:kern w:val="0"/>
                <w:sz w:val="20"/>
                <w:szCs w:val="20"/>
              </w:rPr>
            </w:pPr>
          </w:p>
        </w:tc>
        <w:tc>
          <w:tcPr>
            <w:tcW w:w="614" w:type="pct"/>
            <w:vAlign w:val="center"/>
          </w:tcPr>
          <w:p>
            <w:pPr>
              <w:rPr>
                <w:rFonts w:ascii="Times New Roman" w:hAnsi="Times New Roman" w:eastAsia="Times New Roman" w:cs="Times New Roman"/>
                <w:kern w:val="0"/>
                <w:sz w:val="20"/>
                <w:szCs w:val="20"/>
              </w:rPr>
            </w:pPr>
          </w:p>
        </w:tc>
        <w:tc>
          <w:tcPr>
            <w:tcW w:w="335" w:type="pct"/>
            <w:vAlign w:val="center"/>
          </w:tcPr>
          <w:p>
            <w:pPr>
              <w:rPr>
                <w:rFonts w:ascii="Times New Roman" w:hAnsi="Times New Roman" w:eastAsia="Times New Roman" w:cs="Times New Roman"/>
                <w:kern w:val="0"/>
                <w:sz w:val="20"/>
                <w:szCs w:val="20"/>
              </w:rPr>
            </w:pPr>
          </w:p>
        </w:tc>
        <w:tc>
          <w:tcPr>
            <w:tcW w:w="473" w:type="pct"/>
            <w:vAlign w:val="center"/>
          </w:tcPr>
          <w:p>
            <w:pPr>
              <w:rPr>
                <w:rFonts w:ascii="Times New Roman" w:hAnsi="Times New Roman" w:eastAsia="Times New Roman" w:cs="Times New Roman"/>
                <w:kern w:val="0"/>
                <w:sz w:val="20"/>
                <w:szCs w:val="20"/>
              </w:rPr>
            </w:pPr>
          </w:p>
        </w:tc>
        <w:tc>
          <w:tcPr>
            <w:tcW w:w="1816" w:type="pct"/>
            <w:gridSpan w:val="2"/>
            <w:vAlign w:val="center"/>
          </w:tcPr>
          <w:p>
            <w:pPr>
              <w:pStyle w:val="4"/>
              <w:jc w:val="right"/>
              <w:rPr>
                <w:sz w:val="20"/>
                <w:szCs w:val="20"/>
              </w:rPr>
            </w:pPr>
            <w:r>
              <w:rPr>
                <w:sz w:val="20"/>
                <w:szCs w:val="20"/>
              </w:rPr>
              <w:t>公开08表</w:t>
            </w:r>
          </w:p>
        </w:tc>
      </w:tr>
      <w:tr>
        <w:tblPrEx>
          <w:tblCellMar>
            <w:top w:w="0" w:type="dxa"/>
            <w:left w:w="0" w:type="dxa"/>
            <w:bottom w:w="0" w:type="dxa"/>
            <w:right w:w="0" w:type="dxa"/>
          </w:tblCellMar>
        </w:tblPrEx>
        <w:trPr>
          <w:tblCellSpacing w:w="0" w:type="dxa"/>
          <w:jc w:val="center"/>
        </w:trPr>
        <w:tc>
          <w:tcPr>
            <w:tcW w:w="3183" w:type="pct"/>
            <w:gridSpan w:val="8"/>
            <w:vAlign w:val="center"/>
          </w:tcPr>
          <w:p>
            <w:pPr>
              <w:pStyle w:val="4"/>
              <w:rPr>
                <w:sz w:val="22"/>
                <w:szCs w:val="22"/>
              </w:rPr>
            </w:pPr>
            <w:r>
              <w:rPr>
                <w:sz w:val="22"/>
                <w:szCs w:val="22"/>
              </w:rPr>
              <w:t>部门：永州市冷水滩区房改办</w:t>
            </w:r>
          </w:p>
        </w:tc>
        <w:tc>
          <w:tcPr>
            <w:tcW w:w="1816" w:type="pct"/>
            <w:gridSpan w:val="2"/>
            <w:vAlign w:val="center"/>
          </w:tcPr>
          <w:p>
            <w:pPr>
              <w:pStyle w:val="4"/>
              <w:jc w:val="right"/>
              <w:rPr>
                <w:sz w:val="20"/>
                <w:szCs w:val="20"/>
              </w:rPr>
            </w:pPr>
            <w:r>
              <w:rPr>
                <w:sz w:val="20"/>
                <w:szCs w:val="20"/>
              </w:rPr>
              <w:t>金额单位：万元</w:t>
            </w:r>
          </w:p>
        </w:tc>
      </w:tr>
      <w:tr>
        <w:tblPrEx>
          <w:tblCellMar>
            <w:top w:w="0" w:type="dxa"/>
            <w:left w:w="0" w:type="dxa"/>
            <w:bottom w:w="0" w:type="dxa"/>
            <w:right w:w="0" w:type="dxa"/>
          </w:tblCellMar>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年初结转和结余</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本年收入</w:t>
            </w:r>
          </w:p>
        </w:tc>
        <w:tc>
          <w:tcPr>
            <w:tcW w:w="1281" w:type="pct"/>
            <w:gridSpan w:val="3"/>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本年支出</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年末结转和结余</w:t>
            </w:r>
          </w:p>
        </w:tc>
      </w:tr>
      <w:tr>
        <w:tblPrEx>
          <w:tblCellMar>
            <w:top w:w="0" w:type="dxa"/>
            <w:left w:w="0" w:type="dxa"/>
            <w:bottom w:w="0" w:type="dxa"/>
            <w:right w:w="0" w:type="dxa"/>
          </w:tblCellMar>
        </w:tblPrEx>
        <w:trPr>
          <w:trHeight w:val="285" w:hRule="atLeast"/>
          <w:tblCellSpacing w:w="0" w:type="dxa"/>
          <w:jc w:val="center"/>
        </w:trPr>
        <w:tc>
          <w:tcPr>
            <w:tcW w:w="312" w:type="pct"/>
            <w:gridSpan w:val="3"/>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科目名称</w:t>
            </w: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小计</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项目支出</w:t>
            </w: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rHeight w:val="285" w:hRule="atLeast"/>
          <w:tblCellSpacing w:w="0" w:type="dxa"/>
          <w:jc w:val="center"/>
        </w:trPr>
        <w:tc>
          <w:tcPr>
            <w:tcW w:w="0" w:type="auto"/>
            <w:gridSpan w:val="3"/>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rHeight w:val="285" w:hRule="atLeast"/>
          <w:tblCellSpacing w:w="0" w:type="dxa"/>
          <w:jc w:val="center"/>
        </w:trPr>
        <w:tc>
          <w:tcPr>
            <w:tcW w:w="0" w:type="auto"/>
            <w:gridSpan w:val="3"/>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栏次</w:t>
            </w:r>
          </w:p>
        </w:tc>
        <w:tc>
          <w:tcPr>
            <w:tcW w:w="368"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w:t>
            </w:r>
          </w:p>
        </w:tc>
        <w:tc>
          <w:tcPr>
            <w:tcW w:w="614"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w:t>
            </w:r>
          </w:p>
        </w:tc>
        <w:tc>
          <w:tcPr>
            <w:tcW w:w="33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w:t>
            </w:r>
          </w:p>
        </w:tc>
        <w:tc>
          <w:tcPr>
            <w:tcW w:w="473"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w:t>
            </w:r>
          </w:p>
        </w:tc>
        <w:tc>
          <w:tcPr>
            <w:tcW w:w="473"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w:t>
            </w:r>
          </w:p>
        </w:tc>
        <w:tc>
          <w:tcPr>
            <w:tcW w:w="1343"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6</w:t>
            </w:r>
          </w:p>
        </w:tc>
      </w:tr>
      <w:tr>
        <w:tblPrEx>
          <w:tblCellMar>
            <w:top w:w="0" w:type="dxa"/>
            <w:left w:w="0" w:type="dxa"/>
            <w:bottom w:w="0" w:type="dxa"/>
            <w:right w:w="0" w:type="dxa"/>
          </w:tblCellMar>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合计</w:t>
            </w:r>
          </w:p>
        </w:tc>
        <w:tc>
          <w:tcPr>
            <w:tcW w:w="36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61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35"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3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07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6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61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35"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3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07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6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61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35"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3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07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6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61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35"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3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07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6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61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35"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3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07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6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61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35"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3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07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6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61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35"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3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5000" w:type="pct"/>
            <w:gridSpan w:val="10"/>
            <w:vAlign w:val="center"/>
          </w:tcPr>
          <w:p>
            <w:pPr>
              <w:pStyle w:val="4"/>
              <w:rPr>
                <w:sz w:val="22"/>
                <w:szCs w:val="22"/>
              </w:rPr>
            </w:pPr>
            <w:r>
              <w:rPr>
                <w:sz w:val="22"/>
                <w:szCs w:val="22"/>
              </w:rPr>
              <w:t>注：本表反映部门本年度政府性基金预算财政拨款收入、支出及结转和结余情况。本单位没有政府性基金收入，也没有使用政府性基金安排的支出，故本表无数据。</w:t>
            </w:r>
          </w:p>
        </w:tc>
      </w:tr>
    </w:tbl>
    <w:p>
      <w:pPr>
        <w:spacing w:after="2"/>
        <w:jc w:val="center"/>
        <w:rPr>
          <w:color w:val="000000"/>
          <w:szCs w:val="21"/>
        </w:rPr>
      </w:pPr>
    </w:p>
    <w:tbl>
      <w:tblPr>
        <w:tblStyle w:val="5"/>
        <w:tblW w:w="5000" w:type="pct"/>
        <w:jc w:val="center"/>
        <w:tblCellSpacing w:w="0" w:type="dxa"/>
        <w:tblLayout w:type="autofit"/>
        <w:tblCellMar>
          <w:top w:w="0" w:type="dxa"/>
          <w:left w:w="0" w:type="dxa"/>
          <w:bottom w:w="0" w:type="dxa"/>
          <w:right w:w="0" w:type="dxa"/>
        </w:tblCellMar>
      </w:tblPr>
      <w:tblGrid>
        <w:gridCol w:w="529"/>
        <w:gridCol w:w="529"/>
        <w:gridCol w:w="532"/>
        <w:gridCol w:w="6329"/>
        <w:gridCol w:w="2707"/>
        <w:gridCol w:w="2704"/>
        <w:gridCol w:w="2708"/>
      </w:tblGrid>
      <w:tr>
        <w:tblPrEx>
          <w:tblCellMar>
            <w:top w:w="0" w:type="dxa"/>
            <w:left w:w="0" w:type="dxa"/>
            <w:bottom w:w="0" w:type="dxa"/>
            <w:right w:w="0" w:type="dxa"/>
          </w:tblCellMar>
        </w:tblPrEx>
        <w:trPr>
          <w:tblCellSpacing w:w="0" w:type="dxa"/>
          <w:jc w:val="center"/>
        </w:trPr>
        <w:tc>
          <w:tcPr>
            <w:tcW w:w="5000" w:type="pct"/>
            <w:gridSpan w:val="7"/>
            <w:vAlign w:val="center"/>
          </w:tcPr>
          <w:p>
            <w:pPr>
              <w:pStyle w:val="4"/>
              <w:jc w:val="center"/>
              <w:rPr>
                <w:sz w:val="40"/>
                <w:szCs w:val="40"/>
              </w:rPr>
            </w:pPr>
            <w:r>
              <w:rPr>
                <w:sz w:val="40"/>
                <w:szCs w:val="40"/>
              </w:rPr>
              <w:t>国有资本经营预算财政拨款支出决算表</w:t>
            </w:r>
          </w:p>
        </w:tc>
      </w:tr>
      <w:tr>
        <w:tblPrEx>
          <w:tblCellMar>
            <w:top w:w="0" w:type="dxa"/>
            <w:left w:w="0" w:type="dxa"/>
            <w:bottom w:w="0" w:type="dxa"/>
            <w:right w:w="0" w:type="dxa"/>
          </w:tblCellMar>
        </w:tblPrEx>
        <w:trPr>
          <w:tblCellSpacing w:w="0" w:type="dxa"/>
          <w:jc w:val="center"/>
        </w:trPr>
        <w:tc>
          <w:tcPr>
            <w:tcW w:w="165" w:type="pct"/>
            <w:vAlign w:val="center"/>
          </w:tcPr>
          <w:p>
            <w:pPr>
              <w:rPr>
                <w:sz w:val="40"/>
                <w:szCs w:val="40"/>
              </w:rPr>
            </w:pPr>
          </w:p>
        </w:tc>
        <w:tc>
          <w:tcPr>
            <w:tcW w:w="165" w:type="pct"/>
            <w:vAlign w:val="center"/>
          </w:tcPr>
          <w:p>
            <w:pPr>
              <w:rPr>
                <w:rFonts w:ascii="Times New Roman" w:hAnsi="Times New Roman" w:eastAsia="Times New Roman" w:cs="Times New Roman"/>
                <w:kern w:val="0"/>
                <w:sz w:val="20"/>
                <w:szCs w:val="20"/>
              </w:rPr>
            </w:pPr>
          </w:p>
        </w:tc>
        <w:tc>
          <w:tcPr>
            <w:tcW w:w="165" w:type="pct"/>
            <w:vAlign w:val="center"/>
          </w:tcPr>
          <w:p>
            <w:pPr>
              <w:rPr>
                <w:rFonts w:ascii="Times New Roman" w:hAnsi="Times New Roman" w:eastAsia="Times New Roman" w:cs="Times New Roman"/>
                <w:kern w:val="0"/>
                <w:sz w:val="20"/>
                <w:szCs w:val="20"/>
              </w:rPr>
            </w:pPr>
          </w:p>
        </w:tc>
        <w:tc>
          <w:tcPr>
            <w:tcW w:w="1972" w:type="pct"/>
            <w:vAlign w:val="center"/>
          </w:tcPr>
          <w:p>
            <w:pPr>
              <w:rPr>
                <w:rFonts w:ascii="Times New Roman" w:hAnsi="Times New Roman" w:eastAsia="Times New Roman" w:cs="Times New Roman"/>
                <w:kern w:val="0"/>
                <w:sz w:val="20"/>
                <w:szCs w:val="20"/>
              </w:rPr>
            </w:pPr>
          </w:p>
        </w:tc>
        <w:tc>
          <w:tcPr>
            <w:tcW w:w="843" w:type="pct"/>
            <w:vAlign w:val="center"/>
          </w:tcPr>
          <w:p>
            <w:pPr>
              <w:rPr>
                <w:rFonts w:ascii="Times New Roman" w:hAnsi="Times New Roman" w:eastAsia="Times New Roman" w:cs="Times New Roman"/>
                <w:kern w:val="0"/>
                <w:sz w:val="20"/>
                <w:szCs w:val="20"/>
              </w:rPr>
            </w:pPr>
          </w:p>
        </w:tc>
        <w:tc>
          <w:tcPr>
            <w:tcW w:w="1686" w:type="pct"/>
            <w:gridSpan w:val="2"/>
            <w:vAlign w:val="center"/>
          </w:tcPr>
          <w:p>
            <w:pPr>
              <w:pStyle w:val="4"/>
              <w:jc w:val="right"/>
              <w:rPr>
                <w:sz w:val="20"/>
                <w:szCs w:val="20"/>
              </w:rPr>
            </w:pPr>
            <w:r>
              <w:rPr>
                <w:sz w:val="20"/>
                <w:szCs w:val="20"/>
              </w:rPr>
              <w:t>公开09表</w:t>
            </w:r>
          </w:p>
        </w:tc>
      </w:tr>
      <w:tr>
        <w:tblPrEx>
          <w:tblCellMar>
            <w:top w:w="0" w:type="dxa"/>
            <w:left w:w="0" w:type="dxa"/>
            <w:bottom w:w="0" w:type="dxa"/>
            <w:right w:w="0" w:type="dxa"/>
          </w:tblCellMar>
        </w:tblPrEx>
        <w:trPr>
          <w:tblCellSpacing w:w="0" w:type="dxa"/>
          <w:jc w:val="center"/>
        </w:trPr>
        <w:tc>
          <w:tcPr>
            <w:tcW w:w="3313" w:type="pct"/>
            <w:gridSpan w:val="5"/>
            <w:vAlign w:val="center"/>
          </w:tcPr>
          <w:p>
            <w:pPr>
              <w:pStyle w:val="4"/>
              <w:rPr>
                <w:sz w:val="22"/>
                <w:szCs w:val="22"/>
              </w:rPr>
            </w:pPr>
            <w:r>
              <w:rPr>
                <w:sz w:val="22"/>
                <w:szCs w:val="22"/>
              </w:rPr>
              <w:t>部门：永州市冷水滩区房改办</w:t>
            </w:r>
          </w:p>
        </w:tc>
        <w:tc>
          <w:tcPr>
            <w:tcW w:w="1686" w:type="pct"/>
            <w:gridSpan w:val="2"/>
            <w:vAlign w:val="center"/>
          </w:tcPr>
          <w:p>
            <w:pPr>
              <w:pStyle w:val="4"/>
              <w:jc w:val="right"/>
              <w:rPr>
                <w:sz w:val="20"/>
                <w:szCs w:val="20"/>
              </w:rPr>
            </w:pPr>
            <w:r>
              <w:rPr>
                <w:sz w:val="20"/>
                <w:szCs w:val="20"/>
              </w:rPr>
              <w:t>金额单位：万元</w:t>
            </w:r>
          </w:p>
        </w:tc>
      </w:tr>
      <w:tr>
        <w:tblPrEx>
          <w:tblCellMar>
            <w:top w:w="0" w:type="dxa"/>
            <w:left w:w="0" w:type="dxa"/>
            <w:bottom w:w="0" w:type="dxa"/>
            <w:right w:w="0" w:type="dxa"/>
          </w:tblCellMar>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项目</w:t>
            </w:r>
          </w:p>
        </w:tc>
        <w:tc>
          <w:tcPr>
            <w:tcW w:w="2530" w:type="pct"/>
            <w:gridSpan w:val="3"/>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本年支出</w:t>
            </w:r>
          </w:p>
        </w:tc>
      </w:tr>
      <w:tr>
        <w:tblPrEx>
          <w:tblCellMar>
            <w:top w:w="0" w:type="dxa"/>
            <w:left w:w="0" w:type="dxa"/>
            <w:bottom w:w="0" w:type="dxa"/>
            <w:right w:w="0" w:type="dxa"/>
          </w:tblCellMar>
        </w:tblPrEx>
        <w:trPr>
          <w:trHeight w:val="285" w:hRule="atLeast"/>
          <w:tblCellSpacing w:w="0" w:type="dxa"/>
          <w:jc w:val="center"/>
        </w:trPr>
        <w:tc>
          <w:tcPr>
            <w:tcW w:w="496" w:type="pct"/>
            <w:gridSpan w:val="3"/>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项目支出</w:t>
            </w:r>
          </w:p>
        </w:tc>
      </w:tr>
      <w:tr>
        <w:tblPrEx>
          <w:tblCellMar>
            <w:top w:w="0" w:type="dxa"/>
            <w:left w:w="0" w:type="dxa"/>
            <w:bottom w:w="0" w:type="dxa"/>
            <w:right w:w="0" w:type="dxa"/>
          </w:tblCellMar>
        </w:tblPrEx>
        <w:trPr>
          <w:trHeight w:val="285" w:hRule="atLeast"/>
          <w:tblCellSpacing w:w="0" w:type="dxa"/>
          <w:jc w:val="center"/>
        </w:trPr>
        <w:tc>
          <w:tcPr>
            <w:tcW w:w="0" w:type="auto"/>
            <w:gridSpan w:val="3"/>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rHeight w:val="285" w:hRule="atLeast"/>
          <w:tblCellSpacing w:w="0" w:type="dxa"/>
          <w:jc w:val="center"/>
        </w:trPr>
        <w:tc>
          <w:tcPr>
            <w:tcW w:w="0" w:type="auto"/>
            <w:gridSpan w:val="3"/>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栏次</w:t>
            </w:r>
          </w:p>
        </w:tc>
        <w:tc>
          <w:tcPr>
            <w:tcW w:w="843"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w:t>
            </w:r>
          </w:p>
        </w:tc>
        <w:tc>
          <w:tcPr>
            <w:tcW w:w="843"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w:t>
            </w:r>
          </w:p>
        </w:tc>
        <w:tc>
          <w:tcPr>
            <w:tcW w:w="843"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w:t>
            </w:r>
          </w:p>
        </w:tc>
      </w:tr>
      <w:tr>
        <w:tblPrEx>
          <w:tblCellMar>
            <w:top w:w="0" w:type="dxa"/>
            <w:left w:w="0" w:type="dxa"/>
            <w:bottom w:w="0" w:type="dxa"/>
            <w:right w:w="0" w:type="dxa"/>
          </w:tblCellMar>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合计</w:t>
            </w:r>
          </w:p>
        </w:tc>
        <w:tc>
          <w:tcPr>
            <w:tcW w:w="843"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97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97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97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97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97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97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5000" w:type="pct"/>
            <w:gridSpan w:val="7"/>
            <w:vAlign w:val="center"/>
          </w:tcPr>
          <w:p>
            <w:pPr>
              <w:pStyle w:val="4"/>
              <w:rPr>
                <w:sz w:val="22"/>
                <w:szCs w:val="22"/>
              </w:rPr>
            </w:pPr>
            <w:r>
              <w:rPr>
                <w:sz w:val="22"/>
                <w:szCs w:val="22"/>
              </w:rPr>
              <w:t>注：本表反映部门本年度国有资本经营预算财政拨款支出情况。本单位没有国有资本经营预算财政拨款收入，也没有使用国有资本经营预算财政拨款安排的支出，故本表无数据。</w:t>
            </w:r>
          </w:p>
        </w:tc>
      </w:tr>
    </w:tbl>
    <w:p>
      <w:pPr>
        <w:widowControl/>
        <w:jc w:val="left"/>
        <w:rPr>
          <w:rFonts w:ascii="宋体" w:hAnsi="宋体" w:eastAsia="宋体" w:cs="宋体"/>
          <w:color w:val="000000"/>
          <w:kern w:val="0"/>
          <w:sz w:val="32"/>
          <w:szCs w:val="32"/>
        </w:rPr>
        <w:sectPr>
          <w:pgSz w:w="16838" w:h="11906"/>
          <w:pgMar w:top="1080" w:right="400" w:bottom="1080" w:left="400" w:header="851" w:footer="992" w:gutter="0"/>
          <w:cols w:space="720" w:num="1"/>
          <w:docGrid w:type="lines" w:linePitch="160" w:charSpace="0"/>
        </w:sectPr>
      </w:pPr>
    </w:p>
    <w:p>
      <w:pPr>
        <w:spacing w:after="2"/>
        <w:jc w:val="center"/>
        <w:rPr>
          <w:color w:val="000000"/>
          <w:szCs w:val="21"/>
        </w:rPr>
      </w:pPr>
      <w:r>
        <w:rPr>
          <w:rFonts w:hint="eastAsia" w:ascii="宋体" w:hAnsi="宋体" w:eastAsia="宋体"/>
          <w:b/>
          <w:bCs/>
          <w:color w:val="000000"/>
          <w:sz w:val="36"/>
          <w:szCs w:val="36"/>
        </w:rPr>
        <w:t>第三部分 2021年度部门决算情况说明</w:t>
      </w:r>
      <w:r>
        <w:rPr>
          <w:rFonts w:hint="eastAsia"/>
          <w:color w:val="000000"/>
          <w:szCs w:val="21"/>
        </w:rPr>
        <w:t xml:space="preserve"> </w:t>
      </w:r>
    </w:p>
    <w:p>
      <w:pPr>
        <w:rPr>
          <w:color w:val="000000"/>
        </w:rPr>
      </w:pPr>
    </w:p>
    <w:p>
      <w:pPr>
        <w:pStyle w:val="10"/>
        <w:spacing w:after="2"/>
        <w:ind w:firstLine="641"/>
        <w:rPr>
          <w:color w:val="000000"/>
          <w:sz w:val="27"/>
          <w:szCs w:val="27"/>
        </w:rPr>
      </w:pPr>
      <w:r>
        <w:rPr>
          <w:rFonts w:hint="eastAsia" w:ascii="宋体" w:hAnsi="宋体" w:eastAsia="宋体"/>
          <w:b/>
          <w:bCs/>
          <w:color w:val="000000"/>
          <w:sz w:val="32"/>
          <w:szCs w:val="32"/>
        </w:rPr>
        <w:t>一、收入支出决算总体情况说明</w:t>
      </w:r>
      <w:r>
        <w:rPr>
          <w:rFonts w:hint="eastAsia"/>
          <w:color w:val="000000"/>
          <w:sz w:val="27"/>
          <w:szCs w:val="27"/>
        </w:rPr>
        <w:t xml:space="preserve"> </w:t>
      </w:r>
    </w:p>
    <w:p>
      <w:pPr>
        <w:pStyle w:val="10"/>
        <w:spacing w:after="2"/>
        <w:ind w:firstLine="641"/>
        <w:rPr>
          <w:color w:val="000000"/>
          <w:sz w:val="27"/>
          <w:szCs w:val="27"/>
        </w:rPr>
      </w:pPr>
      <w:r>
        <w:rPr>
          <w:rFonts w:hint="eastAsia" w:ascii="宋体" w:hAnsi="宋体" w:eastAsia="宋体"/>
          <w:color w:val="000000"/>
          <w:sz w:val="32"/>
          <w:szCs w:val="32"/>
        </w:rPr>
        <w:t>2021年度收、支总计46.66万元。与上一年度相比，收、支总计各减少6.34万元，下降11.96%。主要是因为</w:t>
      </w:r>
      <w:r>
        <w:rPr>
          <w:rStyle w:val="12"/>
          <w:rFonts w:hint="eastAsia" w:ascii="宋体" w:hAnsi="宋体" w:eastAsia="宋体"/>
          <w:color w:val="000000"/>
          <w:sz w:val="32"/>
          <w:szCs w:val="32"/>
        </w:rPr>
        <w:t>厉行节约，减少各项费用支出</w:t>
      </w:r>
      <w:r>
        <w:rPr>
          <w:rFonts w:hint="eastAsia" w:ascii="宋体" w:hAnsi="宋体" w:eastAsia="宋体"/>
          <w:color w:val="000000"/>
          <w:sz w:val="32"/>
          <w:szCs w:val="32"/>
        </w:rPr>
        <w:t>。</w:t>
      </w:r>
      <w:r>
        <w:rPr>
          <w:rFonts w:hint="eastAsia"/>
          <w:color w:val="000000"/>
          <w:sz w:val="27"/>
          <w:szCs w:val="27"/>
        </w:rPr>
        <w:t xml:space="preserve"> </w:t>
      </w:r>
    </w:p>
    <w:p>
      <w:pPr>
        <w:pStyle w:val="10"/>
        <w:spacing w:after="2"/>
        <w:ind w:firstLine="641"/>
        <w:rPr>
          <w:color w:val="000000"/>
          <w:sz w:val="27"/>
          <w:szCs w:val="27"/>
        </w:rPr>
      </w:pPr>
      <w:r>
        <w:rPr>
          <w:rFonts w:hint="eastAsia" w:ascii="宋体" w:hAnsi="宋体" w:eastAsia="宋体"/>
          <w:b/>
          <w:bCs/>
          <w:color w:val="000000"/>
          <w:sz w:val="32"/>
          <w:szCs w:val="32"/>
        </w:rPr>
        <w:t>二、收入决算情况说明</w:t>
      </w:r>
      <w:r>
        <w:rPr>
          <w:rFonts w:hint="eastAsia"/>
          <w:color w:val="000000"/>
          <w:sz w:val="27"/>
          <w:szCs w:val="27"/>
        </w:rPr>
        <w:t xml:space="preserve"> </w:t>
      </w:r>
    </w:p>
    <w:p>
      <w:pPr>
        <w:pStyle w:val="10"/>
        <w:spacing w:after="2"/>
        <w:ind w:firstLine="640"/>
        <w:rPr>
          <w:color w:val="000000"/>
          <w:sz w:val="27"/>
          <w:szCs w:val="27"/>
        </w:rPr>
      </w:pPr>
      <w:r>
        <w:rPr>
          <w:rFonts w:hint="eastAsia" w:ascii="宋体" w:hAnsi="宋体" w:eastAsia="宋体"/>
          <w:color w:val="000000"/>
          <w:sz w:val="32"/>
          <w:szCs w:val="32"/>
        </w:rPr>
        <w:t>2021年度收入合计46.66万元，其中：财政拨款收入46.66万元，占100%；上级补助收入0万元，占0%；事业收入0万元，占0%；经营收入0万元，占0%；附属单位上缴收入0万元，占0%；其他收入0万元，占0%。</w:t>
      </w:r>
      <w:r>
        <w:rPr>
          <w:rFonts w:hint="eastAsia"/>
          <w:color w:val="000000"/>
          <w:sz w:val="27"/>
          <w:szCs w:val="27"/>
        </w:rPr>
        <w:t xml:space="preserve"> </w:t>
      </w:r>
    </w:p>
    <w:p>
      <w:pPr>
        <w:pStyle w:val="10"/>
        <w:spacing w:after="2"/>
        <w:ind w:firstLine="641"/>
        <w:rPr>
          <w:color w:val="000000"/>
          <w:sz w:val="27"/>
          <w:szCs w:val="27"/>
        </w:rPr>
      </w:pPr>
      <w:r>
        <w:rPr>
          <w:rFonts w:hint="eastAsia" w:ascii="宋体" w:hAnsi="宋体" w:eastAsia="宋体"/>
          <w:b/>
          <w:bCs/>
          <w:color w:val="000000"/>
          <w:sz w:val="32"/>
          <w:szCs w:val="32"/>
        </w:rPr>
        <w:t>三、支出决算情况说明</w:t>
      </w:r>
      <w:r>
        <w:rPr>
          <w:rFonts w:hint="eastAsia"/>
          <w:color w:val="000000"/>
          <w:sz w:val="27"/>
          <w:szCs w:val="27"/>
        </w:rPr>
        <w:t xml:space="preserve"> </w:t>
      </w:r>
    </w:p>
    <w:p>
      <w:pPr>
        <w:pStyle w:val="10"/>
        <w:spacing w:after="2"/>
        <w:ind w:firstLine="640"/>
        <w:rPr>
          <w:color w:val="000000"/>
          <w:sz w:val="27"/>
          <w:szCs w:val="27"/>
        </w:rPr>
      </w:pPr>
      <w:r>
        <w:rPr>
          <w:rFonts w:hint="eastAsia" w:ascii="宋体" w:hAnsi="宋体" w:eastAsia="宋体"/>
          <w:color w:val="000000"/>
          <w:sz w:val="32"/>
          <w:szCs w:val="32"/>
        </w:rPr>
        <w:t>2021年度支出合计46.66万元，其中：基本支出46.66万元，占100%；项目支出0万元，占0%；上缴上级支出0万元，占0%；经营支出0万元，占0%；对附属单位补助支出0万元，占0%。</w:t>
      </w:r>
      <w:r>
        <w:rPr>
          <w:rFonts w:hint="eastAsia"/>
          <w:color w:val="000000"/>
          <w:sz w:val="27"/>
          <w:szCs w:val="27"/>
        </w:rPr>
        <w:t xml:space="preserve"> </w:t>
      </w:r>
    </w:p>
    <w:p>
      <w:pPr>
        <w:pStyle w:val="10"/>
        <w:spacing w:after="2"/>
        <w:ind w:firstLine="641"/>
        <w:rPr>
          <w:color w:val="000000"/>
          <w:sz w:val="27"/>
          <w:szCs w:val="27"/>
        </w:rPr>
      </w:pPr>
      <w:r>
        <w:rPr>
          <w:rFonts w:hint="eastAsia" w:ascii="宋体" w:hAnsi="宋体" w:eastAsia="宋体"/>
          <w:b/>
          <w:bCs/>
          <w:color w:val="000000"/>
          <w:sz w:val="32"/>
          <w:szCs w:val="32"/>
        </w:rPr>
        <w:t>四、财政拨款收入支出决算总体情况说明</w:t>
      </w:r>
      <w:r>
        <w:rPr>
          <w:rFonts w:hint="eastAsia"/>
          <w:color w:val="000000"/>
          <w:sz w:val="27"/>
          <w:szCs w:val="27"/>
        </w:rPr>
        <w:t xml:space="preserve"> </w:t>
      </w:r>
    </w:p>
    <w:p>
      <w:pPr>
        <w:pStyle w:val="10"/>
        <w:spacing w:after="2"/>
        <w:ind w:firstLine="640"/>
        <w:rPr>
          <w:color w:val="000000"/>
          <w:sz w:val="27"/>
          <w:szCs w:val="27"/>
        </w:rPr>
      </w:pPr>
      <w:r>
        <w:rPr>
          <w:rFonts w:hint="eastAsia" w:ascii="宋体" w:hAnsi="宋体" w:eastAsia="宋体"/>
          <w:color w:val="000000"/>
          <w:sz w:val="32"/>
          <w:szCs w:val="32"/>
        </w:rPr>
        <w:t>2021年度财政拨款收、支总计46.66万元。与上一年度相比，财政拨款收、支总计各减少6.34万元，下降11.96%。主要是因为</w:t>
      </w:r>
      <w:r>
        <w:rPr>
          <w:rStyle w:val="12"/>
          <w:rFonts w:hint="eastAsia" w:ascii="宋体" w:hAnsi="宋体" w:eastAsia="宋体"/>
          <w:color w:val="000000"/>
          <w:sz w:val="32"/>
          <w:szCs w:val="32"/>
        </w:rPr>
        <w:t>厉行节约，减少各项费用支出</w:t>
      </w:r>
      <w:r>
        <w:rPr>
          <w:rFonts w:hint="eastAsia" w:ascii="宋体" w:hAnsi="宋体" w:eastAsia="宋体"/>
          <w:color w:val="000000"/>
          <w:sz w:val="32"/>
          <w:szCs w:val="32"/>
        </w:rPr>
        <w:t>。</w:t>
      </w:r>
      <w:r>
        <w:rPr>
          <w:rFonts w:hint="eastAsia"/>
          <w:color w:val="000000"/>
          <w:sz w:val="27"/>
          <w:szCs w:val="27"/>
        </w:rPr>
        <w:t xml:space="preserve"> </w:t>
      </w:r>
    </w:p>
    <w:p>
      <w:pPr>
        <w:pStyle w:val="10"/>
        <w:spacing w:after="2"/>
        <w:ind w:firstLine="641"/>
        <w:rPr>
          <w:color w:val="000000"/>
          <w:sz w:val="27"/>
          <w:szCs w:val="27"/>
        </w:rPr>
      </w:pPr>
      <w:r>
        <w:rPr>
          <w:rFonts w:hint="eastAsia" w:ascii="宋体" w:hAnsi="宋体" w:eastAsia="宋体"/>
          <w:b/>
          <w:bCs/>
          <w:color w:val="000000"/>
          <w:sz w:val="32"/>
          <w:szCs w:val="32"/>
        </w:rPr>
        <w:t>五、一般公共预算财政拨款支出决算情况说明</w:t>
      </w:r>
      <w:r>
        <w:rPr>
          <w:rFonts w:hint="eastAsia"/>
          <w:color w:val="000000"/>
          <w:sz w:val="27"/>
          <w:szCs w:val="27"/>
        </w:rPr>
        <w:t xml:space="preserve"> </w:t>
      </w:r>
    </w:p>
    <w:p>
      <w:pPr>
        <w:pStyle w:val="10"/>
        <w:spacing w:after="2"/>
        <w:ind w:firstLine="641"/>
        <w:rPr>
          <w:color w:val="000000"/>
          <w:sz w:val="27"/>
          <w:szCs w:val="27"/>
        </w:rPr>
      </w:pPr>
      <w:r>
        <w:rPr>
          <w:rFonts w:hint="eastAsia" w:ascii="宋体" w:hAnsi="宋体" w:eastAsia="宋体"/>
          <w:b/>
          <w:bCs/>
          <w:color w:val="000000"/>
          <w:sz w:val="32"/>
          <w:szCs w:val="32"/>
        </w:rPr>
        <w:t>（一）财政拨款支出决算总体情况</w:t>
      </w:r>
      <w:r>
        <w:rPr>
          <w:rFonts w:hint="eastAsia"/>
          <w:color w:val="000000"/>
          <w:sz w:val="27"/>
          <w:szCs w:val="27"/>
        </w:rPr>
        <w:t xml:space="preserve"> </w:t>
      </w:r>
    </w:p>
    <w:p>
      <w:pPr>
        <w:pStyle w:val="10"/>
        <w:spacing w:after="2"/>
        <w:ind w:firstLine="855"/>
        <w:rPr>
          <w:rFonts w:ascii="宋体" w:hAnsi="宋体" w:eastAsia="宋体"/>
          <w:color w:val="000000"/>
          <w:sz w:val="32"/>
          <w:szCs w:val="32"/>
        </w:rPr>
      </w:pPr>
      <w:r>
        <w:rPr>
          <w:rFonts w:hint="eastAsia" w:ascii="宋体" w:hAnsi="宋体" w:eastAsia="宋体"/>
          <w:color w:val="000000"/>
          <w:sz w:val="32"/>
          <w:szCs w:val="32"/>
        </w:rPr>
        <w:t>2021年度财政拨款支出46.66万元，占本年支出合计的100%。与上一年度相比，财政拨款支出减少6.34万元，下降11.96%。主要是因为</w:t>
      </w:r>
      <w:r>
        <w:rPr>
          <w:rStyle w:val="12"/>
          <w:rFonts w:hint="eastAsia" w:ascii="宋体" w:hAnsi="宋体" w:eastAsia="宋体"/>
          <w:color w:val="000000"/>
          <w:sz w:val="32"/>
          <w:szCs w:val="32"/>
        </w:rPr>
        <w:t>厉行节约，减少各项费用支出</w:t>
      </w:r>
      <w:r>
        <w:rPr>
          <w:rFonts w:hint="eastAsia" w:ascii="宋体" w:hAnsi="宋体" w:eastAsia="宋体"/>
          <w:color w:val="000000"/>
          <w:sz w:val="32"/>
          <w:szCs w:val="32"/>
        </w:rPr>
        <w:t xml:space="preserve">。 </w:t>
      </w:r>
    </w:p>
    <w:p>
      <w:pPr>
        <w:pStyle w:val="10"/>
        <w:spacing w:after="2"/>
        <w:ind w:firstLine="641"/>
        <w:rPr>
          <w:color w:val="000000"/>
          <w:sz w:val="27"/>
          <w:szCs w:val="27"/>
        </w:rPr>
      </w:pPr>
      <w:r>
        <w:rPr>
          <w:rFonts w:hint="eastAsia" w:ascii="宋体" w:hAnsi="宋体" w:eastAsia="宋体"/>
          <w:b/>
          <w:bCs/>
          <w:color w:val="000000"/>
          <w:sz w:val="32"/>
          <w:szCs w:val="32"/>
        </w:rPr>
        <w:t>（二）财政拨款支出决算结构情况</w:t>
      </w:r>
      <w:r>
        <w:rPr>
          <w:rFonts w:hint="eastAsia"/>
          <w:color w:val="000000"/>
          <w:sz w:val="27"/>
          <w:szCs w:val="27"/>
        </w:rPr>
        <w:t xml:space="preserve"> </w:t>
      </w:r>
    </w:p>
    <w:p>
      <w:pPr>
        <w:pStyle w:val="10"/>
        <w:spacing w:after="2"/>
        <w:ind w:firstLine="640"/>
        <w:rPr>
          <w:color w:val="000000"/>
          <w:sz w:val="27"/>
          <w:szCs w:val="27"/>
        </w:rPr>
      </w:pPr>
      <w:r>
        <w:rPr>
          <w:rFonts w:hint="eastAsia" w:ascii="宋体" w:hAnsi="宋体" w:eastAsia="宋体"/>
          <w:color w:val="000000"/>
          <w:sz w:val="32"/>
          <w:szCs w:val="32"/>
        </w:rPr>
        <w:t>2021年度财政拨款支出46.66万元，主要用于以下方面：住房保障支出46.66万元，占100%。</w:t>
      </w:r>
      <w:r>
        <w:rPr>
          <w:rFonts w:hint="eastAsia"/>
          <w:color w:val="000000"/>
          <w:sz w:val="27"/>
          <w:szCs w:val="27"/>
        </w:rPr>
        <w:t xml:space="preserve"> </w:t>
      </w:r>
    </w:p>
    <w:p>
      <w:pPr>
        <w:pStyle w:val="10"/>
        <w:spacing w:after="2"/>
        <w:ind w:firstLine="640"/>
        <w:rPr>
          <w:color w:val="000000"/>
          <w:sz w:val="27"/>
          <w:szCs w:val="27"/>
        </w:rPr>
      </w:pPr>
      <w:r>
        <w:rPr>
          <w:rFonts w:hint="eastAsia" w:ascii="宋体" w:hAnsi="宋体" w:eastAsia="宋体"/>
          <w:b/>
          <w:bCs/>
          <w:color w:val="000000"/>
          <w:sz w:val="32"/>
          <w:szCs w:val="32"/>
        </w:rPr>
        <w:t>（三）财政拨款支出决算具体情况</w:t>
      </w:r>
      <w:r>
        <w:rPr>
          <w:rFonts w:hint="eastAsia"/>
          <w:color w:val="000000"/>
          <w:sz w:val="27"/>
          <w:szCs w:val="27"/>
        </w:rPr>
        <w:t xml:space="preserve"> </w:t>
      </w:r>
    </w:p>
    <w:p>
      <w:pPr>
        <w:pStyle w:val="10"/>
        <w:spacing w:after="2"/>
        <w:ind w:firstLine="640"/>
        <w:rPr>
          <w:color w:val="000000"/>
          <w:sz w:val="27"/>
          <w:szCs w:val="27"/>
        </w:rPr>
      </w:pPr>
      <w:r>
        <w:rPr>
          <w:rFonts w:hint="eastAsia" w:ascii="宋体" w:hAnsi="宋体" w:eastAsia="宋体"/>
          <w:color w:val="000000"/>
          <w:sz w:val="32"/>
          <w:szCs w:val="32"/>
        </w:rPr>
        <w:t>2021年度财政拨款支出年初预算数为52.57万元，支出决算数为46.66万元，完成年初预算的88.76%，其中：</w:t>
      </w:r>
      <w:r>
        <w:rPr>
          <w:rFonts w:hint="eastAsia"/>
          <w:color w:val="000000"/>
          <w:sz w:val="27"/>
          <w:szCs w:val="27"/>
        </w:rPr>
        <w:t xml:space="preserve"> </w:t>
      </w:r>
    </w:p>
    <w:p>
      <w:pPr>
        <w:pStyle w:val="10"/>
        <w:spacing w:after="2"/>
        <w:ind w:firstLine="641"/>
        <w:rPr>
          <w:color w:val="000000"/>
          <w:sz w:val="27"/>
          <w:szCs w:val="27"/>
        </w:rPr>
      </w:pPr>
      <w:r>
        <w:rPr>
          <w:rStyle w:val="7"/>
          <w:rFonts w:hint="eastAsia" w:ascii="宋体" w:hAnsi="宋体" w:eastAsia="宋体"/>
          <w:color w:val="000000"/>
          <w:sz w:val="32"/>
          <w:szCs w:val="32"/>
        </w:rPr>
        <w:t>1、住房保障支出（类）城乡社区住宅（款）其他城乡社区住宅支出（项）</w:t>
      </w:r>
      <w:r>
        <w:rPr>
          <w:rFonts w:hint="eastAsia"/>
          <w:color w:val="000000"/>
          <w:sz w:val="27"/>
          <w:szCs w:val="27"/>
        </w:rPr>
        <w:t xml:space="preserve"> </w:t>
      </w:r>
    </w:p>
    <w:p>
      <w:pPr>
        <w:pStyle w:val="10"/>
        <w:spacing w:after="2"/>
        <w:ind w:firstLine="641"/>
        <w:rPr>
          <w:color w:val="000000"/>
          <w:sz w:val="27"/>
          <w:szCs w:val="27"/>
        </w:rPr>
      </w:pPr>
      <w:r>
        <w:rPr>
          <w:rFonts w:hint="eastAsia" w:ascii="宋体" w:hAnsi="宋体" w:eastAsia="宋体"/>
          <w:color w:val="000000"/>
          <w:sz w:val="32"/>
          <w:szCs w:val="32"/>
        </w:rPr>
        <w:t>年初预算为49.71万元，支出决算为46.66万元，完成年初预算的93.86%。决算数小于年初预算数的主要原因是：</w:t>
      </w:r>
      <w:r>
        <w:rPr>
          <w:rStyle w:val="12"/>
          <w:rFonts w:hint="eastAsia" w:ascii="宋体" w:hAnsi="宋体" w:eastAsia="宋体"/>
          <w:color w:val="000000"/>
          <w:sz w:val="32"/>
          <w:szCs w:val="32"/>
        </w:rPr>
        <w:t>厉行节约，减少各项费用支出</w:t>
      </w:r>
      <w:r>
        <w:rPr>
          <w:rFonts w:hint="eastAsia" w:ascii="宋体" w:hAnsi="宋体" w:eastAsia="宋体"/>
          <w:color w:val="000000"/>
          <w:sz w:val="32"/>
          <w:szCs w:val="32"/>
        </w:rPr>
        <w:t>。</w:t>
      </w:r>
    </w:p>
    <w:p>
      <w:pPr>
        <w:pStyle w:val="10"/>
        <w:spacing w:after="2"/>
        <w:ind w:firstLine="641"/>
        <w:rPr>
          <w:color w:val="000000"/>
          <w:sz w:val="27"/>
          <w:szCs w:val="27"/>
        </w:rPr>
      </w:pPr>
      <w:r>
        <w:rPr>
          <w:rFonts w:hint="eastAsia" w:ascii="宋体" w:hAnsi="宋体" w:eastAsia="宋体"/>
          <w:b/>
          <w:bCs/>
          <w:color w:val="000000"/>
          <w:sz w:val="32"/>
          <w:szCs w:val="32"/>
        </w:rPr>
        <w:t>六、一般公共预算财政拨款基本支出决算情况说明</w:t>
      </w:r>
      <w:r>
        <w:rPr>
          <w:rFonts w:hint="eastAsia"/>
          <w:color w:val="000000"/>
          <w:sz w:val="27"/>
          <w:szCs w:val="27"/>
        </w:rPr>
        <w:t xml:space="preserve"> </w:t>
      </w:r>
    </w:p>
    <w:p>
      <w:pPr>
        <w:pStyle w:val="10"/>
        <w:spacing w:after="2"/>
        <w:ind w:firstLine="641"/>
        <w:rPr>
          <w:color w:val="000000"/>
          <w:sz w:val="27"/>
          <w:szCs w:val="27"/>
        </w:rPr>
      </w:pPr>
      <w:r>
        <w:rPr>
          <w:rFonts w:hint="eastAsia" w:ascii="宋体" w:hAnsi="宋体" w:eastAsia="宋体"/>
          <w:color w:val="000000"/>
          <w:sz w:val="32"/>
          <w:szCs w:val="32"/>
        </w:rPr>
        <w:t>2021年度财政拨款基本支出46.66万元，其中：人员经费40.42万元，占基本支出的86.63%，主要包括：基本工资、津贴补贴、绩效工资、机关事业单位基本养老保险缴费、职工基本医疗保险缴费。公用经费6.24万元，占基本支出的13.37%，主要包括：办公费、电费、邮电费、工会经费、福利费、其他商品和服务支出。</w:t>
      </w:r>
      <w:r>
        <w:rPr>
          <w:rFonts w:hint="eastAsia"/>
          <w:color w:val="000000"/>
          <w:sz w:val="27"/>
          <w:szCs w:val="27"/>
        </w:rPr>
        <w:t xml:space="preserve"> </w:t>
      </w:r>
    </w:p>
    <w:p>
      <w:pPr>
        <w:pStyle w:val="10"/>
        <w:spacing w:after="2"/>
        <w:ind w:firstLine="641"/>
        <w:rPr>
          <w:color w:val="000000"/>
          <w:sz w:val="27"/>
          <w:szCs w:val="27"/>
        </w:rPr>
      </w:pPr>
      <w:r>
        <w:rPr>
          <w:rFonts w:hint="eastAsia" w:ascii="宋体" w:hAnsi="宋体" w:eastAsia="宋体"/>
          <w:b/>
          <w:bCs/>
          <w:color w:val="000000"/>
          <w:sz w:val="32"/>
          <w:szCs w:val="32"/>
        </w:rPr>
        <w:t>七、一般公共预算财政拨款三公经费支出决算情况说明</w:t>
      </w:r>
      <w:r>
        <w:rPr>
          <w:rFonts w:hint="eastAsia"/>
          <w:color w:val="000000"/>
          <w:sz w:val="27"/>
          <w:szCs w:val="27"/>
        </w:rPr>
        <w:t xml:space="preserve"> </w:t>
      </w:r>
    </w:p>
    <w:p>
      <w:pPr>
        <w:pStyle w:val="10"/>
        <w:spacing w:after="2"/>
        <w:ind w:firstLine="641"/>
        <w:rPr>
          <w:color w:val="000000"/>
          <w:sz w:val="27"/>
          <w:szCs w:val="27"/>
        </w:rPr>
      </w:pPr>
      <w:r>
        <w:rPr>
          <w:rFonts w:hint="eastAsia" w:ascii="宋体" w:hAnsi="宋体" w:eastAsia="宋体"/>
          <w:b/>
          <w:bCs/>
          <w:color w:val="000000"/>
          <w:sz w:val="32"/>
          <w:szCs w:val="32"/>
        </w:rPr>
        <w:t>（一）“三公”经费财政拨款支出决算总体情况说明</w:t>
      </w:r>
      <w:r>
        <w:rPr>
          <w:rFonts w:hint="eastAsia"/>
          <w:color w:val="000000"/>
          <w:sz w:val="27"/>
          <w:szCs w:val="27"/>
        </w:rPr>
        <w:t xml:space="preserve"> </w:t>
      </w:r>
    </w:p>
    <w:p>
      <w:pPr>
        <w:pStyle w:val="10"/>
        <w:spacing w:after="2"/>
        <w:ind w:firstLine="640"/>
        <w:rPr>
          <w:color w:val="000000"/>
          <w:sz w:val="27"/>
          <w:szCs w:val="27"/>
        </w:rPr>
      </w:pPr>
      <w:r>
        <w:rPr>
          <w:rFonts w:hint="eastAsia" w:ascii="宋体" w:hAnsi="宋体" w:eastAsia="宋体"/>
          <w:color w:val="000000"/>
          <w:sz w:val="32"/>
          <w:szCs w:val="32"/>
        </w:rPr>
        <w:t>2021年度“三公”经费财政拨款支出预算为0万元，支出决算为0万元，完成预算的100%，其中：</w:t>
      </w:r>
      <w:r>
        <w:rPr>
          <w:rFonts w:hint="eastAsia"/>
          <w:color w:val="000000"/>
          <w:sz w:val="27"/>
          <w:szCs w:val="27"/>
        </w:rPr>
        <w:t xml:space="preserve"> </w:t>
      </w:r>
    </w:p>
    <w:p>
      <w:pPr>
        <w:pStyle w:val="10"/>
        <w:spacing w:after="2"/>
        <w:ind w:firstLine="640"/>
        <w:rPr>
          <w:color w:val="000000"/>
          <w:sz w:val="27"/>
          <w:szCs w:val="27"/>
        </w:rPr>
      </w:pPr>
      <w:r>
        <w:rPr>
          <w:rFonts w:hint="eastAsia" w:ascii="宋体" w:hAnsi="宋体" w:eastAsia="宋体"/>
          <w:color w:val="000000"/>
          <w:sz w:val="32"/>
          <w:szCs w:val="32"/>
        </w:rPr>
        <w:t>因公出国（境）费支出预算为0万元，支出决算为0万元，决算数与预算数一致，我单位严格按预算执行决算，因公出国（境）费支出与上年持平。</w:t>
      </w:r>
      <w:r>
        <w:rPr>
          <w:rFonts w:hint="eastAsia"/>
          <w:color w:val="000000"/>
          <w:sz w:val="27"/>
          <w:szCs w:val="27"/>
        </w:rPr>
        <w:t xml:space="preserve"> </w:t>
      </w:r>
    </w:p>
    <w:p>
      <w:pPr>
        <w:pStyle w:val="10"/>
        <w:spacing w:after="2"/>
        <w:ind w:firstLine="640"/>
        <w:rPr>
          <w:color w:val="000000"/>
          <w:sz w:val="27"/>
          <w:szCs w:val="27"/>
        </w:rPr>
      </w:pPr>
      <w:r>
        <w:rPr>
          <w:rFonts w:hint="eastAsia" w:ascii="宋体" w:hAnsi="宋体" w:eastAsia="宋体"/>
          <w:color w:val="000000"/>
          <w:sz w:val="32"/>
          <w:szCs w:val="32"/>
        </w:rPr>
        <w:t>公务接待费支出预算为0万元，支出决算为0万元，决算数与预算数一致，我单位严格按预算执行决算，公务接待费支出与上年持平。</w:t>
      </w:r>
    </w:p>
    <w:p>
      <w:pPr>
        <w:pStyle w:val="10"/>
        <w:spacing w:after="2"/>
        <w:ind w:firstLine="640"/>
        <w:rPr>
          <w:color w:val="000000"/>
          <w:sz w:val="27"/>
          <w:szCs w:val="27"/>
        </w:rPr>
      </w:pPr>
      <w:r>
        <w:rPr>
          <w:rFonts w:hint="eastAsia" w:ascii="宋体" w:hAnsi="宋体" w:eastAsia="宋体"/>
          <w:color w:val="000000"/>
          <w:sz w:val="32"/>
          <w:szCs w:val="32"/>
        </w:rPr>
        <w:t>公务用车购置费支出预算为0万元，支出决算为0万元，决算数与预算数一致，我单位严格按预算执行决算，公务用车购置费支出与上年持平。</w:t>
      </w:r>
      <w:r>
        <w:rPr>
          <w:rFonts w:hint="eastAsia"/>
          <w:color w:val="000000"/>
          <w:sz w:val="27"/>
          <w:szCs w:val="27"/>
        </w:rPr>
        <w:t xml:space="preserve"> </w:t>
      </w:r>
    </w:p>
    <w:p>
      <w:pPr>
        <w:pStyle w:val="10"/>
        <w:spacing w:after="2"/>
        <w:ind w:firstLine="640"/>
        <w:rPr>
          <w:color w:val="000000"/>
          <w:sz w:val="27"/>
          <w:szCs w:val="27"/>
        </w:rPr>
      </w:pPr>
      <w:r>
        <w:rPr>
          <w:rFonts w:hint="eastAsia" w:ascii="宋体" w:hAnsi="宋体" w:eastAsia="宋体"/>
          <w:color w:val="000000"/>
          <w:sz w:val="32"/>
          <w:szCs w:val="32"/>
        </w:rPr>
        <w:t>公务用车运行维护费支出预算为0万元，支出决算为0万元，决算数与预算数一致，我单位严格按预算执行决算，公务用车运行维护费支出与上年持平。</w:t>
      </w:r>
      <w:r>
        <w:rPr>
          <w:rFonts w:hint="eastAsia"/>
          <w:color w:val="000000"/>
          <w:sz w:val="27"/>
          <w:szCs w:val="27"/>
        </w:rPr>
        <w:t xml:space="preserve"> </w:t>
      </w:r>
    </w:p>
    <w:p>
      <w:pPr>
        <w:pStyle w:val="10"/>
        <w:spacing w:after="2"/>
        <w:ind w:firstLine="641"/>
        <w:rPr>
          <w:color w:val="000000"/>
          <w:sz w:val="27"/>
          <w:szCs w:val="27"/>
        </w:rPr>
      </w:pPr>
      <w:r>
        <w:rPr>
          <w:rFonts w:hint="eastAsia" w:ascii="宋体" w:hAnsi="宋体" w:eastAsia="宋体"/>
          <w:b/>
          <w:bCs/>
          <w:color w:val="000000"/>
          <w:sz w:val="32"/>
          <w:szCs w:val="32"/>
        </w:rPr>
        <w:t>（二）“三公”经费财政拨款支出决算具体情况说明</w:t>
      </w:r>
      <w:r>
        <w:rPr>
          <w:rFonts w:hint="eastAsia"/>
          <w:color w:val="000000"/>
          <w:sz w:val="27"/>
          <w:szCs w:val="27"/>
        </w:rPr>
        <w:t xml:space="preserve"> </w:t>
      </w:r>
    </w:p>
    <w:p>
      <w:pPr>
        <w:pStyle w:val="10"/>
        <w:spacing w:after="2"/>
        <w:ind w:firstLine="640"/>
        <w:rPr>
          <w:color w:val="000000"/>
          <w:sz w:val="27"/>
          <w:szCs w:val="27"/>
        </w:rPr>
      </w:pPr>
      <w:r>
        <w:rPr>
          <w:rFonts w:hint="eastAsia" w:ascii="宋体" w:hAnsi="宋体" w:eastAsia="宋体"/>
          <w:color w:val="000000"/>
          <w:sz w:val="32"/>
          <w:szCs w:val="32"/>
        </w:rPr>
        <w:t>2021年度“三公”经费财政拨款支出决算中，公务接待费支出决算0万元，占0%，因公出国（境）费支出决算0万元，占0%，公务用车购置费及运行维护费支出决算0万元，占0%。其中：</w:t>
      </w:r>
      <w:r>
        <w:rPr>
          <w:rFonts w:hint="eastAsia"/>
          <w:color w:val="000000"/>
          <w:sz w:val="27"/>
          <w:szCs w:val="27"/>
        </w:rPr>
        <w:t xml:space="preserve"> </w:t>
      </w:r>
    </w:p>
    <w:p>
      <w:pPr>
        <w:pStyle w:val="10"/>
        <w:spacing w:after="2"/>
        <w:ind w:firstLine="640"/>
        <w:rPr>
          <w:color w:val="000000"/>
          <w:sz w:val="27"/>
          <w:szCs w:val="27"/>
        </w:rPr>
      </w:pPr>
      <w:r>
        <w:rPr>
          <w:rFonts w:hint="eastAsia" w:ascii="宋体" w:hAnsi="宋体" w:eastAsia="宋体"/>
          <w:color w:val="000000"/>
          <w:sz w:val="32"/>
          <w:szCs w:val="32"/>
        </w:rPr>
        <w:t>1、因公出国（境）费支出决算为0万元，全年安排因公出国（境）团组0个，累计0人次，我单位2021年度无因公出国（境）费支出。</w:t>
      </w:r>
      <w:r>
        <w:rPr>
          <w:rFonts w:hint="eastAsia"/>
          <w:color w:val="000000"/>
          <w:sz w:val="27"/>
          <w:szCs w:val="27"/>
        </w:rPr>
        <w:t xml:space="preserve"> </w:t>
      </w:r>
    </w:p>
    <w:p>
      <w:pPr>
        <w:pStyle w:val="10"/>
        <w:spacing w:after="2"/>
        <w:ind w:firstLine="640"/>
        <w:rPr>
          <w:color w:val="000000"/>
          <w:sz w:val="27"/>
          <w:szCs w:val="27"/>
        </w:rPr>
      </w:pPr>
      <w:r>
        <w:rPr>
          <w:rFonts w:hint="eastAsia" w:ascii="宋体" w:hAnsi="宋体" w:eastAsia="宋体"/>
          <w:color w:val="000000"/>
          <w:sz w:val="32"/>
          <w:szCs w:val="32"/>
        </w:rPr>
        <w:t>2、公务接待费支出决算为0万元，全年共接待来访团组0个、来宾0人次，我单位2021年度无公务接待费支出。</w:t>
      </w:r>
      <w:r>
        <w:rPr>
          <w:rFonts w:hint="eastAsia"/>
          <w:color w:val="000000"/>
          <w:sz w:val="27"/>
          <w:szCs w:val="27"/>
        </w:rPr>
        <w:t xml:space="preserve"> </w:t>
      </w:r>
    </w:p>
    <w:p>
      <w:pPr>
        <w:pStyle w:val="10"/>
        <w:spacing w:after="2"/>
        <w:ind w:firstLine="640"/>
        <w:rPr>
          <w:color w:val="000000"/>
          <w:sz w:val="27"/>
          <w:szCs w:val="27"/>
        </w:rPr>
      </w:pPr>
      <w:r>
        <w:rPr>
          <w:rFonts w:hint="eastAsia" w:ascii="宋体" w:hAnsi="宋体" w:eastAsia="宋体"/>
          <w:color w:val="000000"/>
          <w:sz w:val="32"/>
          <w:szCs w:val="32"/>
        </w:rPr>
        <w:t>3、公务用车购置费及运行维护费支出决算为0万元，其中：公务用车购置费0万元。公务用车运行维护费0万元，截至2021年12月31日，我单位开支财政拨款的公务用车保有量为0辆。我单位2021年度无公务用车购置费及运行维护费支出。</w:t>
      </w:r>
      <w:r>
        <w:rPr>
          <w:rFonts w:hint="eastAsia"/>
          <w:color w:val="000000"/>
          <w:sz w:val="27"/>
          <w:szCs w:val="27"/>
        </w:rPr>
        <w:t xml:space="preserve"> </w:t>
      </w:r>
    </w:p>
    <w:p>
      <w:pPr>
        <w:pStyle w:val="10"/>
        <w:spacing w:after="2"/>
        <w:ind w:firstLine="641"/>
        <w:rPr>
          <w:color w:val="000000"/>
          <w:sz w:val="27"/>
          <w:szCs w:val="27"/>
        </w:rPr>
      </w:pPr>
      <w:r>
        <w:rPr>
          <w:rFonts w:hint="eastAsia" w:ascii="宋体" w:hAnsi="宋体" w:eastAsia="宋体"/>
          <w:b/>
          <w:bCs/>
          <w:color w:val="000000"/>
          <w:sz w:val="32"/>
          <w:szCs w:val="32"/>
        </w:rPr>
        <w:t>八、政府性基金预算收入支出决算情况</w:t>
      </w:r>
      <w:r>
        <w:rPr>
          <w:rFonts w:hint="eastAsia"/>
          <w:color w:val="000000"/>
          <w:sz w:val="27"/>
          <w:szCs w:val="27"/>
        </w:rPr>
        <w:t xml:space="preserve"> </w:t>
      </w:r>
    </w:p>
    <w:p>
      <w:pPr>
        <w:pStyle w:val="10"/>
        <w:spacing w:after="2"/>
        <w:ind w:firstLine="641"/>
        <w:rPr>
          <w:rFonts w:ascii="宋体" w:hAnsi="宋体" w:eastAsia="宋体"/>
          <w:color w:val="000000"/>
          <w:sz w:val="32"/>
          <w:szCs w:val="32"/>
        </w:rPr>
      </w:pPr>
      <w:r>
        <w:rPr>
          <w:rFonts w:hint="eastAsia" w:ascii="宋体" w:hAnsi="宋体" w:eastAsia="宋体"/>
          <w:color w:val="000000"/>
          <w:sz w:val="32"/>
          <w:szCs w:val="32"/>
        </w:rPr>
        <w:t xml:space="preserve">冷水滩区城镇住房制度改革办公室2021年度没有政府性基金收入，也没有使用政府性基金安排的支出，并已公开空表。 </w:t>
      </w:r>
    </w:p>
    <w:p>
      <w:pPr>
        <w:pStyle w:val="10"/>
        <w:spacing w:after="2"/>
        <w:ind w:firstLine="641"/>
        <w:rPr>
          <w:color w:val="000000"/>
          <w:sz w:val="27"/>
          <w:szCs w:val="27"/>
        </w:rPr>
      </w:pPr>
      <w:r>
        <w:rPr>
          <w:rFonts w:hint="eastAsia" w:ascii="宋体" w:hAnsi="宋体" w:eastAsia="宋体"/>
          <w:b/>
          <w:bCs/>
          <w:color w:val="000000"/>
          <w:sz w:val="32"/>
          <w:szCs w:val="32"/>
        </w:rPr>
        <w:t>九、关于机关运行经费支出说明</w:t>
      </w:r>
      <w:r>
        <w:rPr>
          <w:rFonts w:hint="eastAsia"/>
          <w:color w:val="000000"/>
          <w:sz w:val="27"/>
          <w:szCs w:val="27"/>
        </w:rPr>
        <w:t xml:space="preserve"> </w:t>
      </w:r>
    </w:p>
    <w:p>
      <w:pPr>
        <w:pStyle w:val="10"/>
        <w:spacing w:after="2"/>
        <w:ind w:firstLine="640"/>
        <w:rPr>
          <w:rFonts w:ascii="宋体" w:hAnsi="宋体" w:eastAsia="宋体"/>
          <w:color w:val="000000"/>
          <w:sz w:val="32"/>
          <w:szCs w:val="32"/>
        </w:rPr>
      </w:pPr>
      <w:r>
        <w:rPr>
          <w:rFonts w:hint="eastAsia" w:ascii="宋体" w:hAnsi="宋体" w:eastAsia="宋体"/>
          <w:color w:val="000000"/>
          <w:sz w:val="32"/>
          <w:szCs w:val="32"/>
        </w:rPr>
        <w:t>冷水滩区城镇住房制度改革办公室2021年度机关运行经费支出6.24万元，比年初预算数增加0.9万元，增长16.81%。主要原因是：</w:t>
      </w:r>
      <w:r>
        <w:rPr>
          <w:rStyle w:val="12"/>
          <w:rFonts w:hint="eastAsia" w:ascii="宋体" w:hAnsi="宋体" w:eastAsia="宋体"/>
          <w:color w:val="000000"/>
          <w:sz w:val="32"/>
          <w:szCs w:val="32"/>
        </w:rPr>
        <w:t>工作业务量增加，经费支出增多</w:t>
      </w:r>
      <w:r>
        <w:rPr>
          <w:rFonts w:hint="eastAsia" w:ascii="宋体" w:hAnsi="宋体" w:eastAsia="宋体"/>
          <w:color w:val="000000"/>
          <w:sz w:val="32"/>
          <w:szCs w:val="32"/>
        </w:rPr>
        <w:t xml:space="preserve">。 </w:t>
      </w:r>
    </w:p>
    <w:p>
      <w:pPr>
        <w:pStyle w:val="10"/>
        <w:spacing w:after="2"/>
        <w:ind w:firstLine="640"/>
        <w:rPr>
          <w:color w:val="000000"/>
          <w:sz w:val="27"/>
          <w:szCs w:val="27"/>
        </w:rPr>
      </w:pPr>
      <w:r>
        <w:rPr>
          <w:rFonts w:hint="eastAsia" w:ascii="宋体" w:hAnsi="宋体" w:eastAsia="宋体"/>
          <w:b/>
          <w:bCs/>
          <w:color w:val="000000"/>
          <w:sz w:val="32"/>
          <w:szCs w:val="32"/>
        </w:rPr>
        <w:t>十、一般性支出情况</w:t>
      </w:r>
      <w:r>
        <w:rPr>
          <w:rFonts w:hint="eastAsia"/>
          <w:color w:val="000000"/>
          <w:sz w:val="27"/>
          <w:szCs w:val="27"/>
        </w:rPr>
        <w:t xml:space="preserve"> </w:t>
      </w:r>
    </w:p>
    <w:p>
      <w:pPr>
        <w:pStyle w:val="10"/>
        <w:spacing w:after="2"/>
        <w:ind w:firstLine="640"/>
        <w:rPr>
          <w:color w:val="000000"/>
          <w:sz w:val="27"/>
          <w:szCs w:val="27"/>
        </w:rPr>
      </w:pPr>
      <w:r>
        <w:rPr>
          <w:rFonts w:hint="eastAsia" w:ascii="宋体" w:hAnsi="宋体" w:eastAsia="宋体"/>
          <w:color w:val="000000"/>
          <w:sz w:val="32"/>
          <w:szCs w:val="32"/>
        </w:rPr>
        <w:t>2021年度冷水滩区城镇住房制度改革办公室开支会议费0万元，我单位2021年度无会议费支出；开支培训费0万元，我单位2021年度无培训费支出；举办</w:t>
      </w:r>
      <w:r>
        <w:rPr>
          <w:rStyle w:val="12"/>
          <w:rFonts w:hint="eastAsia" w:ascii="宋体" w:hAnsi="宋体" w:eastAsia="宋体"/>
          <w:color w:val="000000"/>
          <w:sz w:val="32"/>
          <w:szCs w:val="32"/>
        </w:rPr>
        <w:t>0</w:t>
      </w:r>
      <w:r>
        <w:rPr>
          <w:rFonts w:hint="eastAsia" w:ascii="宋体" w:hAnsi="宋体" w:eastAsia="宋体"/>
          <w:color w:val="000000"/>
          <w:sz w:val="32"/>
          <w:szCs w:val="32"/>
        </w:rPr>
        <w:t>场节庆、晚会、论坛、赛事活动，开支</w:t>
      </w:r>
      <w:r>
        <w:rPr>
          <w:rStyle w:val="12"/>
          <w:rFonts w:hint="eastAsia" w:ascii="宋体" w:hAnsi="宋体" w:eastAsia="宋体"/>
          <w:color w:val="000000"/>
          <w:sz w:val="32"/>
          <w:szCs w:val="32"/>
        </w:rPr>
        <w:t>0</w:t>
      </w:r>
      <w:r>
        <w:rPr>
          <w:rFonts w:hint="eastAsia" w:ascii="宋体" w:hAnsi="宋体" w:eastAsia="宋体"/>
          <w:color w:val="000000"/>
          <w:sz w:val="32"/>
          <w:szCs w:val="32"/>
        </w:rPr>
        <w:t>万元，</w:t>
      </w:r>
      <w:r>
        <w:rPr>
          <w:rStyle w:val="12"/>
          <w:rFonts w:hint="eastAsia" w:ascii="宋体" w:hAnsi="宋体" w:eastAsia="宋体"/>
          <w:color w:val="000000"/>
          <w:sz w:val="32"/>
          <w:szCs w:val="32"/>
        </w:rPr>
        <w:t>本单位无相关活动计划</w:t>
      </w:r>
      <w:r>
        <w:rPr>
          <w:rFonts w:hint="eastAsia" w:ascii="宋体" w:hAnsi="宋体" w:eastAsia="宋体"/>
          <w:color w:val="000000"/>
          <w:sz w:val="32"/>
          <w:szCs w:val="32"/>
        </w:rPr>
        <w:t>。</w:t>
      </w:r>
      <w:r>
        <w:rPr>
          <w:rFonts w:hint="eastAsia"/>
          <w:color w:val="000000"/>
          <w:sz w:val="27"/>
          <w:szCs w:val="27"/>
        </w:rPr>
        <w:t xml:space="preserve"> </w:t>
      </w:r>
    </w:p>
    <w:p>
      <w:pPr>
        <w:pStyle w:val="10"/>
        <w:spacing w:after="2"/>
        <w:ind w:firstLine="640"/>
        <w:rPr>
          <w:color w:val="000000"/>
          <w:sz w:val="27"/>
          <w:szCs w:val="27"/>
        </w:rPr>
      </w:pPr>
      <w:r>
        <w:rPr>
          <w:rFonts w:hint="eastAsia" w:ascii="宋体" w:hAnsi="宋体" w:eastAsia="宋体"/>
          <w:b/>
          <w:bCs/>
          <w:color w:val="000000"/>
          <w:sz w:val="32"/>
          <w:szCs w:val="32"/>
        </w:rPr>
        <w:t>十一、关于政府采购支出说明</w:t>
      </w:r>
      <w:r>
        <w:rPr>
          <w:rFonts w:hint="eastAsia"/>
          <w:color w:val="000000"/>
          <w:sz w:val="27"/>
          <w:szCs w:val="27"/>
        </w:rPr>
        <w:t xml:space="preserve"> </w:t>
      </w:r>
    </w:p>
    <w:p>
      <w:pPr>
        <w:pStyle w:val="10"/>
        <w:spacing w:after="2"/>
        <w:ind w:firstLine="853"/>
        <w:rPr>
          <w:rFonts w:ascii="宋体" w:hAnsi="宋体" w:eastAsia="宋体"/>
          <w:color w:val="000000"/>
          <w:sz w:val="32"/>
          <w:szCs w:val="32"/>
        </w:rPr>
      </w:pPr>
      <w:r>
        <w:rPr>
          <w:rFonts w:hint="eastAsia" w:ascii="宋体" w:hAnsi="宋体" w:eastAsia="宋体"/>
          <w:color w:val="000000"/>
          <w:sz w:val="32"/>
          <w:szCs w:val="32"/>
        </w:rPr>
        <w:t>冷水滩区城镇住房制度改革办公室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货物采购授予中小企业合同金额占货物支出金额的</w:t>
      </w:r>
      <w:r>
        <w:rPr>
          <w:rStyle w:val="12"/>
          <w:rFonts w:hint="eastAsia" w:ascii="宋体" w:hAnsi="宋体" w:eastAsia="宋体"/>
          <w:color w:val="000000"/>
          <w:sz w:val="32"/>
          <w:szCs w:val="32"/>
        </w:rPr>
        <w:t>0</w:t>
      </w:r>
      <w:r>
        <w:rPr>
          <w:rFonts w:hint="eastAsia" w:ascii="宋体" w:hAnsi="宋体" w:eastAsia="宋体"/>
          <w:color w:val="000000"/>
          <w:sz w:val="32"/>
          <w:szCs w:val="32"/>
        </w:rPr>
        <w:t>%，工程采购授予中小企业合同金额占工程支出金额的</w:t>
      </w:r>
      <w:r>
        <w:rPr>
          <w:rStyle w:val="12"/>
          <w:rFonts w:hint="eastAsia" w:ascii="宋体" w:hAnsi="宋体" w:eastAsia="宋体"/>
          <w:color w:val="000000"/>
          <w:sz w:val="32"/>
          <w:szCs w:val="32"/>
        </w:rPr>
        <w:t>0</w:t>
      </w:r>
      <w:r>
        <w:rPr>
          <w:rFonts w:hint="eastAsia" w:ascii="宋体" w:hAnsi="宋体" w:eastAsia="宋体"/>
          <w:color w:val="000000"/>
          <w:sz w:val="32"/>
          <w:szCs w:val="32"/>
        </w:rPr>
        <w:t>%，服务采购授予中小企业合同金额占服务支出金额的</w:t>
      </w:r>
      <w:r>
        <w:rPr>
          <w:rStyle w:val="12"/>
          <w:rFonts w:hint="eastAsia" w:ascii="宋体" w:hAnsi="宋体" w:eastAsia="宋体"/>
          <w:color w:val="000000"/>
          <w:sz w:val="32"/>
          <w:szCs w:val="32"/>
        </w:rPr>
        <w:t>0</w:t>
      </w:r>
      <w:r>
        <w:rPr>
          <w:rFonts w:hint="eastAsia" w:ascii="宋体" w:hAnsi="宋体" w:eastAsia="宋体"/>
          <w:color w:val="000000"/>
          <w:sz w:val="32"/>
          <w:szCs w:val="32"/>
        </w:rPr>
        <w:t xml:space="preserve">%。 </w:t>
      </w:r>
      <w:bookmarkStart w:id="0" w:name="_GoBack"/>
      <w:bookmarkEnd w:id="0"/>
    </w:p>
    <w:p>
      <w:pPr>
        <w:pStyle w:val="10"/>
        <w:spacing w:after="2"/>
        <w:ind w:firstLine="640"/>
        <w:rPr>
          <w:color w:val="000000"/>
          <w:sz w:val="27"/>
          <w:szCs w:val="27"/>
        </w:rPr>
      </w:pPr>
      <w:r>
        <w:rPr>
          <w:rFonts w:hint="eastAsia" w:ascii="宋体" w:hAnsi="宋体" w:eastAsia="宋体"/>
          <w:b/>
          <w:bCs/>
          <w:color w:val="000000"/>
          <w:sz w:val="32"/>
          <w:szCs w:val="32"/>
        </w:rPr>
        <w:t>十二、关于国有资产占用情况说明</w:t>
      </w:r>
      <w:r>
        <w:rPr>
          <w:rFonts w:hint="eastAsia"/>
          <w:color w:val="000000"/>
          <w:sz w:val="27"/>
          <w:szCs w:val="27"/>
        </w:rPr>
        <w:t xml:space="preserve"> </w:t>
      </w:r>
    </w:p>
    <w:p>
      <w:pPr>
        <w:pStyle w:val="10"/>
        <w:spacing w:after="2"/>
        <w:ind w:firstLine="640"/>
        <w:rPr>
          <w:color w:val="000000"/>
          <w:sz w:val="27"/>
          <w:szCs w:val="27"/>
        </w:rPr>
      </w:pPr>
      <w:r>
        <w:rPr>
          <w:rFonts w:hint="eastAsia" w:ascii="宋体" w:hAnsi="宋体" w:eastAsia="宋体"/>
          <w:color w:val="000000"/>
          <w:sz w:val="32"/>
          <w:szCs w:val="32"/>
        </w:rPr>
        <w:t>截至2021年12月31日，冷水滩区城镇住房制度改革办公室共有车辆0辆（台），其中：机要通信用车0辆、应急保障用车0辆、执法执勤用车0辆、特种专业技术用车0辆、其他用车0辆；单价50万元（含）以上通用设备0台（套），单价100万元（含）以上专用设备0台（套）。</w:t>
      </w:r>
      <w:r>
        <w:rPr>
          <w:rFonts w:hint="eastAsia"/>
          <w:color w:val="000000"/>
          <w:sz w:val="27"/>
          <w:szCs w:val="27"/>
        </w:rPr>
        <w:t xml:space="preserve"> </w:t>
      </w:r>
    </w:p>
    <w:p>
      <w:pPr>
        <w:pStyle w:val="10"/>
        <w:spacing w:after="2"/>
        <w:ind w:firstLine="640"/>
        <w:rPr>
          <w:color w:val="000000"/>
          <w:sz w:val="27"/>
          <w:szCs w:val="27"/>
        </w:rPr>
      </w:pPr>
      <w:r>
        <w:rPr>
          <w:rFonts w:hint="eastAsia" w:ascii="宋体" w:hAnsi="宋体" w:eastAsia="宋体"/>
          <w:b/>
          <w:bCs/>
          <w:color w:val="000000"/>
          <w:sz w:val="32"/>
          <w:szCs w:val="32"/>
        </w:rPr>
        <w:t>十三、关于2021年度预算绩效情况说明</w:t>
      </w:r>
      <w:r>
        <w:rPr>
          <w:rFonts w:hint="eastAsia"/>
          <w:color w:val="000000"/>
          <w:sz w:val="27"/>
          <w:szCs w:val="27"/>
        </w:rPr>
        <w:t xml:space="preserve"> </w:t>
      </w:r>
    </w:p>
    <w:p>
      <w:pPr>
        <w:pStyle w:val="10"/>
        <w:spacing w:after="2"/>
        <w:ind w:firstLine="723" w:firstLineChars="200"/>
        <w:rPr>
          <w:color w:val="000000"/>
          <w:sz w:val="27"/>
          <w:szCs w:val="27"/>
        </w:rPr>
      </w:pPr>
      <w:r>
        <w:rPr>
          <w:rStyle w:val="7"/>
          <w:rFonts w:hint="eastAsia" w:ascii="宋体" w:hAnsi="宋体" w:eastAsia="宋体"/>
          <w:color w:val="000000"/>
          <w:sz w:val="36"/>
          <w:szCs w:val="36"/>
        </w:rPr>
        <w:t>（1）绩效管理评价工作开展情况。</w:t>
      </w:r>
    </w:p>
    <w:p>
      <w:pPr>
        <w:pStyle w:val="10"/>
        <w:spacing w:after="2"/>
        <w:ind w:firstLine="640"/>
        <w:jc w:val="left"/>
        <w:rPr>
          <w:color w:val="000000"/>
          <w:sz w:val="27"/>
          <w:szCs w:val="27"/>
        </w:rPr>
      </w:pPr>
      <w:r>
        <w:rPr>
          <w:rStyle w:val="12"/>
          <w:rFonts w:hint="eastAsia" w:ascii="宋体" w:hAnsi="宋体" w:eastAsia="宋体"/>
          <w:color w:val="000000"/>
          <w:sz w:val="32"/>
          <w:szCs w:val="32"/>
        </w:rPr>
        <w:t>2021年度区房改办整体支出主要在基本支出和专项项目支出，一年以来，在区委、区政府的领导下，严格按照区财政局的相关文件的要求，遵循客观、公平、公正的原则，运用了目标比较法、定性与定量相结合的方法，组织完成部门单位绩效评价工作，为认真抓好建设行业综合管理工作，全面提高城镇基础设施和管理水平提供了有力保障。</w:t>
      </w:r>
      <w:r>
        <w:rPr>
          <w:rFonts w:hint="eastAsia" w:ascii="宋体" w:hAnsi="宋体" w:eastAsia="宋体"/>
          <w:color w:val="000000"/>
          <w:sz w:val="32"/>
          <w:szCs w:val="32"/>
        </w:rPr>
        <w:br w:type="textWrapping"/>
      </w:r>
      <w:r>
        <w:rPr>
          <w:rStyle w:val="12"/>
          <w:rFonts w:ascii="宋体" w:hAnsi="宋体" w:eastAsia="宋体"/>
          <w:color w:val="000000"/>
          <w:sz w:val="32"/>
          <w:szCs w:val="32"/>
        </w:rPr>
        <w:t xml:space="preserve">    </w:t>
      </w:r>
      <w:r>
        <w:rPr>
          <w:rStyle w:val="12"/>
          <w:rFonts w:hint="eastAsia" w:ascii="宋体" w:hAnsi="宋体" w:eastAsia="宋体"/>
          <w:color w:val="000000"/>
          <w:sz w:val="32"/>
          <w:szCs w:val="32"/>
        </w:rPr>
        <w:t>1、保证单位经费运转，完成人员工资福利发放；</w:t>
      </w:r>
      <w:r>
        <w:rPr>
          <w:rFonts w:hint="eastAsia" w:ascii="宋体" w:hAnsi="宋体" w:eastAsia="宋体"/>
          <w:color w:val="000000"/>
          <w:sz w:val="32"/>
          <w:szCs w:val="32"/>
        </w:rPr>
        <w:br w:type="textWrapping"/>
      </w:r>
      <w:r>
        <w:rPr>
          <w:rStyle w:val="12"/>
          <w:rFonts w:ascii="宋体" w:hAnsi="宋体" w:eastAsia="宋体"/>
          <w:color w:val="000000"/>
          <w:sz w:val="32"/>
          <w:szCs w:val="32"/>
        </w:rPr>
        <w:t xml:space="preserve">    </w:t>
      </w:r>
      <w:r>
        <w:rPr>
          <w:rStyle w:val="12"/>
          <w:rFonts w:hint="eastAsia" w:ascii="宋体" w:hAnsi="宋体" w:eastAsia="宋体"/>
          <w:color w:val="000000"/>
          <w:sz w:val="32"/>
          <w:szCs w:val="32"/>
        </w:rPr>
        <w:t>2、完成了区委区政府交付的各项工作。</w:t>
      </w:r>
      <w:r>
        <w:rPr>
          <w:rFonts w:hint="eastAsia" w:ascii="宋体" w:hAnsi="宋体" w:eastAsia="宋体"/>
          <w:color w:val="000000"/>
          <w:sz w:val="32"/>
          <w:szCs w:val="32"/>
        </w:rPr>
        <w:t> </w:t>
      </w:r>
      <w:r>
        <w:rPr>
          <w:rFonts w:hint="eastAsia"/>
          <w:color w:val="000000"/>
          <w:sz w:val="27"/>
          <w:szCs w:val="27"/>
        </w:rPr>
        <w:t xml:space="preserve"> </w:t>
      </w:r>
    </w:p>
    <w:p>
      <w:pPr>
        <w:pStyle w:val="10"/>
        <w:spacing w:after="2"/>
        <w:ind w:firstLine="723" w:firstLineChars="200"/>
        <w:rPr>
          <w:color w:val="000000"/>
          <w:sz w:val="27"/>
          <w:szCs w:val="27"/>
        </w:rPr>
      </w:pPr>
      <w:r>
        <w:rPr>
          <w:rStyle w:val="7"/>
          <w:rFonts w:hint="eastAsia" w:ascii="宋体" w:hAnsi="宋体" w:eastAsia="宋体"/>
          <w:color w:val="000000"/>
          <w:sz w:val="36"/>
          <w:szCs w:val="36"/>
        </w:rPr>
        <w:t>（2）部门决算中项目绩效自评结果（如有）。</w:t>
      </w:r>
      <w:r>
        <w:rPr>
          <w:rFonts w:hint="eastAsia"/>
          <w:color w:val="000000"/>
          <w:sz w:val="27"/>
          <w:szCs w:val="27"/>
        </w:rPr>
        <w:t xml:space="preserve"> </w:t>
      </w:r>
    </w:p>
    <w:p>
      <w:pPr>
        <w:pStyle w:val="10"/>
        <w:spacing w:after="2"/>
        <w:ind w:firstLine="640"/>
        <w:rPr>
          <w:color w:val="000000"/>
          <w:sz w:val="27"/>
          <w:szCs w:val="27"/>
        </w:rPr>
      </w:pPr>
      <w:r>
        <w:rPr>
          <w:rStyle w:val="12"/>
          <w:rFonts w:hint="eastAsia" w:ascii="宋体" w:hAnsi="宋体" w:eastAsia="宋体"/>
          <w:color w:val="000000"/>
          <w:sz w:val="32"/>
          <w:szCs w:val="32"/>
        </w:rPr>
        <w:t>本单位无项目支出</w:t>
      </w:r>
      <w:r>
        <w:rPr>
          <w:rFonts w:hint="eastAsia"/>
          <w:color w:val="000000"/>
          <w:sz w:val="27"/>
          <w:szCs w:val="27"/>
        </w:rPr>
        <w:t xml:space="preserve"> 。</w:t>
      </w:r>
    </w:p>
    <w:p>
      <w:pPr>
        <w:pStyle w:val="10"/>
        <w:spacing w:after="2"/>
        <w:ind w:firstLine="640"/>
        <w:rPr>
          <w:color w:val="000000"/>
          <w:sz w:val="27"/>
          <w:szCs w:val="27"/>
        </w:rPr>
      </w:pPr>
      <w:r>
        <w:rPr>
          <w:rStyle w:val="7"/>
          <w:rFonts w:hint="eastAsia" w:ascii="宋体" w:hAnsi="宋体" w:eastAsia="宋体"/>
          <w:color w:val="000000"/>
          <w:sz w:val="36"/>
          <w:szCs w:val="36"/>
        </w:rPr>
        <w:t>（3）部门评价项目绩效评价结果。</w:t>
      </w:r>
    </w:p>
    <w:p>
      <w:pPr>
        <w:pStyle w:val="10"/>
        <w:spacing w:after="2"/>
        <w:ind w:firstLine="640"/>
        <w:rPr>
          <w:color w:val="000000"/>
          <w:sz w:val="27"/>
          <w:szCs w:val="27"/>
        </w:rPr>
      </w:pPr>
      <w:r>
        <w:rPr>
          <w:rFonts w:hint="eastAsia" w:ascii="宋体" w:hAnsi="宋体" w:eastAsia="宋体"/>
          <w:color w:val="000000"/>
          <w:sz w:val="32"/>
          <w:szCs w:val="32"/>
        </w:rPr>
        <w:t>部门评价项目数量3个以内的，至少将1个部门评价报告向社会公开；部门评价项目数量大于3个的，至少将2个部门评价报告向社会公开。报告框架可参考《项目支出绩效评价办法》（财预〔2020〕10 号）中《项目支出绩效评价报告（参考提纲）》、《湖南省预算支出绩效评价管理办法》（湘财绩〔2020〕7号）。</w:t>
      </w:r>
      <w:r>
        <w:rPr>
          <w:rFonts w:hint="eastAsia"/>
          <w:color w:val="000000"/>
          <w:sz w:val="27"/>
          <w:szCs w:val="27"/>
        </w:rPr>
        <w:t xml:space="preserve"> </w:t>
      </w:r>
    </w:p>
    <w:p>
      <w:pPr>
        <w:pStyle w:val="4"/>
        <w:spacing w:before="0" w:beforeAutospacing="0" w:after="2" w:afterAutospacing="0"/>
        <w:ind w:firstLine="853"/>
        <w:rPr>
          <w:color w:val="000000"/>
          <w:sz w:val="32"/>
          <w:szCs w:val="32"/>
        </w:rPr>
      </w:pPr>
    </w:p>
    <w:p>
      <w:pPr>
        <w:pStyle w:val="4"/>
        <w:spacing w:before="0" w:beforeAutospacing="0" w:after="2" w:afterAutospacing="0"/>
        <w:ind w:firstLine="853"/>
        <w:rPr>
          <w:color w:val="000000"/>
          <w:sz w:val="32"/>
          <w:szCs w:val="32"/>
        </w:rPr>
      </w:pPr>
    </w:p>
    <w:p>
      <w:pPr>
        <w:pStyle w:val="4"/>
        <w:spacing w:before="0" w:beforeAutospacing="0" w:after="2" w:afterAutospacing="0"/>
        <w:ind w:firstLine="853"/>
        <w:rPr>
          <w:color w:val="000000"/>
          <w:sz w:val="32"/>
          <w:szCs w:val="32"/>
        </w:rPr>
      </w:pPr>
    </w:p>
    <w:p>
      <w:pPr>
        <w:ind w:firstLine="853"/>
        <w:rPr>
          <w:color w:val="000000"/>
        </w:rPr>
      </w:pPr>
    </w:p>
    <w:p>
      <w:pPr>
        <w:spacing w:after="2"/>
        <w:ind w:firstLine="853"/>
        <w:jc w:val="center"/>
        <w:rPr>
          <w:color w:val="000000"/>
          <w:szCs w:val="21"/>
        </w:rPr>
      </w:pPr>
      <w:r>
        <w:rPr>
          <w:rFonts w:hint="eastAsia" w:ascii="宋体" w:hAnsi="宋体" w:eastAsia="宋体"/>
          <w:b/>
          <w:bCs/>
          <w:color w:val="000000"/>
          <w:sz w:val="36"/>
          <w:szCs w:val="36"/>
        </w:rPr>
        <w:t>第四部分 名词解释</w:t>
      </w:r>
      <w:r>
        <w:rPr>
          <w:rFonts w:hint="eastAsia"/>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财政拨款收入</w:t>
      </w:r>
      <w:r>
        <w:rPr>
          <w:rFonts w:hint="eastAsia" w:ascii="宋体" w:hAnsi="宋体" w:eastAsia="宋体" w:cs="Calibri"/>
          <w:color w:val="000000"/>
          <w:sz w:val="32"/>
          <w:szCs w:val="32"/>
        </w:rPr>
        <w:t>：指财政当年拨付的资金。包括一般公共预算财政拨款和政府性基金财政拨款。</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上级补助收入</w:t>
      </w:r>
      <w:r>
        <w:rPr>
          <w:rFonts w:hint="eastAsia" w:ascii="宋体" w:hAnsi="宋体" w:eastAsia="宋体" w:cs="Calibri"/>
          <w:color w:val="000000"/>
          <w:sz w:val="32"/>
          <w:szCs w:val="32"/>
        </w:rPr>
        <w:t>：指事业单位从主管部门和上级单位取得的非财政补助收入。</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事业收入：</w:t>
      </w:r>
      <w:r>
        <w:rPr>
          <w:rFonts w:hint="eastAsia" w:ascii="宋体" w:hAnsi="宋体" w:eastAsia="宋体" w:cs="Calibri"/>
          <w:color w:val="000000"/>
          <w:sz w:val="32"/>
          <w:szCs w:val="32"/>
        </w:rPr>
        <w:t>指事业单位开展专业业务活动及辅助活动所取得的收入。</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经营收入：</w:t>
      </w:r>
      <w:r>
        <w:rPr>
          <w:rFonts w:hint="eastAsia" w:ascii="宋体" w:hAnsi="宋体" w:eastAsia="宋体" w:cs="Calibri"/>
          <w:color w:val="000000"/>
          <w:sz w:val="32"/>
          <w:szCs w:val="32"/>
        </w:rPr>
        <w:t>指事业单位在专业业务活动及其辅助活动之外开展非独立核算经营活动取得的收入。</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附属单位上缴收入</w:t>
      </w:r>
      <w:r>
        <w:rPr>
          <w:rFonts w:hint="eastAsia" w:ascii="宋体" w:hAnsi="宋体" w:eastAsia="宋体" w:cs="Calibri"/>
          <w:color w:val="000000"/>
          <w:sz w:val="32"/>
          <w:szCs w:val="32"/>
        </w:rPr>
        <w:t>：指事业单位附属独立核算单位按照有关规定上缴的收入。</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其他收入</w:t>
      </w:r>
      <w:r>
        <w:rPr>
          <w:rFonts w:hint="eastAsia" w:ascii="宋体" w:hAnsi="宋体" w:eastAsia="宋体" w:cs="Calibri"/>
          <w:color w:val="000000"/>
          <w:sz w:val="32"/>
          <w:szCs w:val="32"/>
        </w:rPr>
        <w:t>：指除上述“财政拨款收入”、“事业收入”、“经营收入”等以外的收入。</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用事业基金弥补收支差额</w:t>
      </w:r>
      <w:r>
        <w:rPr>
          <w:rFonts w:hint="eastAsia" w:ascii="宋体" w:hAnsi="宋体" w:eastAsia="宋体" w:cs="Calibri"/>
          <w:color w:val="000000"/>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年初结转和结余</w:t>
      </w:r>
      <w:r>
        <w:rPr>
          <w:rFonts w:hint="eastAsia" w:ascii="宋体" w:hAnsi="宋体" w:eastAsia="宋体" w:cs="Calibri"/>
          <w:color w:val="000000"/>
          <w:sz w:val="32"/>
          <w:szCs w:val="32"/>
        </w:rPr>
        <w:t>：指以前年度尚未完成、结转到本年按有关规定继续使用的资金。</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结余分配</w:t>
      </w:r>
      <w:r>
        <w:rPr>
          <w:rFonts w:hint="eastAsia" w:ascii="宋体" w:hAnsi="宋体" w:eastAsia="宋体" w:cs="Calibri"/>
          <w:color w:val="000000"/>
          <w:sz w:val="32"/>
          <w:szCs w:val="32"/>
        </w:rPr>
        <w:t>：指事业事位按规定从非财政补助结余中分配的事业基金和职工福利基金等。</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年末结转和结余</w:t>
      </w:r>
      <w:r>
        <w:rPr>
          <w:rFonts w:hint="eastAsia" w:ascii="宋体" w:hAnsi="宋体" w:eastAsia="宋体" w:cs="Calibri"/>
          <w:color w:val="000000"/>
          <w:sz w:val="32"/>
          <w:szCs w:val="32"/>
        </w:rPr>
        <w:t>：指本年度或以前年度预算安排、因客观条件发生变化无法按原计划实施，需要延迟到以后年度按有关规定继续使用的资金。</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基本支出</w:t>
      </w:r>
      <w:r>
        <w:rPr>
          <w:rFonts w:hint="eastAsia" w:ascii="宋体" w:hAnsi="宋体" w:eastAsia="宋体" w:cs="Calibri"/>
          <w:color w:val="000000"/>
          <w:sz w:val="32"/>
          <w:szCs w:val="32"/>
        </w:rPr>
        <w:t>：指为保障机构正常运转、完成日常工作任务而发生的人员支出和公用支出。</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项目支出</w:t>
      </w:r>
      <w:r>
        <w:rPr>
          <w:rFonts w:hint="eastAsia" w:ascii="宋体" w:hAnsi="宋体" w:eastAsia="宋体" w:cs="Calibri"/>
          <w:color w:val="000000"/>
          <w:sz w:val="32"/>
          <w:szCs w:val="32"/>
        </w:rPr>
        <w:t>：指在基本支出之外为完成特定行政任务和事业发展目标所发生的支出。</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经营支出</w:t>
      </w:r>
      <w:r>
        <w:rPr>
          <w:rFonts w:hint="eastAsia" w:ascii="宋体" w:hAnsi="宋体" w:eastAsia="宋体" w:cs="Calibri"/>
          <w:color w:val="000000"/>
          <w:sz w:val="32"/>
          <w:szCs w:val="32"/>
        </w:rPr>
        <w:t>：指事业单位在专业业务活动及其辅助活动之外开展非独立核算经营活动所发生的支出。</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“三公”经费</w:t>
      </w:r>
      <w:r>
        <w:rPr>
          <w:rFonts w:hint="eastAsia" w:ascii="宋体" w:hAnsi="宋体" w:eastAsia="宋体" w:cs="Calibri"/>
          <w:color w:val="00000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机关运行经费</w:t>
      </w:r>
      <w:r>
        <w:rPr>
          <w:rFonts w:hint="eastAsia" w:ascii="宋体" w:hAnsi="宋体" w:eastAsia="宋体" w:cs="Calibri"/>
          <w:color w:val="000000"/>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p>
    <w:p>
      <w:pPr>
        <w:spacing w:after="2"/>
        <w:ind w:firstLine="853"/>
        <w:jc w:val="center"/>
        <w:rPr>
          <w:color w:val="000000"/>
          <w:szCs w:val="21"/>
        </w:rPr>
      </w:pPr>
      <w:r>
        <w:rPr>
          <w:rFonts w:hint="eastAsia" w:ascii="宋体" w:hAnsi="宋体" w:eastAsia="宋体"/>
          <w:b/>
          <w:bCs/>
          <w:color w:val="000000"/>
          <w:sz w:val="36"/>
          <w:szCs w:val="36"/>
        </w:rPr>
        <w:t>第五部分 附件</w:t>
      </w:r>
      <w:r>
        <w:rPr>
          <w:rFonts w:hint="eastAsia"/>
          <w:color w:val="000000"/>
          <w:szCs w:val="21"/>
        </w:rPr>
        <w:t xml:space="preserve"> </w:t>
      </w:r>
    </w:p>
    <w:p>
      <w:pPr>
        <w:spacing w:after="2"/>
        <w:ind w:firstLine="641"/>
        <w:jc w:val="center"/>
        <w:rPr>
          <w:color w:val="000000"/>
          <w:szCs w:val="21"/>
        </w:rPr>
      </w:pPr>
      <w:r>
        <w:fldChar w:fldCharType="begin"/>
      </w:r>
      <w:r>
        <w:instrText xml:space="preserve"> HYPERLINK "http://10.105.181.49/home/downloadAttachment?attachGUID=65cb478c7b4e4b88bdb1921176bace9c" \t "_blank" </w:instrText>
      </w:r>
      <w:r>
        <w:fldChar w:fldCharType="separate"/>
      </w:r>
      <w:r>
        <w:rPr>
          <w:rStyle w:val="9"/>
          <w:rFonts w:hint="eastAsia" w:ascii="宋体" w:hAnsi="宋体" w:eastAsia="宋体"/>
          <w:sz w:val="28"/>
          <w:szCs w:val="28"/>
          <w:shd w:val="clear" w:color="auto" w:fill="FFFFFF"/>
        </w:rPr>
        <w:t>2021年冷水滩区城镇住房制度改革办公室项目支出绩效评价报告.doc</w:t>
      </w:r>
      <w:r>
        <w:rPr>
          <w:rStyle w:val="9"/>
          <w:rFonts w:hint="eastAsia" w:ascii="宋体" w:hAnsi="宋体" w:eastAsia="宋体"/>
          <w:sz w:val="28"/>
          <w:szCs w:val="28"/>
          <w:shd w:val="clear" w:color="auto" w:fill="FFFFFF"/>
        </w:rPr>
        <w:fldChar w:fldCharType="end"/>
      </w:r>
      <w:r>
        <w:rPr>
          <w:rFonts w:hint="eastAsia" w:ascii="宋体" w:hAnsi="宋体" w:eastAsia="宋体"/>
          <w:color w:val="000000"/>
          <w:sz w:val="28"/>
          <w:szCs w:val="28"/>
          <w:shd w:val="clear" w:color="auto" w:fill="FFFFFF"/>
        </w:rPr>
        <w:br w:type="textWrapping"/>
      </w:r>
      <w:r>
        <w:rPr>
          <w:rFonts w:hint="eastAsia" w:ascii="宋体" w:hAnsi="宋体" w:eastAsia="宋体"/>
          <w:color w:val="000000"/>
          <w:sz w:val="28"/>
          <w:szCs w:val="28"/>
          <w:shd w:val="clear" w:color="auto" w:fill="FFFFFF"/>
          <w:lang w:val="en-US" w:eastAsia="zh-CN"/>
        </w:rPr>
        <w:t xml:space="preserve">      </w:t>
      </w:r>
      <w:r>
        <w:fldChar w:fldCharType="begin"/>
      </w:r>
      <w:r>
        <w:instrText xml:space="preserve"> HYPERLINK "http://10.105.181.49/home/downloadAttachment?attachGUID=95f6858e81a74e1da4ae5bc88ec3564b" \t "_blank" </w:instrText>
      </w:r>
      <w:r>
        <w:fldChar w:fldCharType="separate"/>
      </w:r>
      <w:r>
        <w:rPr>
          <w:rStyle w:val="9"/>
          <w:rFonts w:hint="eastAsia" w:ascii="宋体" w:hAnsi="宋体" w:eastAsia="宋体"/>
          <w:sz w:val="28"/>
          <w:szCs w:val="28"/>
          <w:shd w:val="clear" w:color="auto" w:fill="FFFFFF"/>
        </w:rPr>
        <w:t>2021冷水滩区城镇住房制度改革办公室部门整体支出绩效评价报告.doc</w:t>
      </w:r>
      <w:r>
        <w:rPr>
          <w:rStyle w:val="9"/>
          <w:rFonts w:hint="eastAsia" w:ascii="宋体" w:hAnsi="宋体" w:eastAsia="宋体"/>
          <w:sz w:val="28"/>
          <w:szCs w:val="28"/>
          <w:shd w:val="clear" w:color="auto" w:fill="FFFFFF"/>
        </w:rPr>
        <w:fldChar w:fldCharType="end"/>
      </w:r>
      <w:r>
        <w:rPr>
          <w:rFonts w:hint="eastAsia" w:ascii="宋体" w:hAnsi="宋体" w:eastAsia="宋体"/>
          <w:color w:val="000000"/>
          <w:sz w:val="28"/>
          <w:szCs w:val="28"/>
          <w:shd w:val="clear" w:color="auto" w:fill="FFFFFF"/>
        </w:rPr>
        <w:br w:type="textWrapping"/>
      </w:r>
    </w:p>
    <w:p>
      <w:pPr>
        <w:spacing w:after="2"/>
        <w:ind w:firstLine="641"/>
        <w:jc w:val="center"/>
        <w:rPr>
          <w:color w:val="000000"/>
          <w:szCs w:val="21"/>
        </w:rPr>
      </w:pPr>
    </w:p>
    <w:p>
      <w:pPr>
        <w:spacing w:after="2"/>
        <w:ind w:firstLine="641"/>
        <w:jc w:val="center"/>
        <w:rPr>
          <w:color w:val="000000"/>
          <w:szCs w:val="21"/>
        </w:rPr>
      </w:pPr>
    </w:p>
    <w:sectPr>
      <w:pgSz w:w="11906" w:h="16838" w:orient="landscape"/>
      <w:pgMar w:top="1440" w:right="1080" w:bottom="1440" w:left="1080" w:header="851" w:footer="992" w:gutter="0"/>
      <w:cols w:space="720" w:num="1"/>
      <w:docGrid w:type="lines" w:linePitch="1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mE2YzZmNDA3N2JiZmU0NjFhZDViODAxZWU0Y2UifQ=="/>
  </w:docVars>
  <w:rsids>
    <w:rsidRoot w:val="00E56E8C"/>
    <w:rsid w:val="002A77F3"/>
    <w:rsid w:val="00750B31"/>
    <w:rsid w:val="00DF5B6F"/>
    <w:rsid w:val="00E212A4"/>
    <w:rsid w:val="00E56E8C"/>
    <w:rsid w:val="182D1F37"/>
    <w:rsid w:val="2C3F4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unhideWhenUsed/>
    <w:qFormat/>
    <w:uiPriority w:val="99"/>
    <w:pPr>
      <w:tabs>
        <w:tab w:val="center" w:pos="4153"/>
        <w:tab w:val="right" w:pos="8306"/>
      </w:tabs>
      <w:snapToGrid w:val="0"/>
      <w:jc w:val="left"/>
    </w:pPr>
    <w:rPr>
      <w:sz w:val="18"/>
      <w:szCs w:val="18"/>
    </w:rPr>
  </w:style>
  <w:style w:type="paragraph" w:styleId="3">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FollowedHyperlink"/>
    <w:basedOn w:val="6"/>
    <w:semiHidden/>
    <w:unhideWhenUsed/>
    <w:qFormat/>
    <w:uiPriority w:val="99"/>
    <w:rPr>
      <w:color w:val="800080"/>
      <w:u w:val="single"/>
    </w:rPr>
  </w:style>
  <w:style w:type="character" w:styleId="9">
    <w:name w:val="Hyperlink"/>
    <w:basedOn w:val="6"/>
    <w:semiHidden/>
    <w:unhideWhenUsed/>
    <w:qFormat/>
    <w:uiPriority w:val="99"/>
    <w:rPr>
      <w:color w:val="0000FF"/>
      <w:u w:val="single"/>
    </w:rPr>
  </w:style>
  <w:style w:type="paragraph" w:customStyle="1" w:styleId="10">
    <w:name w:val="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peoplefilling"/>
    <w:basedOn w:val="6"/>
    <w:qFormat/>
    <w:uiPriority w:val="0"/>
  </w:style>
  <w:style w:type="character" w:customStyle="1" w:styleId="13">
    <w:name w:val="页眉 Char"/>
    <w:basedOn w:val="6"/>
    <w:link w:val="3"/>
    <w:qFormat/>
    <w:uiPriority w:val="99"/>
    <w:rPr>
      <w:rFonts w:asciiTheme="minorHAnsi" w:hAnsiTheme="minorHAnsi" w:cstheme="minorBidi"/>
      <w:kern w:val="2"/>
      <w:sz w:val="18"/>
      <w:szCs w:val="18"/>
    </w:rPr>
  </w:style>
  <w:style w:type="character" w:customStyle="1" w:styleId="14">
    <w:name w:val="页脚 Char"/>
    <w:basedOn w:val="6"/>
    <w:link w:val="2"/>
    <w:qFormat/>
    <w:uiPriority w:val="99"/>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7191</Words>
  <Characters>8122</Characters>
  <Lines>72</Lines>
  <Paragraphs>20</Paragraphs>
  <TotalTime>4</TotalTime>
  <ScaleCrop>false</ScaleCrop>
  <LinksUpToDate>false</LinksUpToDate>
  <CharactersWithSpaces>8253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2023-09-04T09:56:00Z</dcterms:created>
  <dc:creator>Lenovo</dc:creator>
  <cp:lastModifiedBy>东来</cp:lastModifiedBy>
  <dcterms:modified xsi:type="dcterms:W3CDTF">2023-09-22T14:39:41Z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3C22695CA9994D4BA7335550FB270106_13</vt:lpwstr>
  </property>
</Properties>
</file>