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2B0D8">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14:paraId="61FF270B">
      <w:pPr>
        <w:spacing w:line="520" w:lineRule="exact"/>
        <w:jc w:val="center"/>
        <w:rPr>
          <w:rFonts w:ascii="方正小标宋简体" w:eastAsia="方正小标宋简体"/>
          <w:color w:val="000000"/>
          <w:sz w:val="36"/>
          <w:szCs w:val="36"/>
        </w:rPr>
      </w:pPr>
    </w:p>
    <w:p w14:paraId="05C5AD7B">
      <w:pPr>
        <w:spacing w:line="520" w:lineRule="exact"/>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14:paraId="640865DC">
      <w:pPr>
        <w:spacing w:line="520" w:lineRule="exact"/>
        <w:ind w:firstLine="420" w:firstLineChars="200"/>
        <w:jc w:val="center"/>
        <w:rPr>
          <w:rFonts w:eastAsia="楷体_GB2312"/>
        </w:rPr>
      </w:pPr>
      <w:r>
        <w:rPr>
          <w:rFonts w:hint="eastAsia" w:eastAsia="楷体_GB2312"/>
        </w:rPr>
        <w:t xml:space="preserve">  </w:t>
      </w:r>
    </w:p>
    <w:p w14:paraId="475BDA27">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一、部门概况</w:t>
      </w:r>
    </w:p>
    <w:p w14:paraId="753CE1B0">
      <w:pPr>
        <w:autoSpaceDE w:val="0"/>
        <w:autoSpaceDN w:val="0"/>
        <w:adjustRightInd w:val="0"/>
        <w:spacing w:line="520" w:lineRule="exact"/>
        <w:ind w:firstLine="643"/>
        <w:rPr>
          <w:rFonts w:ascii="宋体" w:hAnsi="宋体" w:cs="宋体"/>
          <w:b/>
          <w:bCs/>
          <w:sz w:val="32"/>
          <w:szCs w:val="32"/>
        </w:rPr>
      </w:pPr>
      <w:r>
        <w:rPr>
          <w:rFonts w:hint="eastAsia" w:ascii="宋体" w:hAnsi="宋体" w:cs="宋体"/>
          <w:b/>
          <w:bCs/>
          <w:sz w:val="32"/>
          <w:szCs w:val="32"/>
        </w:rPr>
        <w:t>（一）部门基本情况。</w:t>
      </w:r>
    </w:p>
    <w:p w14:paraId="419FDEF1">
      <w:pPr>
        <w:autoSpaceDE w:val="0"/>
        <w:autoSpaceDN w:val="0"/>
        <w:adjustRightInd w:val="0"/>
        <w:spacing w:line="520" w:lineRule="exact"/>
        <w:ind w:firstLine="640"/>
        <w:rPr>
          <w:rFonts w:ascii="仿宋" w:hAnsi="仿宋" w:eastAsia="仿宋" w:cs="仿宋"/>
          <w:b/>
          <w:bCs/>
          <w:sz w:val="32"/>
          <w:szCs w:val="32"/>
        </w:rPr>
      </w:pPr>
      <w:r>
        <w:rPr>
          <w:rFonts w:hint="eastAsia" w:ascii="仿宋" w:hAnsi="仿宋" w:eastAsia="仿宋" w:cs="仿宋"/>
          <w:b/>
          <w:bCs/>
          <w:sz w:val="32"/>
          <w:szCs w:val="32"/>
        </w:rPr>
        <w:t>1．主要职能。</w:t>
      </w:r>
    </w:p>
    <w:p w14:paraId="6D150EE1">
      <w:pPr>
        <w:pStyle w:val="5"/>
        <w:spacing w:beforeAutospacing="0" w:line="520" w:lineRule="exact"/>
        <w:rPr>
          <w:rFonts w:ascii="仿宋" w:hAnsi="仿宋" w:eastAsia="仿宋" w:cs="仿宋"/>
          <w:sz w:val="32"/>
          <w:szCs w:val="32"/>
        </w:rPr>
      </w:pPr>
      <w:r>
        <w:rPr>
          <w:rFonts w:hint="eastAsia" w:ascii="仿宋" w:hAnsi="仿宋" w:eastAsia="仿宋" w:cs="仿宋"/>
          <w:sz w:val="32"/>
          <w:szCs w:val="32"/>
        </w:rPr>
        <w:t xml:space="preserve">    （1）贯彻执行党和国家有关农业和农村工作的方针、政策，积极发展果业生产。</w:t>
      </w:r>
    </w:p>
    <w:p w14:paraId="0A1A2FA0">
      <w:pPr>
        <w:pStyle w:val="5"/>
        <w:spacing w:before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（2）负责区直机关水果开发的产前、产中、产后的服务工作，负责示范场内的水、电、路等基础设施建设，维护和房产等国有资产的管理，协调场内生产遇到各种矛盾。</w:t>
      </w:r>
    </w:p>
    <w:p w14:paraId="246C6A12">
      <w:pPr>
        <w:pStyle w:val="5"/>
        <w:spacing w:before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（3）负责示范场内种植、养殖、加工等技术指导，组织果苗的生产与销售、对口生资及农械具的购销。</w:t>
      </w:r>
    </w:p>
    <w:p w14:paraId="47A101DD">
      <w:pPr>
        <w:pStyle w:val="5"/>
        <w:spacing w:before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（4）完成区委、区政府交办的其他工作。</w:t>
      </w:r>
    </w:p>
    <w:p w14:paraId="0D8E4CC9">
      <w:pPr>
        <w:pStyle w:val="5"/>
        <w:spacing w:beforeAutospacing="0" w:line="52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2．机构情况。</w:t>
      </w:r>
      <w:r>
        <w:rPr>
          <w:rFonts w:hint="eastAsia" w:ascii="仿宋" w:hAnsi="仿宋" w:eastAsia="仿宋" w:cs="仿宋"/>
          <w:sz w:val="32"/>
          <w:szCs w:val="32"/>
        </w:rPr>
        <w:t xml:space="preserve">区水果开发示范场下设办公室和经作服务站。办公室负责上传下达，内务协调、文书档案、来信来访，安全保卫、车辆管理及单位财务工作；负责国有资产管理、干部人事、劳动工资、保险福利等有关工作。经作服务站负责制定场内果业的年度计划和中长期规划，引进良种，推广先进技术，加强场内经济作物的产前、产中、产后协调服务等相关工作。   </w:t>
      </w:r>
    </w:p>
    <w:p w14:paraId="3069B66E">
      <w:pPr>
        <w:pStyle w:val="5"/>
        <w:spacing w:beforeAutospacing="0"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3.人员情况。</w:t>
      </w:r>
      <w:r>
        <w:rPr>
          <w:rFonts w:hint="eastAsia" w:ascii="仿宋" w:hAnsi="仿宋" w:eastAsia="仿宋" w:cs="仿宋"/>
          <w:sz w:val="32"/>
          <w:szCs w:val="32"/>
        </w:rPr>
        <w:t>2021年本单位年未实有人数3人，比上年</w:t>
      </w:r>
      <w:r>
        <w:rPr>
          <w:rFonts w:hint="eastAsia" w:ascii="仿宋" w:hAnsi="仿宋" w:eastAsia="仿宋" w:cs="仿宋"/>
          <w:sz w:val="32"/>
          <w:szCs w:val="32"/>
          <w:lang w:val="zh-CN"/>
        </w:rPr>
        <w:t>变动了减少</w:t>
      </w:r>
      <w:r>
        <w:rPr>
          <w:rFonts w:hint="eastAsia" w:ascii="仿宋" w:hAnsi="仿宋" w:eastAsia="仿宋" w:cs="仿宋"/>
          <w:sz w:val="32"/>
          <w:szCs w:val="32"/>
        </w:rPr>
        <w:t>1人。</w:t>
      </w:r>
    </w:p>
    <w:p w14:paraId="7581DE25">
      <w:pPr>
        <w:spacing w:line="520" w:lineRule="exact"/>
        <w:ind w:firstLine="643" w:firstLineChars="200"/>
        <w:rPr>
          <w:rFonts w:ascii="宋体" w:hAnsi="宋体" w:cs="宋体"/>
          <w:b/>
          <w:bCs/>
          <w:sz w:val="32"/>
          <w:szCs w:val="32"/>
        </w:rPr>
      </w:pPr>
      <w:r>
        <w:rPr>
          <w:rFonts w:hint="eastAsia" w:ascii="宋体" w:hAnsi="宋体" w:cs="宋体"/>
          <w:b/>
          <w:bCs/>
          <w:sz w:val="32"/>
          <w:szCs w:val="32"/>
        </w:rPr>
        <w:t>（二）</w:t>
      </w:r>
      <w:r>
        <w:rPr>
          <w:rFonts w:hint="eastAsia" w:ascii="宋体" w:hAnsi="宋体" w:cs="宋体"/>
          <w:b/>
          <w:bCs/>
          <w:color w:val="000000"/>
          <w:sz w:val="32"/>
          <w:szCs w:val="32"/>
        </w:rPr>
        <w:t>2021</w:t>
      </w:r>
      <w:r>
        <w:rPr>
          <w:rFonts w:hint="eastAsia" w:ascii="宋体" w:hAnsi="宋体" w:cs="宋体"/>
          <w:b/>
          <w:bCs/>
          <w:sz w:val="32"/>
          <w:szCs w:val="32"/>
        </w:rPr>
        <w:t>年的重点工作</w:t>
      </w:r>
    </w:p>
    <w:p w14:paraId="55F38380">
      <w:pPr>
        <w:spacing w:line="520" w:lineRule="exact"/>
        <w:ind w:firstLine="660"/>
        <w:rPr>
          <w:rFonts w:ascii="仿宋" w:hAnsi="仿宋" w:eastAsia="仿宋" w:cs="仿宋"/>
          <w:sz w:val="32"/>
          <w:szCs w:val="32"/>
        </w:rPr>
      </w:pPr>
      <w:r>
        <w:rPr>
          <w:rFonts w:hint="eastAsia" w:ascii="仿宋" w:hAnsi="仿宋" w:eastAsia="仿宋" w:cs="仿宋"/>
          <w:sz w:val="32"/>
          <w:szCs w:val="32"/>
        </w:rPr>
        <w:t>2021年我场以强化综合服务指导为主线，以加强自身建设为目标，以协调处理场内农户（山主）与承租开发老板矛盾纠纷为重点，实现了一方和谐和“零上访”，树立了水果示范场新形象。主要做好了如下工作：</w:t>
      </w:r>
    </w:p>
    <w:p w14:paraId="4E3B643B">
      <w:pPr>
        <w:spacing w:line="520" w:lineRule="exact"/>
        <w:ind w:firstLine="660"/>
        <w:rPr>
          <w:rFonts w:ascii="仿宋" w:hAnsi="仿宋" w:eastAsia="仿宋" w:cs="仿宋"/>
          <w:sz w:val="32"/>
          <w:szCs w:val="32"/>
        </w:rPr>
      </w:pPr>
      <w:r>
        <w:rPr>
          <w:rFonts w:hint="eastAsia" w:ascii="仿宋" w:hAnsi="仿宋" w:eastAsia="仿宋" w:cs="仿宋"/>
          <w:b/>
          <w:sz w:val="32"/>
          <w:szCs w:val="32"/>
        </w:rPr>
        <w:t>1、主抓信访维稳工作主线，协调矛盾纠纷，维护和谐稳定。</w:t>
      </w:r>
      <w:r>
        <w:rPr>
          <w:rFonts w:hint="eastAsia" w:ascii="仿宋" w:hAnsi="仿宋" w:eastAsia="仿宋" w:cs="仿宋"/>
          <w:sz w:val="32"/>
          <w:szCs w:val="32"/>
        </w:rPr>
        <w:t>组织专门力量积极做好承租老板与山主有关土地租金（原合同为每亩每年租金为5斤茶油市场价付现）、治安、合同执行等矛盾纠纷的协调与处理工作，我场针对历年来发生的上访事件进行了一次梳理，重点关注胡庆祝、胡汉生、黄新民等老上访户的动向，及时做好了跟踪走访和各种处置预案，切实抓好维稳工作，杜绝了集体上访事件的发生，确保了和谐与稳定。</w:t>
      </w:r>
    </w:p>
    <w:p w14:paraId="05F51C8A">
      <w:pPr>
        <w:spacing w:line="520" w:lineRule="exact"/>
        <w:ind w:firstLine="660"/>
        <w:rPr>
          <w:rFonts w:ascii="仿宋" w:hAnsi="仿宋" w:eastAsia="仿宋" w:cs="仿宋"/>
          <w:sz w:val="32"/>
          <w:szCs w:val="32"/>
        </w:rPr>
      </w:pPr>
      <w:r>
        <w:rPr>
          <w:rFonts w:hint="eastAsia" w:ascii="仿宋" w:hAnsi="仿宋" w:eastAsia="仿宋" w:cs="仿宋"/>
          <w:b/>
          <w:sz w:val="32"/>
          <w:szCs w:val="32"/>
        </w:rPr>
        <w:t>2、落实好区委区政府新时期各项工作要求，提供多方服务，修复生产设施，搞好场内基础建设。</w:t>
      </w:r>
      <w:r>
        <w:rPr>
          <w:rFonts w:hint="eastAsia" w:ascii="仿宋" w:hAnsi="仿宋" w:eastAsia="仿宋" w:cs="仿宋"/>
          <w:sz w:val="32"/>
          <w:szCs w:val="32"/>
        </w:rPr>
        <w:t>我场今年在全国新冠病毒“疫情'发生以来，积极</w:t>
      </w:r>
      <w:bookmarkStart w:id="2" w:name="_GoBack"/>
      <w:bookmarkEnd w:id="2"/>
      <w:r>
        <w:rPr>
          <w:rFonts w:hint="eastAsia" w:ascii="仿宋" w:hAnsi="仿宋" w:eastAsia="仿宋" w:cs="仿宋"/>
          <w:sz w:val="32"/>
          <w:szCs w:val="32"/>
          <w:lang w:eastAsia="zh-CN"/>
        </w:rPr>
        <w:t>贯彻落实</w:t>
      </w:r>
      <w:r>
        <w:rPr>
          <w:rFonts w:hint="eastAsia" w:ascii="仿宋" w:hAnsi="仿宋" w:eastAsia="仿宋" w:cs="仿宋"/>
          <w:sz w:val="32"/>
          <w:szCs w:val="32"/>
        </w:rPr>
        <w:t>上级疫情防控要求，全体干部职工团结一心，不怕困难，走访慰问全场种养户，采取了有力措施组织防疫工作，制作宣传横幅16条，免费发放防疫、维稳宣传手册5218份及大量的医用一次性口罩和部分消毒药水等物质，及时有效的做好疫情防控工作，维护了当地生产生活秩序稳定。在“文明创建”、“疫情防控”“乡村振兴”工作部署上，响应区委区政府各项要求，积极参与，协调配合主动作为，坚决完成了上级要求的各项任务。在搞好基础设施建设方面，积极与区财政局、区供电局等相关单位联系，竭尽所能各方筹措资金，帮助维修好场内的排灌和供电设备，确保80KW大型机埠供电变压器正常供电，确保场内水果开发持续增产增收。</w:t>
      </w:r>
    </w:p>
    <w:p w14:paraId="1C7FB0ED">
      <w:pPr>
        <w:spacing w:line="520" w:lineRule="exact"/>
        <w:ind w:firstLine="660"/>
        <w:rPr>
          <w:rFonts w:ascii="仿宋" w:hAnsi="仿宋" w:eastAsia="仿宋" w:cs="仿宋"/>
          <w:sz w:val="32"/>
          <w:szCs w:val="32"/>
        </w:rPr>
      </w:pPr>
      <w:r>
        <w:rPr>
          <w:rFonts w:hint="eastAsia" w:ascii="仿宋" w:hAnsi="仿宋" w:eastAsia="仿宋" w:cs="仿宋"/>
          <w:b/>
          <w:sz w:val="32"/>
          <w:szCs w:val="32"/>
        </w:rPr>
        <w:t>3、争取补充资金，确保单位正常运转。</w:t>
      </w:r>
      <w:r>
        <w:rPr>
          <w:rFonts w:hint="eastAsia" w:ascii="仿宋" w:hAnsi="仿宋" w:eastAsia="仿宋" w:cs="仿宋"/>
          <w:sz w:val="32"/>
          <w:szCs w:val="32"/>
        </w:rPr>
        <w:t>因财政预算安排我场公用经费有限，同时根据我场实际发展现状，场部大部生产生活设施老化，人员经费存在不足情况，努力争取了解决部分资金费用问题，弥补经费不足，确保了我场生产事业正常运转和自身发展提供了经济基础。</w:t>
      </w:r>
    </w:p>
    <w:p w14:paraId="01017C5C">
      <w:pPr>
        <w:spacing w:line="520" w:lineRule="exact"/>
        <w:ind w:firstLine="600" w:firstLineChars="200"/>
        <w:rPr>
          <w:rFonts w:ascii="黑体" w:hAnsi="黑体" w:eastAsia="黑体" w:cs="黑体"/>
          <w:bCs/>
          <w:sz w:val="30"/>
          <w:szCs w:val="30"/>
        </w:rPr>
      </w:pPr>
      <w:r>
        <w:rPr>
          <w:rFonts w:hint="eastAsia" w:ascii="黑体" w:hAnsi="黑体" w:eastAsia="黑体" w:cs="黑体"/>
          <w:bCs/>
          <w:sz w:val="30"/>
          <w:szCs w:val="30"/>
        </w:rPr>
        <w:t>二、一般公共预算支出情况</w:t>
      </w:r>
    </w:p>
    <w:p w14:paraId="256E3B46">
      <w:pPr>
        <w:snapToGrid w:val="0"/>
        <w:spacing w:line="520" w:lineRule="exact"/>
        <w:ind w:firstLine="600" w:firstLineChars="200"/>
        <w:rPr>
          <w:rFonts w:ascii="宋体" w:hAnsi="宋体"/>
          <w:sz w:val="30"/>
          <w:szCs w:val="30"/>
        </w:rPr>
      </w:pPr>
      <w:r>
        <w:rPr>
          <w:rFonts w:ascii="宋体" w:hAnsi="宋体"/>
          <w:sz w:val="30"/>
          <w:szCs w:val="30"/>
        </w:rPr>
        <w:t>（一）基本支出情况。</w:t>
      </w:r>
    </w:p>
    <w:p w14:paraId="17565E95">
      <w:pPr>
        <w:snapToGrid w:val="0"/>
        <w:spacing w:line="520" w:lineRule="exact"/>
        <w:ind w:firstLine="640" w:firstLineChars="200"/>
        <w:rPr>
          <w:rFonts w:ascii="仿宋" w:hAnsi="仿宋" w:eastAsia="仿宋" w:cs="仿宋"/>
          <w:sz w:val="32"/>
          <w:szCs w:val="32"/>
        </w:rPr>
      </w:pPr>
      <w:r>
        <w:rPr>
          <w:rFonts w:hint="eastAsia" w:ascii="仿宋_GB2312" w:hAnsi="仿宋" w:eastAsia="仿宋_GB2312"/>
          <w:sz w:val="32"/>
          <w:szCs w:val="24"/>
        </w:rPr>
        <w:t>2021年总支出40.52万元，</w:t>
      </w:r>
      <w:r>
        <w:rPr>
          <w:rFonts w:hint="eastAsia" w:ascii="仿宋_GB2312" w:hAnsi="宋体" w:eastAsia="仿宋_GB2312"/>
          <w:sz w:val="32"/>
          <w:szCs w:val="24"/>
        </w:rPr>
        <w:t>其中工资福利支出36.76万元</w:t>
      </w:r>
      <w:r>
        <w:rPr>
          <w:rFonts w:hint="eastAsia" w:ascii="仿宋_GB2312" w:eastAsia="仿宋_GB2312"/>
          <w:sz w:val="32"/>
          <w:szCs w:val="24"/>
        </w:rPr>
        <w:t>，占总收入的90.72%；</w:t>
      </w:r>
      <w:r>
        <w:rPr>
          <w:rFonts w:hint="eastAsia" w:ascii="仿宋_GB2312" w:hAnsi="宋体" w:eastAsia="仿宋_GB2312"/>
          <w:sz w:val="32"/>
          <w:szCs w:val="24"/>
        </w:rPr>
        <w:t>商品和服务支出3.76万元</w:t>
      </w:r>
      <w:r>
        <w:rPr>
          <w:rFonts w:hint="eastAsia" w:ascii="仿宋_GB2312" w:eastAsia="仿宋_GB2312"/>
          <w:sz w:val="32"/>
          <w:szCs w:val="24"/>
        </w:rPr>
        <w:t>，占总收入的9.28%</w:t>
      </w:r>
      <w:r>
        <w:rPr>
          <w:rFonts w:hint="eastAsia" w:ascii="仿宋_GB2312" w:hAnsi="宋体" w:eastAsia="仿宋_GB2312"/>
          <w:sz w:val="32"/>
          <w:szCs w:val="24"/>
        </w:rPr>
        <w:t>。</w:t>
      </w:r>
    </w:p>
    <w:p w14:paraId="504F7AD7">
      <w:pPr>
        <w:spacing w:line="520" w:lineRule="exact"/>
        <w:ind w:firstLine="643" w:firstLineChars="200"/>
        <w:rPr>
          <w:rFonts w:hint="eastAsia" w:ascii="宋体" w:hAnsi="宋体" w:cs="宋体"/>
          <w:b/>
          <w:bCs/>
          <w:sz w:val="32"/>
          <w:szCs w:val="32"/>
        </w:rPr>
      </w:pPr>
      <w:r>
        <w:rPr>
          <w:rFonts w:hint="eastAsia" w:ascii="宋体" w:hAnsi="宋体" w:cs="宋体"/>
          <w:b/>
          <w:bCs/>
          <w:sz w:val="32"/>
          <w:szCs w:val="32"/>
        </w:rPr>
        <w:t>（二）项目支出情况：</w:t>
      </w:r>
    </w:p>
    <w:p w14:paraId="4E679F2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14:paraId="732B3A61">
      <w:pPr>
        <w:spacing w:line="520" w:lineRule="exact"/>
        <w:ind w:firstLine="643" w:firstLineChars="200"/>
        <w:rPr>
          <w:rFonts w:ascii="宋体" w:hAnsi="宋体" w:cs="宋体"/>
          <w:b/>
          <w:bCs/>
          <w:sz w:val="32"/>
          <w:szCs w:val="32"/>
        </w:rPr>
      </w:pPr>
      <w:r>
        <w:rPr>
          <w:rFonts w:hint="eastAsia" w:ascii="宋体" w:hAnsi="宋体" w:cs="宋体"/>
          <w:b/>
          <w:bCs/>
          <w:sz w:val="32"/>
          <w:szCs w:val="32"/>
        </w:rPr>
        <w:t>（三）“三公”经费情况：</w:t>
      </w:r>
    </w:p>
    <w:p w14:paraId="502F3E0D">
      <w:pPr>
        <w:spacing w:line="52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2020年，“三公”经费完成0元，比上年增减0元，下降100%，增减变化的主要原因是：厉行节约，进一步压缩三公经费。</w:t>
      </w:r>
      <w:r>
        <w:rPr>
          <w:rFonts w:hint="eastAsia" w:ascii="仿宋" w:hAnsi="仿宋" w:eastAsia="仿宋" w:cs="仿宋"/>
          <w:sz w:val="32"/>
          <w:szCs w:val="32"/>
          <w:lang w:val="zh-CN"/>
        </w:rPr>
        <w:t>其中：</w:t>
      </w:r>
    </w:p>
    <w:p w14:paraId="41A1413C">
      <w:pPr>
        <w:spacing w:line="520" w:lineRule="exact"/>
        <w:ind w:firstLine="643" w:firstLineChars="200"/>
        <w:rPr>
          <w:rFonts w:ascii="仿宋" w:hAnsi="仿宋" w:eastAsia="仿宋" w:cs="仿宋"/>
          <w:sz w:val="32"/>
          <w:szCs w:val="32"/>
          <w:lang w:val="zh-CN"/>
        </w:rPr>
      </w:pPr>
      <w:r>
        <w:rPr>
          <w:rFonts w:hint="eastAsia" w:ascii="仿宋" w:hAnsi="仿宋" w:eastAsia="仿宋" w:cs="仿宋"/>
          <w:b/>
          <w:sz w:val="32"/>
          <w:szCs w:val="32"/>
        </w:rPr>
        <w:t>1.</w:t>
      </w:r>
      <w:r>
        <w:rPr>
          <w:rFonts w:hint="eastAsia" w:ascii="仿宋" w:hAnsi="仿宋" w:eastAsia="仿宋" w:cs="仿宋"/>
          <w:b/>
          <w:sz w:val="32"/>
          <w:szCs w:val="32"/>
          <w:lang w:val="zh-CN"/>
        </w:rPr>
        <w:t>因公出国（境）费：</w:t>
      </w:r>
      <w:r>
        <w:rPr>
          <w:rFonts w:hint="eastAsia" w:ascii="仿宋" w:hAnsi="仿宋" w:eastAsia="仿宋" w:cs="仿宋"/>
          <w:sz w:val="32"/>
          <w:szCs w:val="32"/>
        </w:rPr>
        <w:t>完成0元，比上年增减0元</w:t>
      </w:r>
      <w:r>
        <w:rPr>
          <w:rFonts w:hint="eastAsia" w:ascii="仿宋" w:hAnsi="仿宋" w:eastAsia="仿宋" w:cs="仿宋"/>
          <w:sz w:val="32"/>
          <w:szCs w:val="32"/>
          <w:lang w:val="zh-CN"/>
        </w:rPr>
        <w:t>；</w:t>
      </w:r>
    </w:p>
    <w:p w14:paraId="032D4D58">
      <w:pPr>
        <w:spacing w:line="52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rPr>
        <w:t>2.</w:t>
      </w:r>
      <w:r>
        <w:rPr>
          <w:rFonts w:hint="eastAsia" w:ascii="仿宋" w:hAnsi="仿宋" w:eastAsia="仿宋" w:cs="仿宋"/>
          <w:b/>
          <w:bCs/>
          <w:sz w:val="32"/>
          <w:szCs w:val="32"/>
          <w:lang w:val="zh-CN"/>
        </w:rPr>
        <w:t>公务接待费：</w:t>
      </w:r>
      <w:r>
        <w:rPr>
          <w:rFonts w:hint="eastAsia" w:ascii="仿宋" w:hAnsi="仿宋" w:eastAsia="仿宋" w:cs="仿宋"/>
          <w:sz w:val="32"/>
          <w:szCs w:val="32"/>
        </w:rPr>
        <w:t>完成0元，比上年增减0元，下降-100%，增减变化的主要原因是：厉行节约，进一步压缩三公经费</w:t>
      </w:r>
      <w:r>
        <w:rPr>
          <w:rFonts w:hint="eastAsia" w:ascii="仿宋" w:hAnsi="仿宋" w:eastAsia="仿宋" w:cs="仿宋"/>
          <w:sz w:val="32"/>
          <w:szCs w:val="32"/>
          <w:lang w:val="zh-CN"/>
        </w:rPr>
        <w:t>；</w:t>
      </w:r>
    </w:p>
    <w:p w14:paraId="5E79176C">
      <w:pPr>
        <w:spacing w:line="520" w:lineRule="exact"/>
        <w:ind w:firstLine="643" w:firstLineChars="200"/>
        <w:rPr>
          <w:rFonts w:ascii="宋体" w:hAnsi="宋体"/>
          <w:sz w:val="30"/>
          <w:szCs w:val="30"/>
        </w:rPr>
      </w:pPr>
      <w:r>
        <w:rPr>
          <w:rFonts w:hint="eastAsia" w:ascii="仿宋" w:hAnsi="仿宋" w:eastAsia="仿宋" w:cs="仿宋"/>
          <w:b/>
          <w:sz w:val="32"/>
          <w:szCs w:val="32"/>
        </w:rPr>
        <w:t>3.</w:t>
      </w:r>
      <w:r>
        <w:rPr>
          <w:rFonts w:hint="eastAsia" w:ascii="仿宋" w:hAnsi="仿宋" w:eastAsia="仿宋" w:cs="仿宋"/>
          <w:b/>
          <w:sz w:val="32"/>
          <w:szCs w:val="32"/>
          <w:lang w:val="zh-CN"/>
        </w:rPr>
        <w:t>公务用车购置及运行维护费：</w:t>
      </w:r>
      <w:r>
        <w:rPr>
          <w:rFonts w:hint="eastAsia" w:ascii="仿宋" w:hAnsi="仿宋" w:eastAsia="仿宋" w:cs="仿宋"/>
          <w:sz w:val="32"/>
          <w:szCs w:val="32"/>
        </w:rPr>
        <w:t>完成0元，比上年增减0元</w:t>
      </w:r>
      <w:r>
        <w:rPr>
          <w:rFonts w:hint="eastAsia" w:ascii="仿宋" w:hAnsi="仿宋" w:eastAsia="仿宋" w:cs="仿宋"/>
          <w:sz w:val="32"/>
          <w:szCs w:val="32"/>
          <w:lang w:val="zh-CN"/>
        </w:rPr>
        <w:t>。</w:t>
      </w:r>
    </w:p>
    <w:p w14:paraId="491C41C6">
      <w:pPr>
        <w:pStyle w:val="13"/>
        <w:tabs>
          <w:tab w:val="left" w:pos="1538"/>
        </w:tabs>
        <w:spacing w:line="520" w:lineRule="exact"/>
        <w:ind w:firstLine="900"/>
        <w:jc w:val="left"/>
        <w:rPr>
          <w:rFonts w:ascii="黑体" w:hAnsi="黑体" w:eastAsia="黑体" w:cs="黑体"/>
          <w:color w:val="000000"/>
          <w:sz w:val="32"/>
          <w:szCs w:val="32"/>
        </w:rPr>
      </w:pPr>
      <w:bookmarkStart w:id="0" w:name="bookmark81"/>
      <w:r>
        <w:rPr>
          <w:rFonts w:hint="eastAsia" w:ascii="黑体" w:hAnsi="黑体" w:eastAsia="黑体" w:cs="黑体"/>
          <w:color w:val="000000"/>
          <w:sz w:val="32"/>
          <w:szCs w:val="32"/>
        </w:rPr>
        <w:t>三</w:t>
      </w:r>
      <w:bookmarkEnd w:id="0"/>
      <w:r>
        <w:rPr>
          <w:rFonts w:hint="eastAsia" w:ascii="黑体" w:hAnsi="黑体" w:eastAsia="黑体" w:cs="黑体"/>
          <w:color w:val="000000"/>
          <w:sz w:val="32"/>
          <w:szCs w:val="32"/>
        </w:rPr>
        <w:t>、政府性基金预算支出情况</w:t>
      </w:r>
    </w:p>
    <w:p w14:paraId="1EA8EC9F">
      <w:pPr>
        <w:pStyle w:val="13"/>
        <w:tabs>
          <w:tab w:val="left" w:pos="1538"/>
        </w:tabs>
        <w:spacing w:line="520" w:lineRule="exact"/>
        <w:ind w:firstLine="90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14:paraId="411E53EE">
      <w:pPr>
        <w:pStyle w:val="13"/>
        <w:numPr>
          <w:ilvl w:val="0"/>
          <w:numId w:val="1"/>
        </w:numPr>
        <w:tabs>
          <w:tab w:val="left" w:pos="1538"/>
        </w:tabs>
        <w:spacing w:line="520"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国有资本经营预算支出情况</w:t>
      </w:r>
    </w:p>
    <w:p w14:paraId="09B2EDFF">
      <w:pPr>
        <w:pStyle w:val="13"/>
        <w:tabs>
          <w:tab w:val="left" w:pos="1538"/>
        </w:tabs>
        <w:spacing w:line="520"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14:paraId="3FE12849">
      <w:pPr>
        <w:pStyle w:val="13"/>
        <w:numPr>
          <w:ilvl w:val="0"/>
          <w:numId w:val="1"/>
        </w:numPr>
        <w:tabs>
          <w:tab w:val="left" w:pos="1538"/>
        </w:tabs>
        <w:spacing w:line="520"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社会保险基金预算支出情况</w:t>
      </w:r>
    </w:p>
    <w:p w14:paraId="6C7E4764">
      <w:pPr>
        <w:pStyle w:val="13"/>
        <w:tabs>
          <w:tab w:val="left" w:pos="1538"/>
        </w:tabs>
        <w:spacing w:line="520"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14:paraId="1024F683">
      <w:pPr>
        <w:pStyle w:val="13"/>
        <w:tabs>
          <w:tab w:val="left" w:pos="1538"/>
        </w:tabs>
        <w:spacing w:line="520" w:lineRule="exact"/>
        <w:ind w:firstLine="900"/>
        <w:jc w:val="left"/>
        <w:rPr>
          <w:rFonts w:ascii="黑体" w:hAnsi="黑体" w:eastAsia="黑体" w:cs="黑体"/>
          <w:sz w:val="32"/>
          <w:szCs w:val="32"/>
        </w:rPr>
      </w:pPr>
      <w:bookmarkStart w:id="1" w:name="bookmark84"/>
      <w:r>
        <w:rPr>
          <w:rFonts w:hint="eastAsia" w:ascii="黑体" w:hAnsi="黑体" w:eastAsia="黑体" w:cs="黑体"/>
          <w:color w:val="000000"/>
          <w:sz w:val="32"/>
          <w:szCs w:val="32"/>
        </w:rPr>
        <w:t>六</w:t>
      </w:r>
      <w:bookmarkEnd w:id="1"/>
      <w:r>
        <w:rPr>
          <w:rFonts w:hint="eastAsia" w:ascii="黑体" w:hAnsi="黑体" w:eastAsia="黑体" w:cs="黑体"/>
          <w:color w:val="000000"/>
          <w:sz w:val="32"/>
          <w:szCs w:val="32"/>
        </w:rPr>
        <w:t>、部门整体支出绩效情况</w:t>
      </w:r>
    </w:p>
    <w:p w14:paraId="056A7FBC">
      <w:pPr>
        <w:spacing w:line="520" w:lineRule="exact"/>
        <w:ind w:firstLine="627" w:firstLineChars="196"/>
        <w:rPr>
          <w:rFonts w:ascii="仿宋" w:hAnsi="仿宋" w:eastAsia="仿宋" w:cs="仿宋"/>
          <w:color w:val="000000"/>
          <w:sz w:val="32"/>
          <w:szCs w:val="32"/>
          <w:lang w:val="zh-TW" w:bidi="zh-TW"/>
        </w:rPr>
      </w:pPr>
      <w:r>
        <w:rPr>
          <w:rFonts w:hint="eastAsia" w:ascii="仿宋" w:hAnsi="仿宋" w:eastAsia="仿宋" w:cs="仿宋"/>
          <w:sz w:val="32"/>
          <w:szCs w:val="32"/>
        </w:rPr>
        <w:t>1、保障单位正常运行，保障干部职工工资及福利发放。三公经费比2020年预算安排下降100%。2、提高场部职工责任意识和工作作风转变,做到岗位值班签到100%,来访登记100%。进一步加强场部果农种植户的生产技术指导服务工作，使上门走访服务率达到100﹪。管理和维护好现有基础设施，改善内部环境，促使环境优化率提升90%以上，增加当地农民和果农创收增收。3、及时调解处置好种植老板与当地农民之间的矛盾纠纷，及时化解在萌芽状态。矛盾处置率100%，控制上访率比2020年下降95﹪。</w:t>
      </w:r>
    </w:p>
    <w:p w14:paraId="560733E6">
      <w:pPr>
        <w:spacing w:line="520" w:lineRule="exact"/>
        <w:ind w:firstLine="602" w:firstLineChars="200"/>
        <w:rPr>
          <w:rFonts w:ascii="宋体" w:hAnsi="宋体"/>
          <w:b/>
          <w:sz w:val="30"/>
          <w:szCs w:val="30"/>
        </w:rPr>
      </w:pPr>
      <w:r>
        <w:rPr>
          <w:rFonts w:hint="eastAsia" w:ascii="宋体" w:hAnsi="宋体"/>
          <w:b/>
          <w:sz w:val="30"/>
          <w:szCs w:val="30"/>
        </w:rPr>
        <w:t>七、绩效自评得分情况及绩效等级。</w:t>
      </w:r>
    </w:p>
    <w:p w14:paraId="0554175A">
      <w:pPr>
        <w:pStyle w:val="6"/>
        <w:spacing w:line="520" w:lineRule="exact"/>
        <w:ind w:left="840" w:leftChars="400" w:firstLine="0" w:firstLineChars="0"/>
        <w:rPr>
          <w:rFonts w:hint="default" w:ascii="宋体" w:hAnsi="宋体"/>
          <w:b/>
          <w:sz w:val="30"/>
          <w:szCs w:val="30"/>
        </w:rPr>
      </w:pPr>
      <w:r>
        <w:rPr>
          <w:rFonts w:ascii="仿宋" w:hAnsi="仿宋" w:eastAsia="仿宋" w:cs="仿宋"/>
          <w:sz w:val="32"/>
          <w:szCs w:val="32"/>
        </w:rPr>
        <w:t>2020年我场绩效自评得分为100分，绩效等级为优。</w:t>
      </w:r>
    </w:p>
    <w:p w14:paraId="61738CFA">
      <w:pPr>
        <w:spacing w:line="520" w:lineRule="exact"/>
        <w:ind w:firstLine="602" w:firstLineChars="200"/>
        <w:rPr>
          <w:rFonts w:ascii="宋体" w:hAnsi="宋体"/>
          <w:b/>
          <w:sz w:val="30"/>
          <w:szCs w:val="30"/>
        </w:rPr>
      </w:pPr>
      <w:r>
        <w:rPr>
          <w:rFonts w:hint="eastAsia" w:ascii="宋体" w:hAnsi="宋体"/>
          <w:b/>
          <w:sz w:val="30"/>
          <w:szCs w:val="30"/>
        </w:rPr>
        <w:t>八</w:t>
      </w:r>
      <w:r>
        <w:rPr>
          <w:rFonts w:ascii="宋体" w:hAnsi="宋体"/>
          <w:b/>
          <w:sz w:val="30"/>
          <w:szCs w:val="30"/>
        </w:rPr>
        <w:t>、存在的问题</w:t>
      </w:r>
      <w:r>
        <w:rPr>
          <w:rFonts w:hint="eastAsia" w:ascii="宋体" w:hAnsi="宋体"/>
          <w:b/>
          <w:sz w:val="30"/>
          <w:szCs w:val="30"/>
        </w:rPr>
        <w:t>及原因分析</w:t>
      </w:r>
    </w:p>
    <w:p w14:paraId="2FD08A4F">
      <w:pPr>
        <w:spacing w:line="520" w:lineRule="exact"/>
        <w:ind w:firstLine="602" w:firstLineChars="200"/>
        <w:rPr>
          <w:rFonts w:ascii="宋体" w:hAnsi="宋体"/>
          <w:b/>
          <w:sz w:val="30"/>
          <w:szCs w:val="30"/>
        </w:rPr>
      </w:pPr>
      <w:r>
        <w:rPr>
          <w:rFonts w:hint="eastAsia" w:ascii="宋体" w:hAnsi="宋体"/>
          <w:b/>
          <w:sz w:val="30"/>
          <w:szCs w:val="30"/>
        </w:rPr>
        <w:t>无。</w:t>
      </w:r>
    </w:p>
    <w:p w14:paraId="239F0B92">
      <w:pPr>
        <w:spacing w:line="520" w:lineRule="exact"/>
        <w:ind w:firstLine="602" w:firstLineChars="200"/>
        <w:rPr>
          <w:rFonts w:ascii="宋体" w:hAnsi="宋体"/>
          <w:b/>
          <w:sz w:val="30"/>
          <w:szCs w:val="30"/>
        </w:rPr>
      </w:pPr>
      <w:r>
        <w:rPr>
          <w:rFonts w:hint="eastAsia" w:ascii="宋体" w:hAnsi="宋体"/>
          <w:b/>
          <w:sz w:val="30"/>
          <w:szCs w:val="30"/>
        </w:rPr>
        <w:t>九</w:t>
      </w:r>
      <w:r>
        <w:rPr>
          <w:rFonts w:ascii="宋体" w:hAnsi="宋体"/>
          <w:b/>
          <w:sz w:val="30"/>
          <w:szCs w:val="30"/>
        </w:rPr>
        <w:t>、改进措施和有关建议</w:t>
      </w:r>
    </w:p>
    <w:p w14:paraId="22E66530">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
          <w:sz w:val="32"/>
          <w:szCs w:val="32"/>
        </w:rPr>
        <w:t>、</w:t>
      </w:r>
      <w:r>
        <w:rPr>
          <w:rFonts w:hint="eastAsia" w:ascii="仿宋" w:hAnsi="仿宋" w:eastAsia="仿宋" w:cs="仿宋"/>
          <w:bCs/>
          <w:sz w:val="32"/>
          <w:szCs w:val="32"/>
        </w:rPr>
        <w:t>继续加强部门预算支出管理，结合自身实际制定更为完善的部门整体支出绩效目标，做到细化量化。</w:t>
      </w:r>
    </w:p>
    <w:p w14:paraId="55D89326">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
          <w:sz w:val="32"/>
          <w:szCs w:val="32"/>
        </w:rPr>
        <w:t>、</w:t>
      </w:r>
      <w:r>
        <w:rPr>
          <w:rFonts w:hint="eastAsia" w:ascii="仿宋" w:hAnsi="仿宋" w:eastAsia="仿宋" w:cs="仿宋"/>
          <w:bCs/>
          <w:sz w:val="32"/>
          <w:szCs w:val="32"/>
        </w:rPr>
        <w:t>继续加强事业运行经费管理合理性支出，争取各方资金，开源节流，提高使用效率，在有限的经费支出上创造更好的经济效益和社会效益。</w:t>
      </w:r>
    </w:p>
    <w:p w14:paraId="74817B27">
      <w:pPr>
        <w:spacing w:line="520" w:lineRule="exact"/>
        <w:ind w:firstLine="602" w:firstLineChars="200"/>
        <w:rPr>
          <w:rFonts w:ascii="宋体" w:hAnsi="宋体"/>
          <w:b/>
          <w:sz w:val="30"/>
          <w:szCs w:val="30"/>
        </w:rPr>
      </w:pPr>
    </w:p>
    <w:p w14:paraId="6552F378">
      <w:pPr>
        <w:numPr>
          <w:ilvl w:val="0"/>
          <w:numId w:val="2"/>
        </w:numPr>
        <w:spacing w:line="520" w:lineRule="exact"/>
        <w:ind w:firstLine="602" w:firstLineChars="200"/>
        <w:rPr>
          <w:rFonts w:ascii="宋体" w:hAnsi="宋体"/>
          <w:b/>
          <w:sz w:val="30"/>
          <w:szCs w:val="30"/>
        </w:rPr>
      </w:pPr>
      <w:r>
        <w:rPr>
          <w:rFonts w:hint="eastAsia" w:ascii="宋体" w:hAnsi="宋体"/>
          <w:b/>
          <w:sz w:val="30"/>
          <w:szCs w:val="30"/>
        </w:rPr>
        <w:t>其他需要说明的情况</w:t>
      </w:r>
    </w:p>
    <w:p w14:paraId="3FAF11BF">
      <w:pPr>
        <w:spacing w:line="520" w:lineRule="exact"/>
        <w:ind w:firstLine="602" w:firstLineChars="200"/>
        <w:rPr>
          <w:rFonts w:ascii="宋体" w:hAnsi="宋体"/>
          <w:b/>
          <w:sz w:val="30"/>
          <w:szCs w:val="30"/>
        </w:rPr>
      </w:pPr>
      <w:r>
        <w:rPr>
          <w:rFonts w:hint="eastAsia" w:ascii="宋体" w:hAnsi="宋体"/>
          <w:b/>
          <w:sz w:val="30"/>
          <w:szCs w:val="30"/>
        </w:rPr>
        <w:t>无。</w:t>
      </w:r>
    </w:p>
    <w:p w14:paraId="71AB1332">
      <w:pPr>
        <w:spacing w:line="520" w:lineRule="exact"/>
        <w:rPr>
          <w:rFonts w:ascii="宋体" w:hAnsi="宋体"/>
          <w:b/>
          <w:sz w:val="30"/>
          <w:szCs w:val="30"/>
        </w:rPr>
      </w:pPr>
    </w:p>
    <w:p w14:paraId="2E88E575">
      <w:pPr>
        <w:spacing w:line="520" w:lineRule="exact"/>
        <w:ind w:firstLine="602" w:firstLineChars="200"/>
        <w:rPr>
          <w:rFonts w:ascii="宋体" w:hAnsi="宋体"/>
          <w:b/>
          <w:sz w:val="30"/>
          <w:szCs w:val="30"/>
        </w:rPr>
      </w:pPr>
    </w:p>
    <w:p w14:paraId="496F69D9">
      <w:pPr>
        <w:widowControl/>
        <w:rPr>
          <w:rFonts w:ascii="黑体" w:hAnsi="宋体" w:eastAsia="黑体" w:cs="宋体"/>
          <w:bCs/>
          <w:kern w:val="0"/>
          <w:sz w:val="32"/>
          <w:szCs w:val="32"/>
        </w:rPr>
      </w:pPr>
    </w:p>
    <w:p w14:paraId="02CF1AE0">
      <w:pPr>
        <w:widowControl/>
        <w:rPr>
          <w:rFonts w:ascii="黑体" w:hAnsi="宋体" w:eastAsia="黑体" w:cs="宋体"/>
          <w:bCs/>
          <w:kern w:val="0"/>
          <w:sz w:val="32"/>
          <w:szCs w:val="32"/>
        </w:rPr>
      </w:pPr>
    </w:p>
    <w:p w14:paraId="62198740">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14:paraId="2A7E722D">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7"/>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14:paraId="62D68769">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14:paraId="0DE810D2">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14:paraId="11BBB848">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14:paraId="46EB7969">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14:paraId="42665379">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14:paraId="313CCAE6">
            <w:pPr>
              <w:widowControl/>
              <w:jc w:val="center"/>
              <w:rPr>
                <w:rFonts w:eastAsia="仿宋_GB2312"/>
                <w:kern w:val="0"/>
                <w:sz w:val="20"/>
                <w:szCs w:val="20"/>
              </w:rPr>
            </w:pPr>
            <w:r>
              <w:rPr>
                <w:rFonts w:hint="eastAsia" w:eastAsia="仿宋_GB2312"/>
                <w:kern w:val="0"/>
                <w:sz w:val="20"/>
                <w:szCs w:val="20"/>
              </w:rPr>
              <w:t>三级</w:t>
            </w:r>
          </w:p>
          <w:p w14:paraId="4CB3B754">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14:paraId="379E6BAD">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14:paraId="1905A1EB">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14:paraId="7B1DB84C">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14:paraId="6AE4B5B7">
            <w:pPr>
              <w:widowControl/>
              <w:jc w:val="center"/>
              <w:rPr>
                <w:rFonts w:eastAsia="仿宋_GB2312"/>
                <w:kern w:val="0"/>
                <w:sz w:val="20"/>
                <w:szCs w:val="20"/>
              </w:rPr>
            </w:pPr>
            <w:r>
              <w:rPr>
                <w:rFonts w:hint="eastAsia" w:eastAsia="仿宋_GB2312"/>
                <w:kern w:val="0"/>
                <w:sz w:val="20"/>
                <w:szCs w:val="20"/>
              </w:rPr>
              <w:t>得分</w:t>
            </w:r>
          </w:p>
        </w:tc>
      </w:tr>
      <w:tr w14:paraId="0B272E39">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14:paraId="63433B91">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14:paraId="2F1D6D9E">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14:paraId="02D62F5C">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14:paraId="7D8E9FD4">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14:paraId="58302CCF">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14:paraId="39412D98">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14:paraId="42571789">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14:paraId="4077ADDE">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173D9D25">
            <w:pPr>
              <w:widowControl/>
              <w:jc w:val="left"/>
              <w:rPr>
                <w:kern w:val="0"/>
                <w:sz w:val="24"/>
              </w:rPr>
            </w:pPr>
            <w:r>
              <w:rPr>
                <w:rFonts w:hint="eastAsia"/>
                <w:kern w:val="0"/>
                <w:sz w:val="24"/>
              </w:rPr>
              <w:t>　5</w:t>
            </w:r>
          </w:p>
        </w:tc>
      </w:tr>
      <w:tr w14:paraId="7F0AD600">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0AD350E5">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4716506">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0B9B020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70D2234">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B574B73">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14:paraId="3A32D958">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14:paraId="6E87AF61">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26B78453">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4FEF063D">
            <w:pPr>
              <w:widowControl/>
              <w:jc w:val="left"/>
              <w:rPr>
                <w:kern w:val="0"/>
                <w:sz w:val="24"/>
              </w:rPr>
            </w:pPr>
            <w:r>
              <w:rPr>
                <w:rFonts w:hint="eastAsia"/>
                <w:kern w:val="0"/>
                <w:sz w:val="24"/>
              </w:rPr>
              <w:t>5　</w:t>
            </w:r>
          </w:p>
        </w:tc>
      </w:tr>
      <w:tr w14:paraId="3A1A777E">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3C15BDF2">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14:paraId="44B02C6C">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14:paraId="366E5F68">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14:paraId="5C075B46">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14:paraId="2E4496EB">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14:paraId="16C5C4F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223BF936">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4268D41D">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1A999641">
            <w:pPr>
              <w:widowControl/>
              <w:jc w:val="left"/>
              <w:rPr>
                <w:kern w:val="0"/>
                <w:sz w:val="24"/>
              </w:rPr>
            </w:pPr>
            <w:r>
              <w:rPr>
                <w:rFonts w:hint="eastAsia"/>
                <w:kern w:val="0"/>
                <w:sz w:val="24"/>
              </w:rPr>
              <w:t>　5</w:t>
            </w:r>
          </w:p>
        </w:tc>
      </w:tr>
      <w:tr w14:paraId="136AFB84">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0BA67D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0F8E689">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38652A4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D269F50">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462641C">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14:paraId="2C58DB14">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76BEA255">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14:paraId="641FF444">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30995DBD">
            <w:pPr>
              <w:widowControl/>
              <w:jc w:val="left"/>
              <w:rPr>
                <w:kern w:val="0"/>
                <w:sz w:val="24"/>
              </w:rPr>
            </w:pPr>
            <w:r>
              <w:rPr>
                <w:rFonts w:hint="eastAsia"/>
                <w:kern w:val="0"/>
                <w:sz w:val="24"/>
              </w:rPr>
              <w:t>5　</w:t>
            </w:r>
          </w:p>
        </w:tc>
      </w:tr>
      <w:tr w14:paraId="7D5FEB83">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2FBAF0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98C8DD3">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9AEC15C">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CFD3A04">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16BF81D">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14:paraId="393BBBF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2F90BA7C">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14:paraId="3E1FD1C1">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28133E4E">
            <w:pPr>
              <w:widowControl/>
              <w:jc w:val="left"/>
              <w:rPr>
                <w:kern w:val="0"/>
                <w:sz w:val="24"/>
              </w:rPr>
            </w:pPr>
            <w:r>
              <w:rPr>
                <w:rFonts w:hint="eastAsia"/>
                <w:kern w:val="0"/>
                <w:sz w:val="24"/>
              </w:rPr>
              <w:t>5　</w:t>
            </w:r>
          </w:p>
        </w:tc>
      </w:tr>
      <w:tr w14:paraId="0BD33E4A">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67E42A63">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A1BA1B6">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51C76D3C">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65ACB0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27EB923">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14:paraId="6915DD2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470C03C8">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04DC6387">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21BAA51D">
            <w:pPr>
              <w:widowControl/>
              <w:jc w:val="left"/>
              <w:rPr>
                <w:kern w:val="0"/>
                <w:sz w:val="24"/>
              </w:rPr>
            </w:pPr>
            <w:r>
              <w:rPr>
                <w:rFonts w:hint="eastAsia"/>
                <w:kern w:val="0"/>
                <w:sz w:val="24"/>
              </w:rPr>
              <w:t>5　</w:t>
            </w:r>
          </w:p>
        </w:tc>
      </w:tr>
      <w:tr w14:paraId="61C78479">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BF39781">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1528E33">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676261AC">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14:paraId="075E1424">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14:paraId="405DCE0C">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14:paraId="43B2B990">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69225100">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513079E9">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07D345F4">
            <w:pPr>
              <w:widowControl/>
              <w:jc w:val="left"/>
              <w:rPr>
                <w:kern w:val="0"/>
                <w:sz w:val="24"/>
              </w:rPr>
            </w:pPr>
            <w:r>
              <w:rPr>
                <w:rFonts w:hint="eastAsia"/>
                <w:kern w:val="0"/>
                <w:sz w:val="24"/>
              </w:rPr>
              <w:t>8　</w:t>
            </w:r>
          </w:p>
        </w:tc>
      </w:tr>
      <w:tr w14:paraId="42E4528A">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760177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5ADEEC7">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4E08105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AB5A54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F3A4314">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14:paraId="4E30663A">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14:paraId="6DEA64CD">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329B053A">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10F80571">
            <w:pPr>
              <w:widowControl/>
              <w:jc w:val="left"/>
              <w:rPr>
                <w:kern w:val="0"/>
                <w:sz w:val="24"/>
              </w:rPr>
            </w:pPr>
            <w:r>
              <w:rPr>
                <w:rFonts w:hint="eastAsia"/>
                <w:kern w:val="0"/>
                <w:sz w:val="24"/>
              </w:rPr>
              <w:t>7　</w:t>
            </w:r>
          </w:p>
        </w:tc>
      </w:tr>
      <w:tr w14:paraId="3F4DFE27">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6F9B1C55">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53F50FD2">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3043A08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38D9326">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0BA0AF7">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14:paraId="15D56259">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1B011B91">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6AF2E71A">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1A52D842">
            <w:pPr>
              <w:widowControl/>
              <w:jc w:val="left"/>
              <w:rPr>
                <w:kern w:val="0"/>
                <w:sz w:val="24"/>
              </w:rPr>
            </w:pPr>
            <w:r>
              <w:rPr>
                <w:rFonts w:hint="eastAsia"/>
                <w:kern w:val="0"/>
                <w:sz w:val="24"/>
              </w:rPr>
              <w:t>　6</w:t>
            </w:r>
          </w:p>
        </w:tc>
      </w:tr>
      <w:tr w14:paraId="20FBB536">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14:paraId="2C602C5A">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14:paraId="23DAE917">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14:paraId="78A2CAC7">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14:paraId="3D86DD97">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F0BE9D7">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14:paraId="1DEABD8F">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72E74490">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36E960F1">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0FD744D4">
            <w:pPr>
              <w:widowControl/>
              <w:jc w:val="left"/>
              <w:rPr>
                <w:kern w:val="0"/>
                <w:sz w:val="24"/>
              </w:rPr>
            </w:pPr>
            <w:r>
              <w:rPr>
                <w:rFonts w:hint="eastAsia"/>
                <w:kern w:val="0"/>
                <w:sz w:val="24"/>
              </w:rPr>
              <w:t>　8</w:t>
            </w:r>
          </w:p>
        </w:tc>
      </w:tr>
      <w:tr w14:paraId="67523C04">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3BA5E04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3C321E1">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63E30A5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1DEFFF7">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1F6CFAB6">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14:paraId="42D3D10E">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1AEEE3A6">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876FDFF">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0A078A90">
            <w:pPr>
              <w:widowControl/>
              <w:jc w:val="left"/>
              <w:rPr>
                <w:kern w:val="0"/>
                <w:sz w:val="24"/>
              </w:rPr>
            </w:pPr>
            <w:r>
              <w:rPr>
                <w:rFonts w:hint="eastAsia"/>
                <w:kern w:val="0"/>
                <w:sz w:val="24"/>
              </w:rPr>
              <w:t>6　</w:t>
            </w:r>
          </w:p>
        </w:tc>
      </w:tr>
      <w:tr w14:paraId="13DE777D">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B63FCA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BBE1C20">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39AF849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27D60B6">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3658CC6">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14:paraId="44B556FC">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6FF39D5A">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14:paraId="3E69D64F">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336E2619">
            <w:pPr>
              <w:widowControl/>
              <w:jc w:val="left"/>
              <w:rPr>
                <w:kern w:val="0"/>
                <w:sz w:val="24"/>
              </w:rPr>
            </w:pPr>
            <w:r>
              <w:rPr>
                <w:rFonts w:hint="eastAsia"/>
                <w:kern w:val="0"/>
                <w:sz w:val="24"/>
              </w:rPr>
              <w:t>　5</w:t>
            </w:r>
          </w:p>
        </w:tc>
      </w:tr>
      <w:tr w14:paraId="054B22ED">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7A5EA6E7">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14:paraId="6B07C1C4">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14:paraId="74181455">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14:paraId="022FA0A6">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14:paraId="124F363F">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14:paraId="405CCB33">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4CD013F5">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14:paraId="7C2AAD27">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24D42786">
            <w:pPr>
              <w:widowControl/>
              <w:jc w:val="left"/>
              <w:rPr>
                <w:kern w:val="0"/>
                <w:sz w:val="24"/>
              </w:rPr>
            </w:pPr>
            <w:r>
              <w:rPr>
                <w:rFonts w:hint="eastAsia"/>
                <w:kern w:val="0"/>
                <w:sz w:val="24"/>
              </w:rPr>
              <w:t>　8</w:t>
            </w:r>
          </w:p>
        </w:tc>
      </w:tr>
      <w:tr w14:paraId="21CB1BAD">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E97617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D4353CF">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6B98F78C">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14:paraId="58A38330">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14:paraId="4B3E980A">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14:paraId="7ECE9C6D">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14:paraId="7910817F">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14:paraId="30916F24">
            <w:pPr>
              <w:widowControl/>
              <w:jc w:val="left"/>
              <w:rPr>
                <w:kern w:val="0"/>
                <w:sz w:val="24"/>
              </w:rPr>
            </w:pPr>
            <w:r>
              <w:rPr>
                <w:rFonts w:hint="eastAsia"/>
                <w:kern w:val="0"/>
                <w:sz w:val="24"/>
              </w:rPr>
              <w:t>　</w:t>
            </w:r>
          </w:p>
        </w:tc>
      </w:tr>
      <w:tr w14:paraId="70102EAF">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47B898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6DB4AC6">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6C52AC1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C4A3D5E">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E693932">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14:paraId="62ED3871">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14:paraId="29D4167F">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14:paraId="27A63105">
            <w:pPr>
              <w:widowControl/>
              <w:jc w:val="left"/>
              <w:rPr>
                <w:kern w:val="0"/>
                <w:sz w:val="24"/>
              </w:rPr>
            </w:pPr>
            <w:r>
              <w:rPr>
                <w:rFonts w:hint="eastAsia"/>
                <w:kern w:val="0"/>
                <w:sz w:val="24"/>
              </w:rPr>
              <w:t>　10</w:t>
            </w:r>
          </w:p>
        </w:tc>
      </w:tr>
      <w:tr w14:paraId="0AF0AE51">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61816F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94F323F">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54719BDD">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14:paraId="1AAE83B9">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14:paraId="034FE2E7">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14:paraId="10D8A098">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14:paraId="24D62630">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14:paraId="60301B76">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14:paraId="6A823AE3">
            <w:pPr>
              <w:widowControl/>
              <w:jc w:val="left"/>
              <w:rPr>
                <w:kern w:val="0"/>
                <w:sz w:val="24"/>
              </w:rPr>
            </w:pPr>
            <w:r>
              <w:rPr>
                <w:rFonts w:hint="eastAsia"/>
                <w:kern w:val="0"/>
                <w:sz w:val="24"/>
              </w:rPr>
              <w:t>6　</w:t>
            </w:r>
          </w:p>
        </w:tc>
      </w:tr>
      <w:tr w14:paraId="56B82333">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4F04380B">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76BD7A05">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14:paraId="24731D4C">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10080F1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65C30391">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14:paraId="207BF003">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4A11A0B1">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1463222B">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079FB653">
            <w:pPr>
              <w:widowControl/>
              <w:jc w:val="left"/>
              <w:rPr>
                <w:kern w:val="0"/>
                <w:sz w:val="24"/>
              </w:rPr>
            </w:pPr>
            <w:r>
              <w:rPr>
                <w:rFonts w:hint="eastAsia"/>
                <w:kern w:val="0"/>
                <w:sz w:val="24"/>
              </w:rPr>
              <w:t>6　</w:t>
            </w:r>
          </w:p>
        </w:tc>
      </w:tr>
      <w:tr w14:paraId="1054043A">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14:paraId="2911EBD6">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14:paraId="00C78505">
            <w:pPr>
              <w:widowControl/>
              <w:jc w:val="left"/>
              <w:rPr>
                <w:kern w:val="0"/>
                <w:sz w:val="24"/>
              </w:rPr>
            </w:pPr>
            <w:r>
              <w:rPr>
                <w:rFonts w:hint="eastAsia"/>
                <w:kern w:val="0"/>
                <w:sz w:val="18"/>
                <w:szCs w:val="18"/>
              </w:rPr>
              <w:t>100</w:t>
            </w:r>
          </w:p>
        </w:tc>
      </w:tr>
    </w:tbl>
    <w:p w14:paraId="6555E393">
      <w:pPr>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2DE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BBD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CEBBD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C23F">
    <w:pPr>
      <w:pStyle w:val="4"/>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97211"/>
    <w:multiLevelType w:val="singleLevel"/>
    <w:tmpl w:val="BF797211"/>
    <w:lvl w:ilvl="0" w:tentative="0">
      <w:start w:val="4"/>
      <w:numFmt w:val="chineseCounting"/>
      <w:suff w:val="nothing"/>
      <w:lvlText w:val="%1、"/>
      <w:lvlJc w:val="left"/>
      <w:rPr>
        <w:rFonts w:hint="eastAsia"/>
      </w:rPr>
    </w:lvl>
  </w:abstractNum>
  <w:abstractNum w:abstractNumId="1">
    <w:nsid w:val="327FE4FD"/>
    <w:multiLevelType w:val="singleLevel"/>
    <w:tmpl w:val="327FE4FD"/>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zQyN2QwNDBiZWM3NGM0MjdmYzkwMWI1Nzk1Njg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AE3BD4"/>
    <w:rsid w:val="00B72CBB"/>
    <w:rsid w:val="00BA0CDC"/>
    <w:rsid w:val="00BD0B8D"/>
    <w:rsid w:val="00BD2F3F"/>
    <w:rsid w:val="00C4025D"/>
    <w:rsid w:val="00CE25DD"/>
    <w:rsid w:val="00D72963"/>
    <w:rsid w:val="00E410D0"/>
    <w:rsid w:val="00E6630E"/>
    <w:rsid w:val="00EC6119"/>
    <w:rsid w:val="00F17319"/>
    <w:rsid w:val="01540DA8"/>
    <w:rsid w:val="03AE7CEF"/>
    <w:rsid w:val="051D30EA"/>
    <w:rsid w:val="05E51322"/>
    <w:rsid w:val="06AC0092"/>
    <w:rsid w:val="07CE4C09"/>
    <w:rsid w:val="09C31645"/>
    <w:rsid w:val="0A193011"/>
    <w:rsid w:val="0B11052F"/>
    <w:rsid w:val="0C1D6C41"/>
    <w:rsid w:val="0D3419B4"/>
    <w:rsid w:val="0DC650AE"/>
    <w:rsid w:val="104A59B1"/>
    <w:rsid w:val="108A2FEB"/>
    <w:rsid w:val="109D248C"/>
    <w:rsid w:val="114C59C8"/>
    <w:rsid w:val="12426120"/>
    <w:rsid w:val="12840FF1"/>
    <w:rsid w:val="14996F59"/>
    <w:rsid w:val="14A8424C"/>
    <w:rsid w:val="17E31494"/>
    <w:rsid w:val="17F71488"/>
    <w:rsid w:val="185D692E"/>
    <w:rsid w:val="198F6483"/>
    <w:rsid w:val="19DD25E4"/>
    <w:rsid w:val="1A304F0B"/>
    <w:rsid w:val="1C7C6CF9"/>
    <w:rsid w:val="1D5132B3"/>
    <w:rsid w:val="1D6B0BB6"/>
    <w:rsid w:val="21D267A7"/>
    <w:rsid w:val="22D740B8"/>
    <w:rsid w:val="22E90356"/>
    <w:rsid w:val="23243032"/>
    <w:rsid w:val="23943EF5"/>
    <w:rsid w:val="240B63D5"/>
    <w:rsid w:val="24793C83"/>
    <w:rsid w:val="258018C0"/>
    <w:rsid w:val="258346B6"/>
    <w:rsid w:val="259D3570"/>
    <w:rsid w:val="2659509A"/>
    <w:rsid w:val="26B11A3A"/>
    <w:rsid w:val="2791110F"/>
    <w:rsid w:val="29EC32BE"/>
    <w:rsid w:val="2C1710C9"/>
    <w:rsid w:val="2E3511A9"/>
    <w:rsid w:val="2F4B29B9"/>
    <w:rsid w:val="331660A3"/>
    <w:rsid w:val="34000F51"/>
    <w:rsid w:val="3417744D"/>
    <w:rsid w:val="357B7AED"/>
    <w:rsid w:val="358D7AC9"/>
    <w:rsid w:val="36F764EF"/>
    <w:rsid w:val="374E666C"/>
    <w:rsid w:val="37EB5A18"/>
    <w:rsid w:val="385B3896"/>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20C7F2C"/>
    <w:rsid w:val="63FD4981"/>
    <w:rsid w:val="64BC353F"/>
    <w:rsid w:val="6524032D"/>
    <w:rsid w:val="68532135"/>
    <w:rsid w:val="68C32CA2"/>
    <w:rsid w:val="6A5438CF"/>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locked/>
    <w:uiPriority w:val="0"/>
    <w:pPr>
      <w:spacing w:after="120"/>
      <w:ind w:left="420" w:leftChars="200"/>
    </w:pPr>
    <w:rPr>
      <w:rFonts w:hint="eastAsia"/>
      <w:szCs w:val="24"/>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paragraph" w:styleId="6">
    <w:name w:val="Body Text First Indent 2"/>
    <w:basedOn w:val="2"/>
    <w:unhideWhenUsed/>
    <w:qFormat/>
    <w:locked/>
    <w:uiPriority w:val="99"/>
    <w:pPr>
      <w:ind w:firstLine="420" w:firstLineChars="200"/>
    </w:pPr>
    <w:rPr>
      <w:kern w:val="0"/>
      <w:sz w:val="20"/>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color w:val="0000FF"/>
      <w:u w:val="single"/>
    </w:rPr>
  </w:style>
  <w:style w:type="character" w:customStyle="1" w:styleId="11">
    <w:name w:val="页脚 Char"/>
    <w:basedOn w:val="9"/>
    <w:link w:val="3"/>
    <w:semiHidden/>
    <w:qFormat/>
    <w:locked/>
    <w:uiPriority w:val="99"/>
    <w:rPr>
      <w:rFonts w:ascii="Calibri" w:hAnsi="Calibri" w:eastAsia="宋体" w:cs="Calibri"/>
      <w:sz w:val="18"/>
      <w:szCs w:val="18"/>
    </w:rPr>
  </w:style>
  <w:style w:type="character" w:customStyle="1" w:styleId="12">
    <w:name w:val="页眉 Char"/>
    <w:basedOn w:val="9"/>
    <w:link w:val="4"/>
    <w:semiHidden/>
    <w:qFormat/>
    <w:locked/>
    <w:uiPriority w:val="99"/>
    <w:rPr>
      <w:rFonts w:ascii="Calibri" w:hAnsi="Calibri" w:eastAsia="宋体" w:cs="Calibri"/>
      <w:sz w:val="18"/>
      <w:szCs w:val="18"/>
    </w:rPr>
  </w:style>
  <w:style w:type="paragraph" w:customStyle="1" w:styleId="13">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45245-5B28-46AC-A3EF-CAD689B14EC7}">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3436</Words>
  <Characters>3655</Characters>
  <Lines>29</Lines>
  <Paragraphs>8</Paragraphs>
  <TotalTime>13</TotalTime>
  <ScaleCrop>false</ScaleCrop>
  <LinksUpToDate>false</LinksUpToDate>
  <CharactersWithSpaces>3964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自由行走的胡萝北</cp:lastModifiedBy>
  <cp:lastPrinted>2022-08-15T07:38:00Z</cp:lastPrinted>
  <dcterms:modified xsi:type="dcterms:W3CDTF">2024-12-18T07:11:35Z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AE9A34E03D98414DBAB7E6679B5E3967</vt:lpwstr>
  </property>
</Properties>
</file>