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仿宋_GB2312"/>
          <w:sz w:val="32"/>
          <w:szCs w:val="32"/>
        </w:rPr>
      </w:pPr>
      <w:bookmarkStart w:id="0" w:name="_GoBack"/>
      <w:bookmarkEnd w:id="0"/>
      <w:r>
        <w:rPr>
          <w:rFonts w:hint="eastAsia" w:eastAsia="仿宋_GB2312"/>
          <w:sz w:val="32"/>
          <w:szCs w:val="32"/>
        </w:rPr>
        <w:t>附件</w:t>
      </w:r>
      <w:r>
        <w:rPr>
          <w:rFonts w:eastAsia="仿宋_GB2312"/>
          <w:sz w:val="32"/>
          <w:szCs w:val="32"/>
        </w:rPr>
        <w:t>1</w:t>
      </w:r>
      <w:r>
        <w:rPr>
          <w:rFonts w:hint="eastAsia" w:eastAsia="仿宋_GB2312"/>
          <w:sz w:val="32"/>
          <w:szCs w:val="32"/>
        </w:rPr>
        <w:t>：</w:t>
      </w:r>
      <w:r>
        <w:rPr>
          <w:rFonts w:eastAsia="仿宋_GB2312"/>
          <w:sz w:val="32"/>
          <w:szCs w:val="32"/>
        </w:rPr>
        <w:tab/>
      </w:r>
    </w:p>
    <w:p>
      <w:pPr>
        <w:spacing w:line="620" w:lineRule="exact"/>
        <w:jc w:val="center"/>
        <w:rPr>
          <w:rFonts w:hint="eastAsia" w:ascii="仿宋" w:hAnsi="仿宋" w:eastAsia="仿宋"/>
          <w:b/>
          <w:sz w:val="36"/>
          <w:szCs w:val="36"/>
        </w:rPr>
      </w:pPr>
      <w:r>
        <w:rPr>
          <w:rFonts w:ascii="仿宋" w:hAnsi="仿宋" w:eastAsia="仿宋"/>
          <w:b/>
          <w:sz w:val="36"/>
          <w:szCs w:val="36"/>
        </w:rPr>
        <w:t>2</w:t>
      </w:r>
      <w:r>
        <w:rPr>
          <w:rFonts w:hint="eastAsia" w:ascii="仿宋" w:hAnsi="仿宋" w:eastAsia="仿宋"/>
          <w:b/>
          <w:sz w:val="36"/>
          <w:szCs w:val="36"/>
        </w:rPr>
        <w:t>021年度梧桐街道办事处专项（项目）资金</w:t>
      </w:r>
    </w:p>
    <w:p>
      <w:pPr>
        <w:spacing w:line="620" w:lineRule="exact"/>
        <w:jc w:val="center"/>
        <w:rPr>
          <w:rFonts w:hint="eastAsia" w:ascii="仿宋" w:hAnsi="仿宋" w:eastAsia="仿宋"/>
          <w:b/>
          <w:sz w:val="36"/>
          <w:szCs w:val="36"/>
        </w:rPr>
      </w:pPr>
      <w:r>
        <w:rPr>
          <w:rFonts w:hint="eastAsia" w:ascii="仿宋" w:hAnsi="仿宋" w:eastAsia="仿宋"/>
          <w:b/>
          <w:sz w:val="36"/>
          <w:szCs w:val="36"/>
        </w:rPr>
        <w:t>绩效自评报告</w:t>
      </w:r>
    </w:p>
    <w:p>
      <w:pPr>
        <w:spacing w:line="620" w:lineRule="exact"/>
        <w:ind w:firstLine="643" w:firstLineChars="200"/>
        <w:rPr>
          <w:rFonts w:ascii="黑体" w:hAnsi="黑体" w:eastAsia="黑体"/>
          <w:b/>
          <w:color w:val="000000"/>
          <w:kern w:val="0"/>
          <w:sz w:val="32"/>
          <w:szCs w:val="32"/>
        </w:rPr>
      </w:pPr>
      <w:r>
        <w:rPr>
          <w:rFonts w:hint="eastAsia" w:ascii="黑体" w:hAnsi="黑体" w:eastAsia="黑体"/>
          <w:b/>
          <w:color w:val="000000"/>
          <w:kern w:val="0"/>
          <w:sz w:val="32"/>
          <w:szCs w:val="32"/>
        </w:rPr>
        <w:t>一、项目概况</w:t>
      </w:r>
    </w:p>
    <w:p>
      <w:pPr>
        <w:spacing w:line="620" w:lineRule="exact"/>
        <w:ind w:firstLine="640" w:firstLineChars="200"/>
        <w:rPr>
          <w:rFonts w:hint="eastAsia" w:ascii="仿宋" w:hAnsi="仿宋" w:eastAsia="仿宋"/>
          <w:color w:val="000000"/>
          <w:kern w:val="0"/>
          <w:sz w:val="32"/>
          <w:szCs w:val="32"/>
        </w:rPr>
      </w:pPr>
      <w:r>
        <w:rPr>
          <w:rFonts w:hint="eastAsia" w:ascii="仿宋" w:hAnsi="仿宋" w:eastAsia="仿宋"/>
          <w:color w:val="000000"/>
          <w:kern w:val="0"/>
          <w:sz w:val="32"/>
          <w:szCs w:val="32"/>
        </w:rPr>
        <w:t>（一）项目单位基本情况。</w:t>
      </w:r>
    </w:p>
    <w:p>
      <w:pPr>
        <w:spacing w:line="500" w:lineRule="exact"/>
        <w:ind w:firstLine="800" w:firstLineChars="250"/>
        <w:rPr>
          <w:rFonts w:hint="eastAsia" w:ascii="仿宋" w:hAnsi="仿宋" w:eastAsia="仿宋"/>
          <w:sz w:val="32"/>
          <w:szCs w:val="32"/>
        </w:rPr>
      </w:pPr>
      <w:r>
        <w:rPr>
          <w:rFonts w:ascii="仿宋" w:hAnsi="仿宋" w:eastAsia="仿宋"/>
          <w:sz w:val="32"/>
          <w:szCs w:val="32"/>
        </w:rPr>
        <w:t>1</w:t>
      </w:r>
      <w:r>
        <w:rPr>
          <w:rFonts w:hint="eastAsia" w:ascii="仿宋" w:hAnsi="仿宋" w:eastAsia="仿宋"/>
          <w:sz w:val="32"/>
          <w:szCs w:val="32"/>
        </w:rPr>
        <w:t>、主要职能</w:t>
      </w:r>
    </w:p>
    <w:p>
      <w:pPr>
        <w:autoSpaceDE w:val="0"/>
        <w:autoSpaceDN w:val="0"/>
        <w:adjustRightInd w:val="0"/>
        <w:spacing w:line="520" w:lineRule="exact"/>
        <w:ind w:firstLine="640"/>
        <w:rPr>
          <w:rFonts w:ascii="仿宋" w:eastAsia="仿宋" w:cs="仿宋"/>
          <w:sz w:val="32"/>
          <w:szCs w:val="32"/>
        </w:rPr>
      </w:pPr>
      <w:r>
        <w:rPr>
          <w:rFonts w:hint="eastAsia" w:ascii="仿宋" w:eastAsia="仿宋" w:cs="仿宋"/>
          <w:sz w:val="32"/>
          <w:szCs w:val="32"/>
        </w:rPr>
        <w:t>（</w:t>
      </w:r>
      <w:r>
        <w:rPr>
          <w:rFonts w:ascii="仿宋" w:eastAsia="仿宋" w:cs="仿宋"/>
          <w:sz w:val="32"/>
          <w:szCs w:val="32"/>
        </w:rPr>
        <w:t>1</w:t>
      </w:r>
      <w:r>
        <w:rPr>
          <w:rFonts w:hint="eastAsia" w:ascii="仿宋" w:eastAsia="仿宋" w:cs="仿宋"/>
          <w:sz w:val="32"/>
          <w:szCs w:val="32"/>
        </w:rPr>
        <w:t>）搞好基层组织建设，负责梧桐办事处党的组织、思想和作风建设，提高党组织的战斗力和凝聚力，充分发挥党员的先锋模范作用。</w:t>
      </w:r>
    </w:p>
    <w:p>
      <w:pPr>
        <w:autoSpaceDE w:val="0"/>
        <w:autoSpaceDN w:val="0"/>
        <w:adjustRightInd w:val="0"/>
        <w:spacing w:line="520" w:lineRule="exact"/>
        <w:ind w:firstLine="640"/>
        <w:rPr>
          <w:rFonts w:ascii="仿宋" w:eastAsia="仿宋" w:cs="仿宋"/>
          <w:sz w:val="32"/>
          <w:szCs w:val="32"/>
        </w:rPr>
      </w:pPr>
      <w:r>
        <w:rPr>
          <w:rFonts w:hint="eastAsia" w:ascii="仿宋" w:eastAsia="仿宋" w:cs="仿宋"/>
          <w:sz w:val="32"/>
          <w:szCs w:val="32"/>
        </w:rPr>
        <w:t>（</w:t>
      </w:r>
      <w:r>
        <w:rPr>
          <w:rFonts w:ascii="仿宋" w:eastAsia="仿宋" w:cs="仿宋"/>
          <w:sz w:val="32"/>
          <w:szCs w:val="32"/>
        </w:rPr>
        <w:t>2</w:t>
      </w:r>
      <w:r>
        <w:rPr>
          <w:rFonts w:hint="eastAsia" w:ascii="仿宋" w:eastAsia="仿宋" w:cs="仿宋"/>
          <w:sz w:val="32"/>
          <w:szCs w:val="32"/>
        </w:rPr>
        <w:t>）负责强化社会管理综合治理，加强信访和矛盾纠纷调处工作，建立和健全群防群治网络，及时化解各类矛盾纠纷，维护城市社会稳定。</w:t>
      </w:r>
    </w:p>
    <w:p>
      <w:pPr>
        <w:autoSpaceDE w:val="0"/>
        <w:autoSpaceDN w:val="0"/>
        <w:adjustRightInd w:val="0"/>
        <w:spacing w:line="520" w:lineRule="exact"/>
        <w:ind w:firstLine="640"/>
        <w:rPr>
          <w:rFonts w:ascii="仿宋" w:eastAsia="仿宋" w:cs="仿宋"/>
          <w:sz w:val="32"/>
          <w:szCs w:val="32"/>
        </w:rPr>
      </w:pPr>
      <w:r>
        <w:rPr>
          <w:rFonts w:hint="eastAsia" w:ascii="仿宋" w:eastAsia="仿宋" w:cs="仿宋"/>
          <w:sz w:val="32"/>
          <w:szCs w:val="32"/>
        </w:rPr>
        <w:t>（</w:t>
      </w:r>
      <w:r>
        <w:rPr>
          <w:rFonts w:ascii="仿宋" w:eastAsia="仿宋" w:cs="仿宋"/>
          <w:sz w:val="32"/>
          <w:szCs w:val="32"/>
        </w:rPr>
        <w:t>3</w:t>
      </w:r>
      <w:r>
        <w:rPr>
          <w:rFonts w:hint="eastAsia" w:ascii="仿宋" w:eastAsia="仿宋" w:cs="仿宋"/>
          <w:sz w:val="32"/>
          <w:szCs w:val="32"/>
        </w:rPr>
        <w:t>）负责梧桐办事处国土、动物防疫、规划建设、环境保护、交通运输、工业经济、招商引资、安全生产监督、食品药品监管及民政、卫生、体育、旅游、科技、文化、民族宗教、城市管理、劳动和社会保障等方面工作。</w:t>
      </w:r>
    </w:p>
    <w:p>
      <w:pPr>
        <w:autoSpaceDE w:val="0"/>
        <w:autoSpaceDN w:val="0"/>
        <w:adjustRightInd w:val="0"/>
        <w:spacing w:line="520" w:lineRule="exact"/>
        <w:ind w:firstLine="640"/>
        <w:rPr>
          <w:rFonts w:ascii="仿宋" w:eastAsia="仿宋" w:cs="仿宋"/>
          <w:sz w:val="32"/>
          <w:szCs w:val="32"/>
        </w:rPr>
      </w:pPr>
      <w:r>
        <w:rPr>
          <w:rFonts w:hint="eastAsia" w:ascii="仿宋" w:eastAsia="仿宋" w:cs="仿宋"/>
          <w:sz w:val="32"/>
          <w:szCs w:val="32"/>
        </w:rPr>
        <w:t>（</w:t>
      </w:r>
      <w:r>
        <w:rPr>
          <w:rFonts w:ascii="仿宋" w:eastAsia="仿宋" w:cs="仿宋"/>
          <w:sz w:val="32"/>
          <w:szCs w:val="32"/>
        </w:rPr>
        <w:t>5</w:t>
      </w:r>
      <w:r>
        <w:rPr>
          <w:rFonts w:hint="eastAsia" w:ascii="仿宋" w:eastAsia="仿宋" w:cs="仿宋"/>
          <w:sz w:val="32"/>
          <w:szCs w:val="32"/>
        </w:rPr>
        <w:t>）负责梧桐办事处纪检监察、组织人事、宣传统战、人民武装、工会、共青团、妇联、残联、科协等工作。承担人大和政协联络等相关工作。</w:t>
      </w:r>
    </w:p>
    <w:p>
      <w:pPr>
        <w:spacing w:line="500" w:lineRule="exact"/>
        <w:ind w:firstLine="640" w:firstLineChars="200"/>
        <w:rPr>
          <w:rFonts w:ascii="仿宋" w:hAnsi="仿宋" w:eastAsia="仿宋"/>
          <w:sz w:val="32"/>
          <w:szCs w:val="32"/>
        </w:rPr>
      </w:pPr>
      <w:r>
        <w:rPr>
          <w:rFonts w:hint="eastAsia" w:ascii="仿宋" w:eastAsia="仿宋" w:cs="仿宋"/>
          <w:sz w:val="32"/>
          <w:szCs w:val="32"/>
        </w:rPr>
        <w:t>（</w:t>
      </w:r>
      <w:r>
        <w:rPr>
          <w:rFonts w:ascii="仿宋" w:eastAsia="仿宋" w:cs="仿宋"/>
          <w:sz w:val="32"/>
          <w:szCs w:val="32"/>
        </w:rPr>
        <w:t>6</w:t>
      </w:r>
      <w:r>
        <w:rPr>
          <w:rFonts w:hint="eastAsia" w:ascii="仿宋" w:eastAsia="仿宋" w:cs="仿宋"/>
          <w:sz w:val="32"/>
          <w:szCs w:val="32"/>
        </w:rPr>
        <w:t>）完成区委、区政府交办的其他事项。</w:t>
      </w:r>
    </w:p>
    <w:p>
      <w:pPr>
        <w:spacing w:line="620" w:lineRule="exact"/>
        <w:rPr>
          <w:rFonts w:hint="eastAsia" w:ascii="仿宋" w:hAnsi="仿宋" w:eastAsia="仿宋"/>
          <w:color w:val="000000"/>
          <w:kern w:val="0"/>
          <w:sz w:val="32"/>
          <w:szCs w:val="32"/>
        </w:rPr>
      </w:pPr>
      <w:r>
        <w:rPr>
          <w:rFonts w:hint="eastAsia" w:ascii="仿宋" w:hAnsi="仿宋" w:eastAsia="仿宋"/>
          <w:color w:val="000000"/>
          <w:kern w:val="0"/>
          <w:sz w:val="32"/>
          <w:szCs w:val="32"/>
        </w:rPr>
        <w:t xml:space="preserve">    2、人员情况</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冷水滩区梧桐街道办事处为正科级全额拨款行政单位，核定编制35人，其中：行政编制</w:t>
      </w:r>
      <w:r>
        <w:rPr>
          <w:rFonts w:ascii="仿宋" w:hAnsi="仿宋" w:eastAsia="仿宋"/>
          <w:sz w:val="32"/>
          <w:szCs w:val="32"/>
        </w:rPr>
        <w:t>1</w:t>
      </w:r>
      <w:r>
        <w:rPr>
          <w:rFonts w:hint="eastAsia" w:ascii="仿宋" w:hAnsi="仿宋" w:eastAsia="仿宋"/>
          <w:sz w:val="32"/>
          <w:szCs w:val="32"/>
        </w:rPr>
        <w:t>1人，事业编制24人。</w:t>
      </w:r>
      <w:r>
        <w:rPr>
          <w:rFonts w:ascii="仿宋" w:hAnsi="仿宋" w:eastAsia="仿宋"/>
          <w:sz w:val="32"/>
          <w:szCs w:val="32"/>
        </w:rPr>
        <w:t>2</w:t>
      </w:r>
      <w:r>
        <w:rPr>
          <w:rFonts w:hint="eastAsia" w:ascii="仿宋" w:hAnsi="仿宋" w:eastAsia="仿宋"/>
          <w:sz w:val="32"/>
          <w:szCs w:val="32"/>
        </w:rPr>
        <w:t>021年</w:t>
      </w:r>
      <w:r>
        <w:rPr>
          <w:rFonts w:hint="eastAsia" w:ascii="宋体" w:hAnsi="宋体" w:eastAsia="宋体" w:cs="宋体"/>
          <w:color w:val="000000"/>
          <w:kern w:val="2"/>
          <w:sz w:val="32"/>
          <w:szCs w:val="32"/>
        </w:rPr>
        <w:t>实有人数168人（正副科级人数为26人），其中在职148人，退休20人</w:t>
      </w:r>
      <w:r>
        <w:rPr>
          <w:rFonts w:hint="eastAsia" w:ascii="仿宋" w:hAnsi="仿宋" w:eastAsia="仿宋"/>
          <w:sz w:val="32"/>
          <w:szCs w:val="32"/>
        </w:rPr>
        <w:t>。车辆编制及实有数为</w:t>
      </w:r>
      <w:r>
        <w:rPr>
          <w:rFonts w:ascii="仿宋" w:hAnsi="仿宋" w:eastAsia="仿宋"/>
          <w:sz w:val="32"/>
          <w:szCs w:val="32"/>
        </w:rPr>
        <w:t>1</w:t>
      </w:r>
      <w:r>
        <w:rPr>
          <w:rFonts w:hint="eastAsia" w:ascii="仿宋" w:hAnsi="仿宋" w:eastAsia="仿宋"/>
          <w:sz w:val="32"/>
          <w:szCs w:val="32"/>
        </w:rPr>
        <w:t>辆。</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（二）项目预算和绩效目标基本情况简介</w:t>
      </w:r>
    </w:p>
    <w:p>
      <w:pPr>
        <w:spacing w:line="500" w:lineRule="exact"/>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1年度冷水滩区梧桐办事处项目支出12.13万元，其中：防灾减灾宣传4万元，人口普查8.13万元。</w:t>
      </w:r>
    </w:p>
    <w:p>
      <w:pPr>
        <w:spacing w:line="620" w:lineRule="exact"/>
        <w:ind w:firstLine="643" w:firstLineChars="200"/>
        <w:rPr>
          <w:rFonts w:hint="eastAsia" w:ascii="黑体" w:hAnsi="黑体" w:eastAsia="黑体"/>
          <w:b/>
          <w:color w:val="000000"/>
          <w:kern w:val="0"/>
          <w:sz w:val="32"/>
          <w:szCs w:val="32"/>
        </w:rPr>
      </w:pPr>
      <w:r>
        <w:rPr>
          <w:rFonts w:hint="eastAsia" w:ascii="黑体" w:hAnsi="黑体" w:eastAsia="黑体"/>
          <w:b/>
          <w:color w:val="000000"/>
          <w:kern w:val="0"/>
          <w:sz w:val="32"/>
          <w:szCs w:val="32"/>
        </w:rPr>
        <w:t>二、项目组织实施情况</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我单位严格按照财务制度，规范各项经费的开支，根据项目支出的性质、范围、用途，坚持专款专用，严禁挤占挪用。我办事处申报的专项资金从</w:t>
      </w:r>
      <w:r>
        <w:rPr>
          <w:rFonts w:ascii="仿宋" w:hAnsi="仿宋" w:eastAsia="仿宋"/>
          <w:sz w:val="32"/>
          <w:szCs w:val="32"/>
        </w:rPr>
        <w:t>20</w:t>
      </w:r>
      <w:r>
        <w:rPr>
          <w:rFonts w:hint="eastAsia" w:ascii="仿宋" w:hAnsi="仿宋" w:eastAsia="仿宋"/>
          <w:sz w:val="32"/>
          <w:szCs w:val="32"/>
        </w:rPr>
        <w:t>21年初开始计划实施，并于</w:t>
      </w:r>
      <w:r>
        <w:rPr>
          <w:rFonts w:ascii="仿宋" w:hAnsi="仿宋" w:eastAsia="仿宋"/>
          <w:sz w:val="32"/>
          <w:szCs w:val="32"/>
        </w:rPr>
        <w:t>2</w:t>
      </w:r>
      <w:r>
        <w:rPr>
          <w:rFonts w:hint="eastAsia" w:ascii="仿宋" w:hAnsi="仿宋" w:eastAsia="仿宋"/>
          <w:sz w:val="32"/>
          <w:szCs w:val="32"/>
        </w:rPr>
        <w:t>021年底前完成年度绩效目标。</w:t>
      </w:r>
    </w:p>
    <w:p>
      <w:pPr>
        <w:spacing w:line="620" w:lineRule="exact"/>
        <w:ind w:firstLine="643" w:firstLineChars="200"/>
        <w:rPr>
          <w:rFonts w:ascii="黑体" w:hAnsi="黑体" w:eastAsia="黑体"/>
          <w:b/>
          <w:color w:val="000000"/>
          <w:kern w:val="0"/>
          <w:sz w:val="32"/>
          <w:szCs w:val="32"/>
        </w:rPr>
      </w:pPr>
      <w:r>
        <w:rPr>
          <w:rFonts w:hint="eastAsia" w:ascii="黑体" w:hAnsi="黑体" w:eastAsia="黑体"/>
          <w:b/>
          <w:color w:val="000000"/>
          <w:kern w:val="0"/>
          <w:sz w:val="32"/>
          <w:szCs w:val="32"/>
        </w:rPr>
        <w:t>三、项目资金使用及管理情况</w:t>
      </w:r>
    </w:p>
    <w:p>
      <w:pPr>
        <w:rPr>
          <w:rFonts w:hint="eastAsia" w:ascii="仿宋_GB2312" w:hAnsi="Arial" w:eastAsia="仿宋_GB2312" w:cs="Arial"/>
          <w:sz w:val="20"/>
          <w:szCs w:val="20"/>
        </w:rPr>
      </w:pPr>
      <w:r>
        <w:rPr>
          <w:rFonts w:hint="eastAsia" w:ascii="仿宋" w:hAnsi="仿宋" w:eastAsia="仿宋"/>
          <w:sz w:val="32"/>
          <w:szCs w:val="32"/>
        </w:rPr>
        <w:t>（一）项目资金分步逐项落实，做到专款专用，总投入为12.13万元，其中：防灾减灾宣传4万元，人口普查8.13万元。</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（二）项目资金按年度工作目标做好各专项资金使用计划，已全部执行到位。</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（三）项目资金管理严格遵守相关管理制度、办法执行，以发挥专项资金的最大效益。</w:t>
      </w:r>
    </w:p>
    <w:p>
      <w:pPr>
        <w:spacing w:line="620" w:lineRule="exact"/>
        <w:ind w:firstLine="643" w:firstLineChars="200"/>
        <w:rPr>
          <w:rFonts w:ascii="黑体" w:hAnsi="黑体" w:eastAsia="黑体"/>
          <w:b/>
          <w:color w:val="000000"/>
          <w:kern w:val="0"/>
          <w:sz w:val="32"/>
          <w:szCs w:val="32"/>
        </w:rPr>
      </w:pPr>
      <w:r>
        <w:rPr>
          <w:rFonts w:hint="eastAsia" w:ascii="黑体" w:hAnsi="黑体" w:eastAsia="黑体"/>
          <w:b/>
          <w:color w:val="000000"/>
          <w:kern w:val="0"/>
          <w:sz w:val="32"/>
          <w:szCs w:val="32"/>
        </w:rPr>
        <w:t>四、项目绩效指标完成情况</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（一）项目经济性分析</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）项目成本（预算）控制情况</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本办事处项目预算12.13万元，没有增加经费，预算控制为零。</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）项目成本（预算）节约情况</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两个项目本着节约的原则，没有增加任何经费。</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（二）项目的效率性分析</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）项目的实施进度按照计划进行。</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）项目的完成质量达到预期。</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（三）项目的有效性分析</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专项（项目）组织主要用于加强办事处管理，加强纪检工作监督，改善办事处面貌，提升乡镇品味，推进办事处管理工作规范化、科学化、精细化、制度化。</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（四）项目的可持续性分析</w:t>
      </w:r>
    </w:p>
    <w:p>
      <w:pPr>
        <w:spacing w:line="620" w:lineRule="exact"/>
        <w:ind w:firstLine="640" w:firstLineChars="200"/>
        <w:rPr>
          <w:rFonts w:ascii="仿宋" w:hAnsi="仿宋" w:eastAsia="仿宋"/>
          <w:sz w:val="32"/>
          <w:szCs w:val="32"/>
        </w:rPr>
      </w:pPr>
      <w:r>
        <w:rPr>
          <w:rFonts w:hint="eastAsia" w:ascii="仿宋" w:hAnsi="仿宋" w:eastAsia="仿宋"/>
          <w:sz w:val="32"/>
          <w:szCs w:val="32"/>
        </w:rPr>
        <w:t>按年度工作目标做好各专项资金使用计划，分步逐项落实，做到专款专用，厉行节约，按时支付，发挥专项资金的最大效益。</w:t>
      </w:r>
    </w:p>
    <w:p>
      <w:pPr>
        <w:spacing w:line="620" w:lineRule="exact"/>
        <w:ind w:firstLine="643" w:firstLineChars="200"/>
        <w:rPr>
          <w:rFonts w:ascii="黑体" w:hAnsi="黑体" w:eastAsia="黑体"/>
          <w:b/>
          <w:color w:val="000000"/>
          <w:kern w:val="0"/>
          <w:sz w:val="32"/>
          <w:szCs w:val="32"/>
        </w:rPr>
      </w:pPr>
      <w:r>
        <w:rPr>
          <w:rFonts w:hint="eastAsia" w:ascii="黑体" w:hAnsi="黑体" w:eastAsia="黑体"/>
          <w:b/>
          <w:color w:val="000000"/>
          <w:kern w:val="0"/>
          <w:sz w:val="32"/>
          <w:szCs w:val="32"/>
        </w:rPr>
        <w:t>五、绩效目标未完成原因和下一步改进措施</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无。</w:t>
      </w:r>
    </w:p>
    <w:p>
      <w:pPr>
        <w:spacing w:line="620" w:lineRule="exact"/>
        <w:ind w:firstLine="643" w:firstLineChars="200"/>
        <w:rPr>
          <w:rFonts w:ascii="黑体" w:hAnsi="黑体" w:eastAsia="黑体"/>
          <w:b/>
          <w:color w:val="000000"/>
          <w:kern w:val="0"/>
          <w:sz w:val="32"/>
          <w:szCs w:val="32"/>
        </w:rPr>
      </w:pPr>
      <w:r>
        <w:rPr>
          <w:rFonts w:hint="eastAsia" w:ascii="黑体" w:hAnsi="黑体" w:eastAsia="黑体"/>
          <w:b/>
          <w:color w:val="000000"/>
          <w:kern w:val="0"/>
          <w:sz w:val="32"/>
          <w:szCs w:val="32"/>
        </w:rPr>
        <w:t>六、绩效自评得分等级结果及拟应用和公开情况</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项目资金严格按照财务管理规定执行，大部分下拨及时，使用科目合理，程序合法，确保了项目的顺利完成。本项目综合考评得分为</w:t>
      </w:r>
      <w:r>
        <w:rPr>
          <w:rFonts w:ascii="仿宋" w:hAnsi="仿宋" w:eastAsia="仿宋"/>
          <w:sz w:val="32"/>
          <w:szCs w:val="32"/>
        </w:rPr>
        <w:t>9</w:t>
      </w:r>
      <w:r>
        <w:rPr>
          <w:rFonts w:hint="eastAsia" w:ascii="仿宋" w:hAnsi="仿宋" w:eastAsia="仿宋"/>
          <w:sz w:val="32"/>
          <w:szCs w:val="32"/>
        </w:rPr>
        <w:t>2分，评价等级确定为优。</w:t>
      </w:r>
    </w:p>
    <w:p>
      <w:pPr>
        <w:spacing w:line="620" w:lineRule="exact"/>
        <w:ind w:firstLine="643" w:firstLineChars="200"/>
        <w:rPr>
          <w:rFonts w:ascii="黑体" w:hAnsi="黑体" w:eastAsia="黑体"/>
          <w:b/>
          <w:color w:val="000000"/>
          <w:kern w:val="0"/>
          <w:sz w:val="32"/>
          <w:szCs w:val="32"/>
        </w:rPr>
      </w:pPr>
      <w:r>
        <w:rPr>
          <w:rFonts w:hint="eastAsia" w:ascii="黑体" w:hAnsi="黑体" w:eastAsia="黑体"/>
          <w:b/>
          <w:color w:val="000000"/>
          <w:kern w:val="0"/>
          <w:sz w:val="32"/>
          <w:szCs w:val="32"/>
        </w:rPr>
        <w:t>七、绩效自评工作的经验、问题和建议</w:t>
      </w:r>
    </w:p>
    <w:p>
      <w:pPr>
        <w:spacing w:line="62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项目实施的经验。明确项目发展的方向，紧密结合区政府的中心工作及我乡的实际情况，项目成果要能惠及民众，造福百姓；整合各方资源，形成合力优势，提升项目实施的技术水平；对不能按要求组织实施，预期绩效目标较差的项目，及时进行协调和提出整改措施，确保项目实施工作正常运行。</w:t>
      </w:r>
    </w:p>
    <w:p>
      <w:pPr>
        <w:spacing w:line="62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、存在的问题。专项资金来源渠道少，使得专项项目进展缓慢，不适应现代化城镇建设的新需求；资金压力大。</w:t>
      </w:r>
    </w:p>
    <w:p>
      <w:pPr>
        <w:spacing w:line="62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、建议。完善管理机制，明确责任；组织业务人员到专业院校业务培训。</w:t>
      </w:r>
    </w:p>
    <w:p>
      <w:pPr>
        <w:spacing w:line="540" w:lineRule="exact"/>
        <w:ind w:firstLine="643" w:firstLineChars="200"/>
        <w:rPr>
          <w:rFonts w:ascii="黑体" w:hAnsi="黑体" w:eastAsia="黑体"/>
          <w:b/>
          <w:color w:val="000000"/>
          <w:kern w:val="0"/>
          <w:sz w:val="32"/>
          <w:szCs w:val="32"/>
        </w:rPr>
      </w:pPr>
      <w:r>
        <w:rPr>
          <w:rFonts w:hint="eastAsia" w:ascii="黑体" w:hAnsi="黑体" w:eastAsia="黑体"/>
          <w:b/>
          <w:color w:val="000000"/>
          <w:kern w:val="0"/>
          <w:sz w:val="32"/>
          <w:szCs w:val="32"/>
        </w:rPr>
        <w:t>八、其他需说明的问题</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无。</w:t>
      </w:r>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w:t>
      </w:r>
      <w:r>
        <w:rPr>
          <w:rFonts w:ascii="仿宋_GB2312" w:hAnsi="仿宋_GB2312" w:eastAsia="仿宋_GB2312" w:cs="仿宋_GB2312"/>
          <w:bCs/>
          <w:kern w:val="0"/>
          <w:sz w:val="32"/>
          <w:szCs w:val="32"/>
        </w:rPr>
        <w:t>2</w:t>
      </w:r>
    </w:p>
    <w:p>
      <w:pPr>
        <w:widowControl/>
        <w:ind w:left="93"/>
        <w:jc w:val="center"/>
        <w:rPr>
          <w:rFonts w:ascii="方正小标宋简体" w:hAnsi="方正小标宋简体" w:eastAsia="方正小标宋简体" w:cs="方正小标宋简体"/>
          <w:kern w:val="0"/>
          <w:sz w:val="36"/>
          <w:szCs w:val="36"/>
        </w:rPr>
      </w:pPr>
      <w:r>
        <w:rPr>
          <w:rFonts w:ascii="方正小标宋简体" w:hAnsi="方正小标宋简体" w:eastAsia="方正小标宋简体" w:cs="方正小标宋简体"/>
          <w:kern w:val="0"/>
          <w:sz w:val="36"/>
          <w:szCs w:val="36"/>
        </w:rPr>
        <w:t>2021</w:t>
      </w:r>
      <w:r>
        <w:rPr>
          <w:rFonts w:hint="eastAsia" w:ascii="方正小标宋简体" w:hAnsi="方正小标宋简体" w:eastAsia="方正小标宋简体" w:cs="方正小标宋简体"/>
          <w:kern w:val="0"/>
          <w:sz w:val="36"/>
          <w:szCs w:val="36"/>
        </w:rPr>
        <w:t>年度财政专项（项目）资金绩效评价表</w:t>
      </w:r>
    </w:p>
    <w:p>
      <w:pPr>
        <w:widowControl/>
        <w:ind w:left="93"/>
        <w:jc w:val="center"/>
        <w:rPr>
          <w:rFonts w:ascii="方正小标宋简体" w:hAnsi="方正小标宋简体" w:eastAsia="方正小标宋简体" w:cs="方正小标宋简体"/>
          <w:kern w:val="0"/>
          <w:sz w:val="36"/>
          <w:szCs w:val="36"/>
        </w:rPr>
      </w:pPr>
    </w:p>
    <w:tbl>
      <w:tblPr>
        <w:tblStyle w:val="3"/>
        <w:tblW w:w="10823" w:type="dxa"/>
        <w:jc w:val="center"/>
        <w:tblLayout w:type="fixed"/>
        <w:tblCellMar>
          <w:top w:w="0" w:type="dxa"/>
          <w:left w:w="108" w:type="dxa"/>
          <w:bottom w:w="0" w:type="dxa"/>
          <w:right w:w="108" w:type="dxa"/>
        </w:tblCellMar>
      </w:tblPr>
      <w:tblGrid>
        <w:gridCol w:w="656"/>
        <w:gridCol w:w="710"/>
        <w:gridCol w:w="1275"/>
        <w:gridCol w:w="3080"/>
        <w:gridCol w:w="4502"/>
        <w:gridCol w:w="600"/>
      </w:tblGrid>
      <w:tr>
        <w:tblPrEx>
          <w:tblCellMar>
            <w:top w:w="0" w:type="dxa"/>
            <w:left w:w="108" w:type="dxa"/>
            <w:bottom w:w="0" w:type="dxa"/>
            <w:right w:w="108" w:type="dxa"/>
          </w:tblCellMar>
        </w:tblPrEx>
        <w:trPr>
          <w:wBefore w:w="0" w:type="dxa"/>
          <w:wAfter w:w="0" w:type="dxa"/>
          <w:tblHeader/>
          <w:jc w:val="center"/>
        </w:trPr>
        <w:tc>
          <w:tcPr>
            <w:tcW w:w="656" w:type="dxa"/>
            <w:tcBorders>
              <w:top w:val="single" w:color="auto" w:sz="4" w:space="0"/>
              <w:left w:val="single" w:color="auto" w:sz="4" w:space="0"/>
              <w:bottom w:val="nil"/>
              <w:right w:val="single" w:color="auto" w:sz="4" w:space="0"/>
            </w:tcBorders>
            <w:noWrap w:val="0"/>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noWrap w:val="0"/>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600"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wBefore w:w="0" w:type="dxa"/>
          <w:wAfter w:w="0" w:type="dxa"/>
          <w:trHeight w:val="391" w:hRule="atLeast"/>
          <w:tblHeader/>
          <w:jc w:val="center"/>
        </w:trPr>
        <w:tc>
          <w:tcPr>
            <w:tcW w:w="656" w:type="dxa"/>
            <w:tcBorders>
              <w:top w:val="nil"/>
              <w:left w:val="single" w:color="auto" w:sz="4" w:space="0"/>
              <w:bottom w:val="single" w:color="auto" w:sz="4" w:space="0"/>
              <w:right w:val="single" w:color="auto" w:sz="4" w:space="0"/>
            </w:tcBorders>
            <w:noWrap w:val="0"/>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noWrap w:val="0"/>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eastAsia="仿宋_GB2312"/>
                <w:b/>
                <w:bCs/>
                <w:color w:val="000000"/>
                <w:kern w:val="0"/>
                <w:sz w:val="20"/>
                <w:szCs w:val="20"/>
              </w:rPr>
            </w:pPr>
          </w:p>
        </w:tc>
        <w:tc>
          <w:tcPr>
            <w:tcW w:w="600" w:type="dxa"/>
            <w:vMerge w:val="continue"/>
            <w:tcBorders>
              <w:left w:val="single" w:color="auto" w:sz="4" w:space="0"/>
              <w:bottom w:val="single" w:color="000000" w:sz="4" w:space="0"/>
              <w:right w:val="single" w:color="auto" w:sz="4" w:space="0"/>
            </w:tcBorders>
            <w:noWrap w:val="0"/>
            <w:vAlign w:val="top"/>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wBefore w:w="0" w:type="dxa"/>
          <w:wAfter w:w="0" w:type="dxa"/>
          <w:jc w:val="center"/>
        </w:trPr>
        <w:tc>
          <w:tcPr>
            <w:tcW w:w="656"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trHeight w:val="948"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600" w:type="dxa"/>
            <w:tcBorders>
              <w:top w:val="nil"/>
              <w:left w:val="nil"/>
              <w:bottom w:val="single" w:color="auto" w:sz="4" w:space="0"/>
              <w:right w:val="single" w:color="auto" w:sz="4" w:space="0"/>
            </w:tcBorders>
            <w:noWrap w:val="0"/>
            <w:vAlign w:val="top"/>
          </w:tcPr>
          <w:p>
            <w:pPr>
              <w:widowControl/>
              <w:spacing w:line="280" w:lineRule="exact"/>
              <w:rPr>
                <w:rFonts w:hint="eastAsia" w:ascii="宋体"/>
                <w:color w:val="000000"/>
                <w:kern w:val="0"/>
                <w:sz w:val="24"/>
              </w:rPr>
            </w:pPr>
          </w:p>
          <w:p>
            <w:pPr>
              <w:widowControl/>
              <w:spacing w:line="280" w:lineRule="exact"/>
              <w:rPr>
                <w:rFonts w:hint="eastAsia" w:ascii="宋体"/>
                <w:color w:val="000000"/>
                <w:kern w:val="0"/>
                <w:sz w:val="24"/>
              </w:rPr>
            </w:pPr>
          </w:p>
          <w:p>
            <w:pPr>
              <w:widowControl/>
              <w:spacing w:line="280" w:lineRule="exact"/>
              <w:rPr>
                <w:rFonts w:hint="eastAsia"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wBefore w:w="0" w:type="dxa"/>
          <w:wAfter w:w="0" w:type="dxa"/>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trHeight w:val="82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600" w:type="dxa"/>
            <w:tcBorders>
              <w:top w:val="nil"/>
              <w:left w:val="nil"/>
              <w:bottom w:val="single" w:color="auto" w:sz="4" w:space="0"/>
              <w:right w:val="single" w:color="auto" w:sz="4" w:space="0"/>
            </w:tcBorders>
            <w:noWrap w:val="0"/>
            <w:vAlign w:val="top"/>
          </w:tcPr>
          <w:p>
            <w:pPr>
              <w:widowControl/>
              <w:spacing w:line="280" w:lineRule="exact"/>
              <w:rPr>
                <w:rFonts w:hint="eastAsia" w:ascii="宋体"/>
                <w:color w:val="000000"/>
                <w:kern w:val="0"/>
                <w:sz w:val="24"/>
              </w:rPr>
            </w:pPr>
          </w:p>
          <w:p>
            <w:pPr>
              <w:widowControl/>
              <w:spacing w:line="280" w:lineRule="exact"/>
              <w:rPr>
                <w:rFonts w:hint="eastAsia"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wBefore w:w="0" w:type="dxa"/>
          <w:wAfter w:w="0" w:type="dxa"/>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trHeight w:val="675"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600" w:type="dxa"/>
            <w:tcBorders>
              <w:top w:val="nil"/>
              <w:left w:val="nil"/>
              <w:bottom w:val="single" w:color="auto" w:sz="4" w:space="0"/>
              <w:right w:val="single" w:color="auto" w:sz="4" w:space="0"/>
            </w:tcBorders>
            <w:noWrap w:val="0"/>
            <w:vAlign w:val="top"/>
          </w:tcPr>
          <w:p>
            <w:pPr>
              <w:widowControl/>
              <w:spacing w:line="280" w:lineRule="exact"/>
              <w:rPr>
                <w:rFonts w:hint="eastAsia" w:ascii="宋体"/>
                <w:color w:val="000000"/>
                <w:kern w:val="0"/>
                <w:sz w:val="24"/>
              </w:rPr>
            </w:pPr>
          </w:p>
          <w:p>
            <w:pPr>
              <w:widowControl/>
              <w:spacing w:line="280" w:lineRule="exact"/>
              <w:rPr>
                <w:rFonts w:hint="eastAsia"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wBefore w:w="0" w:type="dxa"/>
          <w:wAfter w:w="0" w:type="dxa"/>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trHeight w:val="1122"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600" w:type="dxa"/>
            <w:tcBorders>
              <w:top w:val="nil"/>
              <w:left w:val="nil"/>
              <w:bottom w:val="single" w:color="auto" w:sz="4" w:space="0"/>
              <w:right w:val="single" w:color="auto" w:sz="4" w:space="0"/>
            </w:tcBorders>
            <w:noWrap w:val="0"/>
            <w:vAlign w:val="top"/>
          </w:tcPr>
          <w:p>
            <w:pPr>
              <w:widowControl/>
              <w:spacing w:line="280" w:lineRule="exact"/>
              <w:rPr>
                <w:rFonts w:hint="eastAsia" w:ascii="宋体"/>
                <w:color w:val="000000"/>
                <w:kern w:val="0"/>
                <w:sz w:val="24"/>
              </w:rPr>
            </w:pPr>
          </w:p>
          <w:p>
            <w:pPr>
              <w:widowControl/>
              <w:spacing w:line="280" w:lineRule="exact"/>
              <w:rPr>
                <w:rFonts w:hint="eastAsia" w:ascii="宋体"/>
                <w:color w:val="000000"/>
                <w:kern w:val="0"/>
                <w:sz w:val="24"/>
              </w:rPr>
            </w:pPr>
          </w:p>
          <w:p>
            <w:pPr>
              <w:widowControl/>
              <w:spacing w:line="280" w:lineRule="exact"/>
              <w:rPr>
                <w:rFonts w:hint="eastAsia"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wBefore w:w="0" w:type="dxa"/>
          <w:wAfter w:w="0" w:type="dxa"/>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trHeight w:val="1091"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600" w:type="dxa"/>
            <w:tcBorders>
              <w:top w:val="nil"/>
              <w:left w:val="nil"/>
              <w:bottom w:val="single" w:color="auto" w:sz="4" w:space="0"/>
              <w:right w:val="single" w:color="auto" w:sz="4" w:space="0"/>
            </w:tcBorders>
            <w:noWrap w:val="0"/>
            <w:vAlign w:val="top"/>
          </w:tcPr>
          <w:p>
            <w:pPr>
              <w:widowControl/>
              <w:spacing w:line="280" w:lineRule="exact"/>
              <w:rPr>
                <w:rFonts w:hint="eastAsia" w:ascii="宋体"/>
                <w:color w:val="000000"/>
                <w:kern w:val="0"/>
                <w:sz w:val="24"/>
              </w:rPr>
            </w:pPr>
          </w:p>
          <w:p>
            <w:pPr>
              <w:widowControl/>
              <w:spacing w:line="280" w:lineRule="exact"/>
              <w:rPr>
                <w:rFonts w:hint="eastAsia"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wBefore w:w="0" w:type="dxa"/>
          <w:wAfter w:w="0" w:type="dxa"/>
          <w:jc w:val="center"/>
        </w:trPr>
        <w:tc>
          <w:tcPr>
            <w:tcW w:w="656" w:type="dxa"/>
            <w:vMerge w:val="restart"/>
            <w:tcBorders>
              <w:top w:val="nil"/>
              <w:left w:val="single" w:color="auto" w:sz="4" w:space="0"/>
              <w:right w:val="single" w:color="auto" w:sz="4" w:space="0"/>
            </w:tcBorders>
            <w:noWrap w:val="0"/>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noWrap w:val="0"/>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left w:val="single" w:color="auto" w:sz="4" w:space="0"/>
              <w:right w:val="single" w:color="auto" w:sz="4" w:space="0"/>
            </w:tcBorders>
            <w:noWrap w:val="0"/>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noWrap w:val="0"/>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trHeight w:val="633" w:hRule="atLeast"/>
          <w:jc w:val="center"/>
        </w:trPr>
        <w:tc>
          <w:tcPr>
            <w:tcW w:w="656" w:type="dxa"/>
            <w:vMerge w:val="continue"/>
            <w:tcBorders>
              <w:left w:val="single" w:color="auto" w:sz="4" w:space="0"/>
              <w:right w:val="single" w:color="auto" w:sz="4" w:space="0"/>
            </w:tcBorders>
            <w:noWrap w:val="0"/>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noWrap w:val="0"/>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600" w:type="dxa"/>
            <w:tcBorders>
              <w:top w:val="nil"/>
              <w:left w:val="nil"/>
              <w:bottom w:val="single" w:color="auto" w:sz="4" w:space="0"/>
              <w:right w:val="single" w:color="auto" w:sz="4" w:space="0"/>
            </w:tcBorders>
            <w:noWrap w:val="0"/>
            <w:vAlign w:val="top"/>
          </w:tcPr>
          <w:p>
            <w:pPr>
              <w:widowControl/>
              <w:spacing w:line="280" w:lineRule="exact"/>
              <w:rPr>
                <w:rFonts w:hint="eastAsia" w:ascii="宋体"/>
                <w:color w:val="000000"/>
                <w:kern w:val="0"/>
                <w:sz w:val="24"/>
              </w:rPr>
            </w:pPr>
          </w:p>
          <w:p>
            <w:pPr>
              <w:widowControl/>
              <w:spacing w:line="280" w:lineRule="exact"/>
              <w:rPr>
                <w:rFonts w:hint="eastAsia"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wBefore w:w="0" w:type="dxa"/>
          <w:wAfter w:w="0" w:type="dxa"/>
          <w:jc w:val="center"/>
        </w:trPr>
        <w:tc>
          <w:tcPr>
            <w:tcW w:w="656" w:type="dxa"/>
            <w:vMerge w:val="continue"/>
            <w:tcBorders>
              <w:left w:val="single" w:color="auto" w:sz="4" w:space="0"/>
              <w:right w:val="single" w:color="auto" w:sz="4" w:space="0"/>
            </w:tcBorders>
            <w:noWrap w:val="0"/>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noWrap w:val="0"/>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left w:val="single" w:color="auto" w:sz="4" w:space="0"/>
              <w:right w:val="single" w:color="auto" w:sz="4" w:space="0"/>
            </w:tcBorders>
            <w:noWrap w:val="0"/>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noWrap w:val="0"/>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left w:val="single" w:color="auto" w:sz="4" w:space="0"/>
              <w:right w:val="single" w:color="auto" w:sz="4" w:space="0"/>
            </w:tcBorders>
            <w:noWrap w:val="0"/>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noWrap w:val="0"/>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left w:val="single" w:color="auto" w:sz="4" w:space="0"/>
              <w:right w:val="single" w:color="auto" w:sz="4" w:space="0"/>
            </w:tcBorders>
            <w:noWrap w:val="0"/>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noWrap w:val="0"/>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600" w:type="dxa"/>
            <w:tcBorders>
              <w:top w:val="nil"/>
              <w:left w:val="nil"/>
              <w:bottom w:val="nil"/>
              <w:right w:val="single" w:color="auto" w:sz="4" w:space="0"/>
            </w:tcBorders>
            <w:noWrap w:val="0"/>
            <w:vAlign w:val="top"/>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wBefore w:w="0" w:type="dxa"/>
          <w:wAfter w:w="0" w:type="dxa"/>
          <w:trHeight w:val="1103" w:hRule="atLeast"/>
          <w:jc w:val="center"/>
        </w:trPr>
        <w:tc>
          <w:tcPr>
            <w:tcW w:w="656" w:type="dxa"/>
            <w:vMerge w:val="continue"/>
            <w:tcBorders>
              <w:left w:val="single" w:color="auto" w:sz="4" w:space="0"/>
              <w:right w:val="single" w:color="auto" w:sz="4" w:space="0"/>
            </w:tcBorders>
            <w:noWrap w:val="0"/>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noWrap w:val="0"/>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noWrap w:val="0"/>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600" w:type="dxa"/>
            <w:tcBorders>
              <w:top w:val="nil"/>
              <w:left w:val="nil"/>
              <w:bottom w:val="single" w:color="auto" w:sz="4" w:space="0"/>
              <w:right w:val="single" w:color="auto" w:sz="4" w:space="0"/>
            </w:tcBorders>
            <w:noWrap w:val="0"/>
            <w:vAlign w:val="top"/>
          </w:tcPr>
          <w:p>
            <w:pPr>
              <w:widowControl/>
              <w:spacing w:line="280" w:lineRule="exact"/>
              <w:rPr>
                <w:rFonts w:hint="eastAsia" w:ascii="宋体"/>
                <w:color w:val="000000"/>
                <w:kern w:val="0"/>
                <w:sz w:val="24"/>
              </w:rPr>
            </w:pPr>
          </w:p>
          <w:p>
            <w:pPr>
              <w:widowControl/>
              <w:spacing w:line="280" w:lineRule="exact"/>
              <w:rPr>
                <w:rFonts w:hint="eastAsia" w:ascii="宋体"/>
                <w:color w:val="000000"/>
                <w:kern w:val="0"/>
                <w:sz w:val="24"/>
              </w:rPr>
            </w:pPr>
          </w:p>
          <w:p>
            <w:pPr>
              <w:widowControl/>
              <w:spacing w:line="280" w:lineRule="exact"/>
              <w:rPr>
                <w:rFonts w:hint="eastAsia"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wBefore w:w="0" w:type="dxa"/>
          <w:wAfter w:w="0" w:type="dxa"/>
          <w:jc w:val="center"/>
        </w:trPr>
        <w:tc>
          <w:tcPr>
            <w:tcW w:w="656" w:type="dxa"/>
            <w:vMerge w:val="continue"/>
            <w:tcBorders>
              <w:left w:val="single" w:color="auto" w:sz="4" w:space="0"/>
              <w:right w:val="single" w:color="auto" w:sz="4" w:space="0"/>
            </w:tcBorders>
            <w:noWrap w:val="0"/>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noWrap w:val="0"/>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600" w:type="dxa"/>
            <w:tcBorders>
              <w:top w:val="nil"/>
              <w:left w:val="nil"/>
              <w:bottom w:val="nil"/>
              <w:right w:val="single" w:color="auto" w:sz="4" w:space="0"/>
            </w:tcBorders>
            <w:noWrap w:val="0"/>
            <w:vAlign w:val="top"/>
          </w:tcPr>
          <w:p>
            <w:pPr>
              <w:widowControl/>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left w:val="single" w:color="auto"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600" w:type="dxa"/>
            <w:tcBorders>
              <w:top w:val="nil"/>
              <w:left w:val="nil"/>
              <w:bottom w:val="nil"/>
              <w:right w:val="single" w:color="auto" w:sz="4" w:space="0"/>
            </w:tcBorders>
            <w:noWrap w:val="0"/>
            <w:vAlign w:val="top"/>
          </w:tcPr>
          <w:p>
            <w:pPr>
              <w:widowControl/>
              <w:rPr>
                <w:rFonts w:ascii="宋体"/>
                <w:color w:val="000000"/>
                <w:kern w:val="0"/>
                <w:sz w:val="24"/>
              </w:rPr>
            </w:pPr>
          </w:p>
        </w:tc>
      </w:tr>
      <w:tr>
        <w:tblPrEx>
          <w:tblCellMar>
            <w:top w:w="0" w:type="dxa"/>
            <w:left w:w="108" w:type="dxa"/>
            <w:bottom w:w="0" w:type="dxa"/>
            <w:right w:w="108" w:type="dxa"/>
          </w:tblCellMar>
        </w:tblPrEx>
        <w:trPr>
          <w:wBefore w:w="0" w:type="dxa"/>
          <w:wAfter w:w="0" w:type="dxa"/>
          <w:trHeight w:val="1194" w:hRule="atLeast"/>
          <w:jc w:val="center"/>
        </w:trPr>
        <w:tc>
          <w:tcPr>
            <w:tcW w:w="656" w:type="dxa"/>
            <w:vMerge w:val="continue"/>
            <w:tcBorders>
              <w:left w:val="single" w:color="auto"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600" w:type="dxa"/>
            <w:tcBorders>
              <w:top w:val="nil"/>
              <w:left w:val="nil"/>
              <w:bottom w:val="single" w:color="auto" w:sz="4" w:space="0"/>
              <w:right w:val="single" w:color="auto" w:sz="4" w:space="0"/>
            </w:tcBorders>
            <w:noWrap w:val="0"/>
            <w:vAlign w:val="top"/>
          </w:tcPr>
          <w:p>
            <w:pPr>
              <w:widowControl/>
              <w:rPr>
                <w:rFonts w:hint="eastAsia" w:ascii="宋体"/>
                <w:color w:val="000000"/>
                <w:kern w:val="0"/>
                <w:sz w:val="24"/>
              </w:rPr>
            </w:pPr>
          </w:p>
          <w:p>
            <w:pPr>
              <w:widowControl/>
              <w:rPr>
                <w:rFonts w:hint="eastAsia" w:ascii="宋体"/>
                <w:color w:val="000000"/>
                <w:kern w:val="0"/>
                <w:sz w:val="24"/>
              </w:rPr>
            </w:pPr>
          </w:p>
          <w:p>
            <w:pPr>
              <w:widowControl/>
              <w:rPr>
                <w:rFonts w:hint="eastAsia"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wBefore w:w="0" w:type="dxa"/>
          <w:wAfter w:w="0" w:type="dxa"/>
          <w:jc w:val="center"/>
        </w:trPr>
        <w:tc>
          <w:tcPr>
            <w:tcW w:w="656" w:type="dxa"/>
            <w:vMerge w:val="continue"/>
            <w:tcBorders>
              <w:left w:val="single" w:color="auto" w:sz="4" w:space="0"/>
              <w:right w:val="single" w:color="auto" w:sz="4" w:space="0"/>
            </w:tcBorders>
            <w:noWrap w:val="0"/>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noWrap w:val="0"/>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600" w:type="dxa"/>
            <w:tcBorders>
              <w:top w:val="nil"/>
              <w:left w:val="nil"/>
              <w:bottom w:val="nil"/>
              <w:right w:val="single" w:color="auto" w:sz="4" w:space="0"/>
            </w:tcBorders>
            <w:noWrap w:val="0"/>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left w:val="single" w:color="auto"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600" w:type="dxa"/>
            <w:tcBorders>
              <w:top w:val="nil"/>
              <w:left w:val="nil"/>
              <w:bottom w:val="nil"/>
              <w:right w:val="single" w:color="auto" w:sz="4" w:space="0"/>
            </w:tcBorders>
            <w:noWrap w:val="0"/>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wBefore w:w="0" w:type="dxa"/>
          <w:wAfter w:w="0" w:type="dxa"/>
          <w:trHeight w:val="866" w:hRule="atLeast"/>
          <w:jc w:val="center"/>
        </w:trPr>
        <w:tc>
          <w:tcPr>
            <w:tcW w:w="656" w:type="dxa"/>
            <w:vMerge w:val="continue"/>
            <w:tcBorders>
              <w:left w:val="single" w:color="auto"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600" w:type="dxa"/>
            <w:tcBorders>
              <w:top w:val="nil"/>
              <w:left w:val="nil"/>
              <w:bottom w:val="single" w:color="auto" w:sz="4" w:space="0"/>
              <w:right w:val="single" w:color="auto" w:sz="4" w:space="0"/>
            </w:tcBorders>
            <w:noWrap w:val="0"/>
            <w:vAlign w:val="top"/>
          </w:tcPr>
          <w:p>
            <w:pPr>
              <w:widowControl/>
              <w:rPr>
                <w:rFonts w:hint="eastAsia" w:ascii="宋体"/>
                <w:color w:val="000000"/>
                <w:kern w:val="0"/>
                <w:sz w:val="24"/>
              </w:rPr>
            </w:pPr>
          </w:p>
          <w:p>
            <w:pPr>
              <w:widowControl/>
              <w:rPr>
                <w:rFonts w:hint="eastAsia" w:ascii="宋体"/>
                <w:color w:val="000000"/>
                <w:kern w:val="0"/>
                <w:sz w:val="24"/>
              </w:rPr>
            </w:pPr>
            <w:r>
              <w:rPr>
                <w:rFonts w:hint="eastAsia" w:ascii="宋体"/>
                <w:color w:val="000000"/>
                <w:kern w:val="0"/>
                <w:sz w:val="24"/>
              </w:rPr>
              <w:t>5</w:t>
            </w:r>
          </w:p>
        </w:tc>
      </w:tr>
      <w:tr>
        <w:tblPrEx>
          <w:tblCellMar>
            <w:top w:w="0" w:type="dxa"/>
            <w:left w:w="108" w:type="dxa"/>
            <w:bottom w:w="0" w:type="dxa"/>
            <w:right w:w="108" w:type="dxa"/>
          </w:tblCellMar>
        </w:tblPrEx>
        <w:trPr>
          <w:wBefore w:w="0" w:type="dxa"/>
          <w:wAfter w:w="0" w:type="dxa"/>
          <w:jc w:val="center"/>
        </w:trPr>
        <w:tc>
          <w:tcPr>
            <w:tcW w:w="656" w:type="dxa"/>
            <w:vMerge w:val="continue"/>
            <w:tcBorders>
              <w:left w:val="single" w:color="auto"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600" w:type="dxa"/>
            <w:tcBorders>
              <w:top w:val="nil"/>
              <w:left w:val="nil"/>
              <w:bottom w:val="nil"/>
              <w:right w:val="single" w:color="auto" w:sz="4" w:space="0"/>
            </w:tcBorders>
            <w:noWrap w:val="0"/>
            <w:vAlign w:val="top"/>
          </w:tcPr>
          <w:p>
            <w:pPr>
              <w:widowControl/>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left w:val="single" w:color="auto"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600" w:type="dxa"/>
            <w:tcBorders>
              <w:top w:val="nil"/>
              <w:left w:val="nil"/>
              <w:bottom w:val="nil"/>
              <w:right w:val="single" w:color="auto" w:sz="4" w:space="0"/>
            </w:tcBorders>
            <w:noWrap w:val="0"/>
            <w:vAlign w:val="top"/>
          </w:tcPr>
          <w:p>
            <w:pPr>
              <w:widowControl/>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left w:val="single" w:color="auto"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600" w:type="dxa"/>
            <w:tcBorders>
              <w:top w:val="nil"/>
              <w:left w:val="nil"/>
              <w:bottom w:val="nil"/>
              <w:right w:val="single" w:color="auto" w:sz="4" w:space="0"/>
            </w:tcBorders>
            <w:noWrap w:val="0"/>
            <w:vAlign w:val="top"/>
          </w:tcPr>
          <w:p>
            <w:pPr>
              <w:widowControl/>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left w:val="single" w:color="auto"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600" w:type="dxa"/>
            <w:tcBorders>
              <w:top w:val="nil"/>
              <w:left w:val="nil"/>
              <w:bottom w:val="nil"/>
              <w:right w:val="single" w:color="auto" w:sz="4" w:space="0"/>
            </w:tcBorders>
            <w:noWrap w:val="0"/>
            <w:vAlign w:val="top"/>
          </w:tcPr>
          <w:p>
            <w:pPr>
              <w:widowControl/>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left w:val="single" w:color="auto"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600" w:type="dxa"/>
            <w:tcBorders>
              <w:top w:val="nil"/>
              <w:left w:val="nil"/>
              <w:bottom w:val="nil"/>
              <w:right w:val="single" w:color="auto" w:sz="4" w:space="0"/>
            </w:tcBorders>
            <w:noWrap w:val="0"/>
            <w:vAlign w:val="top"/>
          </w:tcPr>
          <w:p>
            <w:pPr>
              <w:widowControl/>
              <w:rPr>
                <w:rFonts w:ascii="宋体"/>
                <w:color w:val="000000"/>
                <w:kern w:val="0"/>
                <w:sz w:val="24"/>
              </w:rPr>
            </w:pPr>
          </w:p>
        </w:tc>
      </w:tr>
      <w:tr>
        <w:tblPrEx>
          <w:tblCellMar>
            <w:top w:w="0" w:type="dxa"/>
            <w:left w:w="108" w:type="dxa"/>
            <w:bottom w:w="0" w:type="dxa"/>
            <w:right w:w="108" w:type="dxa"/>
          </w:tblCellMar>
        </w:tblPrEx>
        <w:trPr>
          <w:wBefore w:w="0" w:type="dxa"/>
          <w:wAfter w:w="0" w:type="dxa"/>
          <w:trHeight w:val="1027" w:hRule="atLeast"/>
          <w:jc w:val="center"/>
        </w:trPr>
        <w:tc>
          <w:tcPr>
            <w:tcW w:w="656" w:type="dxa"/>
            <w:vMerge w:val="continue"/>
            <w:tcBorders>
              <w:left w:val="single" w:color="auto"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600" w:type="dxa"/>
            <w:tcBorders>
              <w:top w:val="nil"/>
              <w:left w:val="nil"/>
              <w:bottom w:val="single" w:color="auto" w:sz="4" w:space="0"/>
              <w:right w:val="single" w:color="auto" w:sz="4" w:space="0"/>
            </w:tcBorders>
            <w:noWrap w:val="0"/>
            <w:vAlign w:val="top"/>
          </w:tcPr>
          <w:p>
            <w:pPr>
              <w:widowControl/>
              <w:rPr>
                <w:rFonts w:hint="eastAsia" w:ascii="宋体"/>
                <w:color w:val="000000"/>
                <w:kern w:val="0"/>
                <w:sz w:val="24"/>
              </w:rPr>
            </w:pPr>
          </w:p>
          <w:p>
            <w:pPr>
              <w:widowControl/>
              <w:rPr>
                <w:rFonts w:hint="eastAsia" w:ascii="宋体"/>
                <w:color w:val="000000"/>
                <w:kern w:val="0"/>
                <w:sz w:val="24"/>
              </w:rPr>
            </w:pPr>
            <w:r>
              <w:rPr>
                <w:rFonts w:hint="eastAsia" w:ascii="宋体"/>
                <w:color w:val="000000"/>
                <w:kern w:val="0"/>
                <w:sz w:val="24"/>
              </w:rPr>
              <w:t>7</w:t>
            </w:r>
          </w:p>
        </w:tc>
      </w:tr>
      <w:tr>
        <w:tblPrEx>
          <w:tblCellMar>
            <w:top w:w="0" w:type="dxa"/>
            <w:left w:w="108" w:type="dxa"/>
            <w:bottom w:w="0" w:type="dxa"/>
            <w:right w:w="108" w:type="dxa"/>
          </w:tblCellMar>
        </w:tblPrEx>
        <w:trPr>
          <w:wBefore w:w="0" w:type="dxa"/>
          <w:wAfter w:w="0" w:type="dxa"/>
          <w:trHeight w:val="377" w:hRule="atLeast"/>
          <w:jc w:val="center"/>
        </w:trPr>
        <w:tc>
          <w:tcPr>
            <w:tcW w:w="656" w:type="dxa"/>
            <w:vMerge w:val="continue"/>
            <w:tcBorders>
              <w:left w:val="single" w:color="auto"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noWrap w:val="0"/>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600" w:type="dxa"/>
            <w:tcBorders>
              <w:top w:val="nil"/>
              <w:left w:val="nil"/>
              <w:bottom w:val="nil"/>
              <w:right w:val="single" w:color="auto" w:sz="4" w:space="0"/>
            </w:tcBorders>
            <w:noWrap w:val="0"/>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left w:val="single" w:color="auto"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600" w:type="dxa"/>
            <w:tcBorders>
              <w:top w:val="nil"/>
              <w:left w:val="nil"/>
              <w:bottom w:val="nil"/>
              <w:right w:val="single" w:color="auto" w:sz="4" w:space="0"/>
            </w:tcBorders>
            <w:noWrap w:val="0"/>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wBefore w:w="0" w:type="dxa"/>
          <w:wAfter w:w="0" w:type="dxa"/>
          <w:trHeight w:val="1519" w:hRule="atLeast"/>
          <w:jc w:val="center"/>
        </w:trPr>
        <w:tc>
          <w:tcPr>
            <w:tcW w:w="656" w:type="dxa"/>
            <w:vMerge w:val="continue"/>
            <w:tcBorders>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600" w:type="dxa"/>
            <w:tcBorders>
              <w:top w:val="nil"/>
              <w:left w:val="nil"/>
              <w:bottom w:val="single" w:color="auto" w:sz="4" w:space="0"/>
              <w:right w:val="single" w:color="auto" w:sz="4" w:space="0"/>
            </w:tcBorders>
            <w:noWrap w:val="0"/>
            <w:vAlign w:val="top"/>
          </w:tcPr>
          <w:p>
            <w:pPr>
              <w:widowControl/>
              <w:rPr>
                <w:rFonts w:hint="eastAsia" w:ascii="宋体"/>
                <w:color w:val="000000"/>
                <w:kern w:val="0"/>
                <w:sz w:val="24"/>
              </w:rPr>
            </w:pPr>
          </w:p>
          <w:p>
            <w:pPr>
              <w:widowControl/>
              <w:rPr>
                <w:rFonts w:hint="eastAsia" w:ascii="宋体"/>
                <w:color w:val="000000"/>
                <w:kern w:val="0"/>
                <w:sz w:val="24"/>
              </w:rPr>
            </w:pPr>
          </w:p>
          <w:p>
            <w:pPr>
              <w:widowControl/>
              <w:rPr>
                <w:rFonts w:hint="eastAsia" w:ascii="宋体"/>
                <w:color w:val="000000"/>
                <w:kern w:val="0"/>
                <w:sz w:val="24"/>
              </w:rPr>
            </w:pPr>
            <w:r>
              <w:rPr>
                <w:rFonts w:hint="eastAsia" w:ascii="宋体"/>
                <w:color w:val="000000"/>
                <w:kern w:val="0"/>
                <w:sz w:val="24"/>
              </w:rPr>
              <w:t>8</w:t>
            </w:r>
          </w:p>
        </w:tc>
      </w:tr>
      <w:tr>
        <w:tblPrEx>
          <w:tblCellMar>
            <w:top w:w="0" w:type="dxa"/>
            <w:left w:w="108" w:type="dxa"/>
            <w:bottom w:w="0" w:type="dxa"/>
            <w:right w:w="108" w:type="dxa"/>
          </w:tblCellMar>
        </w:tblPrEx>
        <w:trPr>
          <w:wBefore w:w="0" w:type="dxa"/>
          <w:wAfter w:w="0" w:type="dxa"/>
          <w:jc w:val="center"/>
        </w:trPr>
        <w:tc>
          <w:tcPr>
            <w:tcW w:w="65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noWrap w:val="0"/>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600" w:type="dxa"/>
            <w:tcBorders>
              <w:top w:val="nil"/>
              <w:left w:val="nil"/>
              <w:bottom w:val="nil"/>
              <w:right w:val="single" w:color="auto" w:sz="4" w:space="0"/>
            </w:tcBorders>
            <w:noWrap w:val="0"/>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wBefore w:w="0" w:type="dxa"/>
          <w:wAfter w:w="0" w:type="dxa"/>
          <w:trHeight w:val="568"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600" w:type="dxa"/>
            <w:tcBorders>
              <w:top w:val="nil"/>
              <w:left w:val="nil"/>
              <w:bottom w:val="nil"/>
              <w:right w:val="single" w:color="auto" w:sz="4" w:space="0"/>
            </w:tcBorders>
            <w:noWrap w:val="0"/>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wBefore w:w="0" w:type="dxa"/>
          <w:wAfter w:w="0" w:type="dxa"/>
          <w:trHeight w:val="822"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600" w:type="dxa"/>
            <w:tcBorders>
              <w:top w:val="nil"/>
              <w:left w:val="nil"/>
              <w:bottom w:val="single" w:color="auto" w:sz="4" w:space="0"/>
              <w:right w:val="single" w:color="auto" w:sz="4" w:space="0"/>
            </w:tcBorders>
            <w:noWrap w:val="0"/>
            <w:vAlign w:val="top"/>
          </w:tcPr>
          <w:p>
            <w:pPr>
              <w:widowControl/>
              <w:rPr>
                <w:rFonts w:hint="eastAsia" w:ascii="宋体"/>
                <w:color w:val="000000"/>
                <w:kern w:val="0"/>
                <w:sz w:val="24"/>
              </w:rPr>
            </w:pPr>
          </w:p>
          <w:p>
            <w:pPr>
              <w:widowControl/>
              <w:rPr>
                <w:rFonts w:hint="eastAsia" w:ascii="宋体"/>
                <w:color w:val="000000"/>
                <w:kern w:val="0"/>
                <w:sz w:val="24"/>
              </w:rPr>
            </w:pPr>
            <w:r>
              <w:rPr>
                <w:rFonts w:hint="eastAsia" w:ascii="宋体"/>
                <w:color w:val="000000"/>
                <w:kern w:val="0"/>
                <w:sz w:val="24"/>
              </w:rPr>
              <w:t>6</w:t>
            </w:r>
          </w:p>
        </w:tc>
      </w:tr>
      <w:tr>
        <w:tblPrEx>
          <w:tblCellMar>
            <w:top w:w="0" w:type="dxa"/>
            <w:left w:w="108" w:type="dxa"/>
            <w:bottom w:w="0" w:type="dxa"/>
            <w:right w:w="108" w:type="dxa"/>
          </w:tblCellMar>
        </w:tblPrEx>
        <w:trPr>
          <w:wBefore w:w="0" w:type="dxa"/>
          <w:wAfter w:w="0" w:type="dxa"/>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noWrap w:val="0"/>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600" w:type="dxa"/>
            <w:tcBorders>
              <w:top w:val="nil"/>
              <w:left w:val="nil"/>
              <w:bottom w:val="nil"/>
              <w:right w:val="single" w:color="auto" w:sz="4" w:space="0"/>
            </w:tcBorders>
            <w:noWrap w:val="0"/>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600" w:type="dxa"/>
            <w:tcBorders>
              <w:top w:val="nil"/>
              <w:left w:val="nil"/>
              <w:bottom w:val="nil"/>
              <w:right w:val="single" w:color="auto" w:sz="4" w:space="0"/>
            </w:tcBorders>
            <w:noWrap w:val="0"/>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wBefore w:w="0" w:type="dxa"/>
          <w:wAfter w:w="0" w:type="dxa"/>
          <w:trHeight w:val="516" w:hRule="atLeas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600" w:type="dxa"/>
            <w:tcBorders>
              <w:top w:val="nil"/>
              <w:left w:val="nil"/>
              <w:bottom w:val="single" w:color="auto" w:sz="4" w:space="0"/>
              <w:right w:val="single" w:color="auto" w:sz="4" w:space="0"/>
            </w:tcBorders>
            <w:noWrap w:val="0"/>
            <w:vAlign w:val="top"/>
          </w:tcPr>
          <w:p>
            <w:pPr>
              <w:widowControl/>
              <w:rPr>
                <w:rFonts w:hint="eastAsia" w:ascii="宋体"/>
                <w:color w:val="000000"/>
                <w:kern w:val="0"/>
                <w:sz w:val="24"/>
              </w:rPr>
            </w:pPr>
          </w:p>
          <w:p>
            <w:pPr>
              <w:widowControl/>
              <w:rPr>
                <w:rFonts w:hint="eastAsia" w:ascii="宋体"/>
                <w:color w:val="000000"/>
                <w:kern w:val="0"/>
                <w:sz w:val="24"/>
              </w:rPr>
            </w:pPr>
            <w:r>
              <w:rPr>
                <w:rFonts w:hint="eastAsia" w:ascii="宋体"/>
                <w:color w:val="000000"/>
                <w:kern w:val="0"/>
                <w:sz w:val="24"/>
              </w:rPr>
              <w:t>7</w:t>
            </w:r>
          </w:p>
        </w:tc>
      </w:tr>
      <w:tr>
        <w:tblPrEx>
          <w:tblCellMar>
            <w:top w:w="0" w:type="dxa"/>
            <w:left w:w="108" w:type="dxa"/>
            <w:bottom w:w="0" w:type="dxa"/>
            <w:right w:w="108" w:type="dxa"/>
          </w:tblCellMar>
        </w:tblPrEx>
        <w:trPr>
          <w:wBefore w:w="0" w:type="dxa"/>
          <w:wAfter w:w="0" w:type="dxa"/>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noWrap w:val="0"/>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600" w:type="dxa"/>
            <w:tcBorders>
              <w:top w:val="nil"/>
              <w:left w:val="nil"/>
              <w:bottom w:val="nil"/>
              <w:right w:val="single" w:color="auto" w:sz="4" w:space="0"/>
            </w:tcBorders>
            <w:noWrap w:val="0"/>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600" w:type="dxa"/>
            <w:tcBorders>
              <w:top w:val="nil"/>
              <w:left w:val="nil"/>
              <w:bottom w:val="nil"/>
              <w:right w:val="single" w:color="auto" w:sz="4" w:space="0"/>
            </w:tcBorders>
            <w:noWrap w:val="0"/>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wBefore w:w="0" w:type="dxa"/>
          <w:wAfter w:w="0" w:type="dxa"/>
          <w:trHeight w:val="1006" w:hRule="exact"/>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600" w:type="dxa"/>
            <w:tcBorders>
              <w:top w:val="nil"/>
              <w:left w:val="nil"/>
              <w:bottom w:val="single" w:color="auto" w:sz="4" w:space="0"/>
              <w:right w:val="single" w:color="auto" w:sz="4" w:space="0"/>
            </w:tcBorders>
            <w:noWrap w:val="0"/>
            <w:vAlign w:val="top"/>
          </w:tcPr>
          <w:p>
            <w:pPr>
              <w:widowControl/>
              <w:rPr>
                <w:rFonts w:hint="eastAsia" w:ascii="宋体"/>
                <w:color w:val="000000"/>
                <w:kern w:val="0"/>
                <w:sz w:val="24"/>
              </w:rPr>
            </w:pPr>
          </w:p>
          <w:p>
            <w:pPr>
              <w:widowControl/>
              <w:rPr>
                <w:rFonts w:hint="eastAsia" w:ascii="宋体"/>
                <w:color w:val="000000"/>
                <w:kern w:val="0"/>
                <w:sz w:val="24"/>
              </w:rPr>
            </w:pPr>
            <w:r>
              <w:rPr>
                <w:rFonts w:hint="eastAsia" w:ascii="宋体"/>
                <w:color w:val="000000"/>
                <w:kern w:val="0"/>
                <w:sz w:val="24"/>
              </w:rPr>
              <w:t>7</w:t>
            </w:r>
          </w:p>
        </w:tc>
      </w:tr>
      <w:tr>
        <w:tblPrEx>
          <w:tblCellMar>
            <w:top w:w="0" w:type="dxa"/>
            <w:left w:w="108" w:type="dxa"/>
            <w:bottom w:w="0" w:type="dxa"/>
            <w:right w:w="108" w:type="dxa"/>
          </w:tblCellMar>
        </w:tblPrEx>
        <w:trPr>
          <w:wBefore w:w="0" w:type="dxa"/>
          <w:wAfter w:w="0" w:type="dxa"/>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noWrap w:val="0"/>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600" w:type="dxa"/>
            <w:tcBorders>
              <w:top w:val="nil"/>
              <w:left w:val="nil"/>
              <w:bottom w:val="nil"/>
              <w:right w:val="single" w:color="auto" w:sz="4" w:space="0"/>
            </w:tcBorders>
            <w:noWrap w:val="0"/>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wBefore w:w="0" w:type="dxa"/>
          <w:wAfter w:w="0" w:type="dxa"/>
          <w:jc w:val="center"/>
        </w:trPr>
        <w:tc>
          <w:tcPr>
            <w:tcW w:w="65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noWrap w:val="0"/>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600" w:type="dxa"/>
            <w:tcBorders>
              <w:top w:val="nil"/>
              <w:left w:val="nil"/>
              <w:bottom w:val="nil"/>
              <w:right w:val="single" w:color="auto" w:sz="4" w:space="0"/>
            </w:tcBorders>
            <w:noWrap w:val="0"/>
            <w:vAlign w:val="top"/>
          </w:tcPr>
          <w:p>
            <w:pPr>
              <w:widowControl/>
              <w:jc w:val="left"/>
              <w:rPr>
                <w:rFonts w:ascii="宋体"/>
                <w:color w:val="000000"/>
                <w:kern w:val="0"/>
                <w:sz w:val="24"/>
              </w:rPr>
            </w:pPr>
          </w:p>
        </w:tc>
      </w:tr>
      <w:tr>
        <w:tblPrEx>
          <w:tblCellMar>
            <w:top w:w="0" w:type="dxa"/>
            <w:left w:w="108" w:type="dxa"/>
            <w:bottom w:w="0" w:type="dxa"/>
            <w:right w:w="108" w:type="dxa"/>
          </w:tblCellMar>
        </w:tblPrEx>
        <w:trPr>
          <w:wBefore w:w="0" w:type="dxa"/>
          <w:wAfter w:w="0" w:type="dxa"/>
          <w:trHeight w:val="567" w:hRule="atLeast"/>
          <w:jc w:val="center"/>
        </w:trPr>
        <w:tc>
          <w:tcPr>
            <w:tcW w:w="65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600" w:type="dxa"/>
            <w:tcBorders>
              <w:top w:val="nil"/>
              <w:left w:val="nil"/>
              <w:bottom w:val="single" w:color="auto" w:sz="4" w:space="0"/>
              <w:right w:val="single" w:color="auto" w:sz="4" w:space="0"/>
            </w:tcBorders>
            <w:noWrap w:val="0"/>
            <w:vAlign w:val="top"/>
          </w:tcPr>
          <w:p>
            <w:pPr>
              <w:widowControl/>
              <w:rPr>
                <w:rFonts w:hint="eastAsia" w:ascii="宋体"/>
                <w:color w:val="000000"/>
                <w:kern w:val="0"/>
                <w:sz w:val="24"/>
              </w:rPr>
            </w:pPr>
          </w:p>
          <w:p>
            <w:pPr>
              <w:widowControl/>
              <w:rPr>
                <w:rFonts w:hint="eastAsia" w:ascii="宋体"/>
                <w:color w:val="000000"/>
                <w:kern w:val="0"/>
                <w:sz w:val="24"/>
              </w:rPr>
            </w:pPr>
            <w:r>
              <w:rPr>
                <w:rFonts w:hint="eastAsia" w:ascii="宋体"/>
                <w:color w:val="000000"/>
                <w:kern w:val="0"/>
                <w:sz w:val="24"/>
              </w:rPr>
              <w:t>7</w:t>
            </w:r>
          </w:p>
        </w:tc>
      </w:tr>
      <w:tr>
        <w:tblPrEx>
          <w:tblCellMar>
            <w:top w:w="0" w:type="dxa"/>
            <w:left w:w="108" w:type="dxa"/>
            <w:bottom w:w="0" w:type="dxa"/>
            <w:right w:w="108" w:type="dxa"/>
          </w:tblCellMar>
        </w:tblPrEx>
        <w:trPr>
          <w:wBefore w:w="0" w:type="dxa"/>
          <w:wAfter w:w="0" w:type="dxa"/>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600"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wBefore w:w="0" w:type="dxa"/>
          <w:wAfter w:w="0" w:type="dxa"/>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60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wBefore w:w="0" w:type="dxa"/>
          <w:wAfter w:w="0" w:type="dxa"/>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olor w:val="000000"/>
                <w:kern w:val="0"/>
                <w:sz w:val="20"/>
                <w:szCs w:val="20"/>
              </w:rPr>
            </w:pPr>
          </w:p>
        </w:tc>
        <w:tc>
          <w:tcPr>
            <w:tcW w:w="60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wBefore w:w="0" w:type="dxa"/>
          <w:wAfter w:w="0" w:type="dxa"/>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olor w:val="000000"/>
                <w:kern w:val="0"/>
                <w:sz w:val="24"/>
              </w:rPr>
            </w:pPr>
          </w:p>
        </w:tc>
        <w:tc>
          <w:tcPr>
            <w:tcW w:w="60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wBefore w:w="0" w:type="dxa"/>
          <w:wAfter w:w="0" w:type="dxa"/>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noWrap w:val="0"/>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600"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color w:val="000000"/>
                <w:kern w:val="0"/>
                <w:sz w:val="24"/>
              </w:rPr>
            </w:pPr>
            <w:r>
              <w:rPr>
                <w:rFonts w:hint="eastAsia" w:ascii="宋体"/>
                <w:color w:val="000000"/>
                <w:kern w:val="0"/>
                <w:sz w:val="24"/>
              </w:rPr>
              <w:t>5</w:t>
            </w:r>
          </w:p>
        </w:tc>
      </w:tr>
      <w:tr>
        <w:tblPrEx>
          <w:tblCellMar>
            <w:top w:w="0" w:type="dxa"/>
            <w:left w:w="108" w:type="dxa"/>
            <w:bottom w:w="0" w:type="dxa"/>
            <w:right w:w="108" w:type="dxa"/>
          </w:tblCellMar>
        </w:tblPrEx>
        <w:trPr>
          <w:wBefore w:w="0" w:type="dxa"/>
          <w:wAfter w:w="0" w:type="dxa"/>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600" w:type="dxa"/>
            <w:tcBorders>
              <w:top w:val="single" w:color="auto" w:sz="4" w:space="0"/>
              <w:left w:val="single" w:color="auto" w:sz="4" w:space="0"/>
              <w:bottom w:val="single" w:color="auto" w:sz="4" w:space="0"/>
              <w:right w:val="single" w:color="auto" w:sz="4" w:space="0"/>
            </w:tcBorders>
            <w:noWrap w:val="0"/>
            <w:vAlign w:val="top"/>
          </w:tcPr>
          <w:p>
            <w:pPr>
              <w:widowControl/>
              <w:rPr>
                <w:rFonts w:hint="eastAsia" w:ascii="宋体"/>
                <w:color w:val="000000"/>
                <w:kern w:val="0"/>
                <w:sz w:val="24"/>
              </w:rPr>
            </w:pPr>
          </w:p>
          <w:p>
            <w:pPr>
              <w:widowControl/>
              <w:rPr>
                <w:rFonts w:hint="eastAsia" w:ascii="宋体"/>
                <w:color w:val="000000"/>
                <w:kern w:val="0"/>
                <w:sz w:val="24"/>
              </w:rPr>
            </w:pPr>
            <w:r>
              <w:rPr>
                <w:rFonts w:hint="eastAsia" w:ascii="宋体"/>
                <w:color w:val="000000"/>
                <w:kern w:val="0"/>
                <w:sz w:val="24"/>
              </w:rPr>
              <w:t>92</w:t>
            </w:r>
          </w:p>
        </w:tc>
      </w:tr>
    </w:tbl>
    <w:p>
      <w:pPr>
        <w:rPr>
          <w:rFonts w:hint="eastAsia"/>
        </w:rPr>
      </w:pPr>
    </w:p>
    <w:p>
      <w:pPr>
        <w:rPr>
          <w:rFonts w:hint="eastAsia"/>
        </w:rPr>
      </w:pPr>
    </w:p>
    <w:p>
      <w:pPr>
        <w:rPr>
          <w:rFonts w:hint="eastAsia"/>
        </w:rPr>
      </w:pPr>
    </w:p>
    <w:p>
      <w:pPr>
        <w:rPr>
          <w:rFonts w:eastAsia="仿宋_GB2312"/>
          <w:sz w:val="32"/>
          <w:szCs w:val="32"/>
        </w:rPr>
      </w:pPr>
      <w:r>
        <w:rPr>
          <w:rFonts w:hint="eastAsia" w:ascii="仿宋_GB2312" w:hAnsi="仿宋_GB2312" w:eastAsia="仿宋_GB2312" w:cs="仿宋_GB2312"/>
          <w:sz w:val="32"/>
          <w:szCs w:val="32"/>
        </w:rPr>
        <w:t>附件3</w:t>
      </w:r>
      <w:r>
        <w:rPr>
          <w:rFonts w:hint="eastAsia" w:eastAsia="仿宋_GB2312"/>
          <w:sz w:val="32"/>
          <w:szCs w:val="32"/>
        </w:rPr>
        <w:t>：</w:t>
      </w:r>
    </w:p>
    <w:p>
      <w:pPr>
        <w:jc w:val="center"/>
        <w:rPr>
          <w:rFonts w:hint="eastAsia" w:ascii="仿宋" w:hAnsi="仿宋" w:eastAsia="仿宋"/>
          <w:b/>
          <w:sz w:val="36"/>
          <w:szCs w:val="36"/>
        </w:rPr>
      </w:pPr>
      <w:r>
        <w:rPr>
          <w:rFonts w:hint="eastAsia" w:ascii="仿宋" w:hAnsi="仿宋" w:eastAsia="仿宋"/>
          <w:b/>
          <w:color w:val="000000"/>
          <w:sz w:val="36"/>
          <w:szCs w:val="36"/>
        </w:rPr>
        <w:t>2021</w:t>
      </w:r>
      <w:r>
        <w:rPr>
          <w:rFonts w:hint="eastAsia" w:ascii="仿宋" w:hAnsi="仿宋" w:eastAsia="仿宋"/>
          <w:b/>
          <w:sz w:val="36"/>
          <w:szCs w:val="36"/>
        </w:rPr>
        <w:t>年度梧桐街道办事处部门整体支出</w:t>
      </w:r>
    </w:p>
    <w:p>
      <w:pPr>
        <w:jc w:val="center"/>
        <w:rPr>
          <w:rFonts w:ascii="仿宋" w:hAnsi="仿宋" w:eastAsia="仿宋"/>
          <w:b/>
          <w:sz w:val="36"/>
          <w:szCs w:val="36"/>
        </w:rPr>
      </w:pPr>
      <w:r>
        <w:rPr>
          <w:rFonts w:hint="eastAsia" w:ascii="仿宋" w:hAnsi="仿宋" w:eastAsia="仿宋"/>
          <w:b/>
          <w:sz w:val="36"/>
          <w:szCs w:val="36"/>
        </w:rPr>
        <w:t>绩效自评报告</w:t>
      </w:r>
    </w:p>
    <w:p>
      <w:pPr>
        <w:jc w:val="center"/>
        <w:rPr>
          <w:rFonts w:eastAsia="楷体_GB2312"/>
        </w:rPr>
      </w:pPr>
    </w:p>
    <w:p>
      <w:pPr>
        <w:ind w:firstLine="420" w:firstLineChars="200"/>
        <w:jc w:val="center"/>
      </w:pPr>
    </w:p>
    <w:p>
      <w:pPr>
        <w:ind w:firstLine="602" w:firstLineChars="200"/>
        <w:rPr>
          <w:rFonts w:ascii="宋体"/>
          <w:b/>
          <w:sz w:val="30"/>
          <w:szCs w:val="30"/>
        </w:rPr>
      </w:pPr>
      <w:r>
        <w:rPr>
          <w:rFonts w:hint="eastAsia" w:ascii="宋体" w:hAnsi="宋体"/>
          <w:b/>
          <w:sz w:val="30"/>
          <w:szCs w:val="30"/>
        </w:rPr>
        <w:t>一、部门概况</w:t>
      </w:r>
    </w:p>
    <w:p>
      <w:pPr>
        <w:spacing w:line="500" w:lineRule="exact"/>
        <w:ind w:firstLine="602" w:firstLineChars="200"/>
        <w:rPr>
          <w:rFonts w:hint="eastAsia" w:ascii="仿宋" w:hAnsi="仿宋" w:eastAsia="仿宋"/>
          <w:b/>
          <w:sz w:val="30"/>
          <w:szCs w:val="30"/>
        </w:rPr>
      </w:pPr>
      <w:r>
        <w:rPr>
          <w:rFonts w:hint="eastAsia" w:ascii="仿宋" w:hAnsi="仿宋" w:eastAsia="仿宋"/>
          <w:b/>
          <w:sz w:val="30"/>
          <w:szCs w:val="30"/>
        </w:rPr>
        <w:t>（一）部门基本情况</w:t>
      </w:r>
    </w:p>
    <w:p>
      <w:pPr>
        <w:spacing w:line="500" w:lineRule="exact"/>
        <w:ind w:firstLine="800" w:firstLineChars="25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、主要职能</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）、指导帮助社区居委会开展组织建设制度建设和其他工作；</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）、开展扶贫、卫计健康、美丽乡镇建设、教育文化卫生科普体育、</w:t>
      </w:r>
      <w:r>
        <w:rPr>
          <w:rFonts w:hint="eastAsia" w:ascii="仿宋" w:hAnsi="仿宋" w:eastAsia="仿宋"/>
          <w:sz w:val="32"/>
          <w:szCs w:val="32"/>
          <w:lang w:eastAsia="zh-CN"/>
        </w:rPr>
        <w:t>安全生产</w:t>
      </w:r>
      <w:r>
        <w:rPr>
          <w:rFonts w:hint="eastAsia" w:ascii="仿宋" w:hAnsi="仿宋" w:eastAsia="仿宋"/>
          <w:sz w:val="32"/>
          <w:szCs w:val="32"/>
        </w:rPr>
        <w:t>控违拆违及文明创建等工作；</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）、向区人民政府反映居民的意见和要求处理群众来信来访事项；</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）、办理区人民政府交办的事项</w:t>
      </w:r>
    </w:p>
    <w:p>
      <w:pPr>
        <w:spacing w:line="500" w:lineRule="exact"/>
        <w:ind w:firstLine="640" w:firstLineChars="200"/>
        <w:rPr>
          <w:rFonts w:hint="eastAsia" w:ascii="仿宋" w:hAnsi="仿宋" w:eastAsia="仿宋"/>
          <w:b/>
          <w:sz w:val="30"/>
          <w:szCs w:val="30"/>
        </w:rPr>
      </w:pPr>
      <w:r>
        <w:rPr>
          <w:rFonts w:hint="eastAsia" w:ascii="仿宋" w:hAnsi="仿宋" w:eastAsia="仿宋"/>
          <w:color w:val="000000"/>
          <w:kern w:val="0"/>
          <w:sz w:val="32"/>
          <w:szCs w:val="32"/>
        </w:rPr>
        <w:t>2、人员情况</w:t>
      </w:r>
    </w:p>
    <w:p>
      <w:pPr>
        <w:spacing w:line="500" w:lineRule="exact"/>
        <w:ind w:firstLine="640" w:firstLineChars="200"/>
        <w:rPr>
          <w:rFonts w:hint="eastAsia" w:ascii="仿宋" w:hAnsi="仿宋" w:eastAsia="仿宋"/>
          <w:sz w:val="32"/>
          <w:szCs w:val="32"/>
        </w:rPr>
      </w:pPr>
      <w:r>
        <w:rPr>
          <w:rFonts w:hint="eastAsia" w:ascii="仿宋" w:hAnsi="仿宋" w:eastAsia="仿宋"/>
          <w:sz w:val="32"/>
          <w:szCs w:val="32"/>
        </w:rPr>
        <w:t>冷水滩区梧桐街道办事处为正科级全额拨款行政单位，核定编制35人，其中：行政编制</w:t>
      </w:r>
      <w:r>
        <w:rPr>
          <w:rFonts w:ascii="仿宋" w:hAnsi="仿宋" w:eastAsia="仿宋"/>
          <w:sz w:val="32"/>
          <w:szCs w:val="32"/>
        </w:rPr>
        <w:t>1</w:t>
      </w:r>
      <w:r>
        <w:rPr>
          <w:rFonts w:hint="eastAsia" w:ascii="仿宋" w:hAnsi="仿宋" w:eastAsia="仿宋"/>
          <w:sz w:val="32"/>
          <w:szCs w:val="32"/>
        </w:rPr>
        <w:t>1人，事业编制24人。2021年实有人数168人（正副科级人数为26人），其中在职148人，退休20人。车辆编制及实有数为</w:t>
      </w:r>
      <w:r>
        <w:rPr>
          <w:rFonts w:ascii="仿宋" w:hAnsi="仿宋" w:eastAsia="仿宋"/>
          <w:sz w:val="32"/>
          <w:szCs w:val="32"/>
        </w:rPr>
        <w:t>1</w:t>
      </w:r>
      <w:r>
        <w:rPr>
          <w:rFonts w:hint="eastAsia" w:ascii="仿宋" w:hAnsi="仿宋" w:eastAsia="仿宋"/>
          <w:sz w:val="32"/>
          <w:szCs w:val="32"/>
        </w:rPr>
        <w:t>辆。</w:t>
      </w:r>
    </w:p>
    <w:p>
      <w:pPr>
        <w:spacing w:line="500" w:lineRule="exact"/>
        <w:ind w:firstLine="640" w:firstLineChars="200"/>
        <w:rPr>
          <w:rFonts w:hint="eastAsia" w:ascii="仿宋" w:hAnsi="仿宋" w:eastAsia="仿宋"/>
          <w:sz w:val="32"/>
          <w:szCs w:val="32"/>
        </w:rPr>
      </w:pPr>
    </w:p>
    <w:p>
      <w:pPr>
        <w:spacing w:line="500" w:lineRule="exact"/>
        <w:ind w:firstLine="602" w:firstLineChars="200"/>
        <w:rPr>
          <w:rFonts w:ascii="仿宋" w:hAnsi="仿宋" w:eastAsia="仿宋"/>
          <w:b/>
          <w:sz w:val="30"/>
          <w:szCs w:val="30"/>
        </w:rPr>
      </w:pPr>
      <w:r>
        <w:rPr>
          <w:rFonts w:hint="eastAsia" w:ascii="仿宋" w:hAnsi="仿宋" w:eastAsia="仿宋"/>
          <w:b/>
          <w:sz w:val="30"/>
          <w:szCs w:val="30"/>
        </w:rPr>
        <w:t>（二）2021年的重点工作</w:t>
      </w:r>
    </w:p>
    <w:p>
      <w:pPr>
        <w:ind w:firstLine="600" w:firstLineChars="200"/>
        <w:rPr>
          <w:rFonts w:hint="eastAsia" w:ascii="仿宋" w:hAnsi="仿宋" w:eastAsia="仿宋"/>
          <w:sz w:val="30"/>
          <w:szCs w:val="30"/>
        </w:rPr>
      </w:pPr>
      <w:r>
        <w:rPr>
          <w:rFonts w:ascii="仿宋" w:hAnsi="仿宋" w:eastAsia="仿宋"/>
          <w:sz w:val="30"/>
          <w:szCs w:val="30"/>
        </w:rPr>
        <w:t>1</w:t>
      </w:r>
      <w:r>
        <w:rPr>
          <w:rFonts w:hint="eastAsia" w:ascii="仿宋" w:hAnsi="仿宋" w:eastAsia="仿宋"/>
          <w:sz w:val="30"/>
          <w:szCs w:val="30"/>
        </w:rPr>
        <w:t>、扎实推进党支部建设标准化工作，全面提升我办事处党建整体水平；</w:t>
      </w:r>
    </w:p>
    <w:p>
      <w:pPr>
        <w:ind w:firstLine="600" w:firstLineChars="200"/>
        <w:rPr>
          <w:rFonts w:hint="eastAsia" w:ascii="仿宋" w:hAnsi="仿宋" w:eastAsia="仿宋"/>
          <w:sz w:val="30"/>
          <w:szCs w:val="30"/>
        </w:rPr>
      </w:pPr>
      <w:r>
        <w:rPr>
          <w:rFonts w:ascii="仿宋" w:hAnsi="仿宋" w:eastAsia="仿宋"/>
          <w:sz w:val="30"/>
          <w:szCs w:val="30"/>
        </w:rPr>
        <w:t>2</w:t>
      </w:r>
      <w:r>
        <w:rPr>
          <w:rFonts w:hint="eastAsia" w:ascii="仿宋" w:hAnsi="仿宋" w:eastAsia="仿宋"/>
          <w:sz w:val="30"/>
          <w:szCs w:val="30"/>
        </w:rPr>
        <w:t>、加强脱贫攻坚工作，完善各项指标指数，确保我办事处全面打赢脱贫攻坚战；</w:t>
      </w:r>
    </w:p>
    <w:p>
      <w:pPr>
        <w:ind w:firstLine="600" w:firstLineChars="200"/>
        <w:rPr>
          <w:rFonts w:hint="eastAsia" w:ascii="仿宋" w:hAnsi="仿宋" w:eastAsia="仿宋"/>
          <w:sz w:val="30"/>
          <w:szCs w:val="30"/>
        </w:rPr>
      </w:pPr>
      <w:r>
        <w:rPr>
          <w:rFonts w:ascii="仿宋" w:hAnsi="仿宋" w:eastAsia="仿宋"/>
          <w:sz w:val="30"/>
          <w:szCs w:val="30"/>
        </w:rPr>
        <w:t>3</w:t>
      </w:r>
      <w:r>
        <w:rPr>
          <w:rFonts w:hint="eastAsia" w:ascii="仿宋" w:hAnsi="仿宋" w:eastAsia="仿宋"/>
          <w:sz w:val="30"/>
          <w:szCs w:val="30"/>
        </w:rPr>
        <w:t>、加强禁毒工作的管理；</w:t>
      </w:r>
    </w:p>
    <w:p>
      <w:pPr>
        <w:ind w:firstLine="600" w:firstLineChars="200"/>
        <w:rPr>
          <w:rFonts w:hint="eastAsia" w:ascii="仿宋" w:hAnsi="仿宋" w:eastAsia="仿宋"/>
          <w:sz w:val="30"/>
          <w:szCs w:val="30"/>
        </w:rPr>
      </w:pPr>
      <w:r>
        <w:rPr>
          <w:rFonts w:ascii="仿宋" w:hAnsi="仿宋" w:eastAsia="仿宋"/>
          <w:sz w:val="30"/>
          <w:szCs w:val="30"/>
        </w:rPr>
        <w:t>4</w:t>
      </w:r>
      <w:r>
        <w:rPr>
          <w:rFonts w:hint="eastAsia" w:ascii="仿宋" w:hAnsi="仿宋" w:eastAsia="仿宋"/>
          <w:sz w:val="30"/>
          <w:szCs w:val="30"/>
        </w:rPr>
        <w:t>、认真开展信访维稳工作，努力把信访问题和矛盾纠纷化解在萌芽状态，为整个办事处各项事业发展提供和谐稳定的环境；</w:t>
      </w:r>
    </w:p>
    <w:p>
      <w:pPr>
        <w:ind w:firstLine="600" w:firstLineChars="200"/>
        <w:rPr>
          <w:rFonts w:hint="eastAsia" w:ascii="仿宋" w:hAnsi="仿宋" w:eastAsia="仿宋"/>
          <w:sz w:val="30"/>
          <w:szCs w:val="30"/>
        </w:rPr>
      </w:pPr>
      <w:r>
        <w:rPr>
          <w:rFonts w:ascii="仿宋" w:hAnsi="仿宋" w:eastAsia="仿宋"/>
          <w:sz w:val="30"/>
          <w:szCs w:val="30"/>
        </w:rPr>
        <w:t>5</w:t>
      </w:r>
      <w:r>
        <w:rPr>
          <w:rFonts w:hint="eastAsia" w:ascii="仿宋" w:hAnsi="仿宋" w:eastAsia="仿宋"/>
          <w:sz w:val="30"/>
          <w:szCs w:val="30"/>
        </w:rPr>
        <w:t>、全面加强防汛工作；</w:t>
      </w:r>
    </w:p>
    <w:p>
      <w:pPr>
        <w:ind w:firstLine="600" w:firstLineChars="200"/>
        <w:rPr>
          <w:rFonts w:hint="eastAsia" w:ascii="仿宋" w:hAnsi="仿宋" w:eastAsia="仿宋"/>
          <w:sz w:val="30"/>
          <w:szCs w:val="30"/>
        </w:rPr>
      </w:pPr>
      <w:r>
        <w:rPr>
          <w:rFonts w:ascii="仿宋" w:hAnsi="仿宋" w:eastAsia="仿宋"/>
          <w:sz w:val="30"/>
          <w:szCs w:val="30"/>
        </w:rPr>
        <w:t>6</w:t>
      </w:r>
      <w:r>
        <w:rPr>
          <w:rFonts w:hint="eastAsia" w:ascii="仿宋" w:hAnsi="仿宋" w:eastAsia="仿宋"/>
          <w:sz w:val="30"/>
          <w:szCs w:val="30"/>
        </w:rPr>
        <w:t>、坚持安全生产责任不动摇，确保辖区安全生产形势平稳；</w:t>
      </w:r>
    </w:p>
    <w:p>
      <w:pPr>
        <w:ind w:firstLine="600" w:firstLineChars="200"/>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、稳步推进环境保护工作和“六城”同创工作。</w:t>
      </w:r>
    </w:p>
    <w:p>
      <w:pPr>
        <w:spacing w:line="500" w:lineRule="exact"/>
        <w:ind w:firstLine="600" w:firstLineChars="200"/>
        <w:rPr>
          <w:rFonts w:hint="eastAsia" w:ascii="仿宋" w:hAnsi="仿宋" w:eastAsia="仿宋"/>
          <w:sz w:val="30"/>
          <w:szCs w:val="30"/>
        </w:rPr>
      </w:pPr>
    </w:p>
    <w:p>
      <w:pPr>
        <w:spacing w:line="500" w:lineRule="exact"/>
        <w:ind w:firstLine="602" w:firstLineChars="200"/>
        <w:rPr>
          <w:rFonts w:hint="eastAsia" w:ascii="仿宋" w:hAnsi="仿宋" w:eastAsia="仿宋"/>
          <w:b/>
          <w:sz w:val="30"/>
          <w:szCs w:val="30"/>
        </w:rPr>
      </w:pPr>
      <w:r>
        <w:rPr>
          <w:rFonts w:hint="eastAsia" w:ascii="仿宋" w:hAnsi="仿宋" w:eastAsia="仿宋"/>
          <w:b/>
          <w:sz w:val="30"/>
          <w:szCs w:val="30"/>
        </w:rPr>
        <w:t>（三）部门整体支出情况</w:t>
      </w:r>
    </w:p>
    <w:p>
      <w:pPr>
        <w:ind w:firstLine="600" w:firstLineChars="200"/>
        <w:rPr>
          <w:rFonts w:hint="eastAsia" w:ascii="宋体" w:hAnsi="宋体"/>
          <w:sz w:val="30"/>
          <w:szCs w:val="30"/>
        </w:rPr>
      </w:pPr>
      <w:r>
        <w:rPr>
          <w:rFonts w:ascii="宋体" w:hAnsi="宋体"/>
          <w:sz w:val="30"/>
          <w:szCs w:val="30"/>
        </w:rPr>
        <w:t>202</w:t>
      </w:r>
      <w:r>
        <w:rPr>
          <w:rFonts w:hint="eastAsia" w:ascii="宋体" w:hAnsi="宋体"/>
          <w:sz w:val="30"/>
          <w:szCs w:val="30"/>
        </w:rPr>
        <w:t>1年决算支出1662.45万元，一般公共预算财政拨款支出1662.45万元</w:t>
      </w:r>
      <w:r>
        <w:rPr>
          <w:rFonts w:hint="eastAsia" w:ascii="宋体" w:hAnsi="宋体"/>
          <w:sz w:val="30"/>
          <w:szCs w:val="30"/>
          <w:lang w:eastAsia="zh-CN"/>
        </w:rPr>
        <w:t>。基本支出</w:t>
      </w:r>
      <w:r>
        <w:rPr>
          <w:rFonts w:hint="eastAsia" w:ascii="宋体" w:hAnsi="宋体"/>
          <w:sz w:val="30"/>
          <w:szCs w:val="30"/>
          <w:lang w:val="en-US" w:eastAsia="zh-CN"/>
        </w:rPr>
        <w:t>1650.32万元，</w:t>
      </w:r>
      <w:r>
        <w:rPr>
          <w:rFonts w:hint="eastAsia" w:ascii="宋体" w:hAnsi="宋体"/>
          <w:sz w:val="30"/>
          <w:szCs w:val="30"/>
        </w:rPr>
        <w:t>其中工资福利支出1498.88万元，一般商品和服务支出151.44万元</w:t>
      </w:r>
      <w:r>
        <w:rPr>
          <w:rFonts w:hint="eastAsia" w:ascii="宋体" w:hAnsi="宋体"/>
          <w:sz w:val="30"/>
          <w:szCs w:val="30"/>
          <w:lang w:eastAsia="zh-CN"/>
        </w:rPr>
        <w:t>；</w:t>
      </w:r>
      <w:r>
        <w:rPr>
          <w:rFonts w:hint="eastAsia" w:ascii="宋体" w:hAnsi="宋体"/>
          <w:sz w:val="30"/>
          <w:szCs w:val="30"/>
        </w:rPr>
        <w:t>项目支出12.13万元，主要用于防灾减灾宣</w:t>
      </w:r>
      <w:r>
        <w:rPr>
          <w:rFonts w:hint="eastAsia" w:ascii="宋体" w:hAnsi="宋体"/>
          <w:sz w:val="30"/>
          <w:szCs w:val="30"/>
          <w:lang w:eastAsia="zh-CN"/>
        </w:rPr>
        <w:t>传、</w:t>
      </w:r>
      <w:r>
        <w:rPr>
          <w:rFonts w:hint="eastAsia" w:ascii="宋体" w:hAnsi="宋体"/>
          <w:sz w:val="30"/>
          <w:szCs w:val="30"/>
        </w:rPr>
        <w:t>人口普查等。</w:t>
      </w:r>
    </w:p>
    <w:p>
      <w:pPr>
        <w:ind w:firstLine="600" w:firstLineChars="200"/>
        <w:rPr>
          <w:rFonts w:ascii="仿宋" w:hAnsi="仿宋" w:eastAsia="仿宋"/>
          <w:sz w:val="30"/>
          <w:szCs w:val="30"/>
        </w:rPr>
      </w:pPr>
    </w:p>
    <w:p>
      <w:pPr>
        <w:ind w:firstLine="602" w:firstLineChars="200"/>
        <w:rPr>
          <w:rFonts w:hint="eastAsia" w:ascii="宋体" w:hAnsi="宋体"/>
          <w:b/>
          <w:sz w:val="30"/>
          <w:szCs w:val="30"/>
        </w:rPr>
      </w:pPr>
      <w:r>
        <w:rPr>
          <w:rFonts w:hint="eastAsia" w:ascii="宋体" w:hAnsi="宋体"/>
          <w:b/>
          <w:sz w:val="30"/>
          <w:szCs w:val="30"/>
        </w:rPr>
        <w:t>二、部门整体支出管理及使用情况</w:t>
      </w:r>
    </w:p>
    <w:p>
      <w:pPr>
        <w:spacing w:line="500" w:lineRule="exact"/>
        <w:ind w:firstLine="602" w:firstLineChars="200"/>
        <w:rPr>
          <w:rFonts w:hint="eastAsia" w:ascii="仿宋" w:hAnsi="仿宋" w:eastAsia="仿宋"/>
          <w:b/>
          <w:sz w:val="30"/>
          <w:szCs w:val="30"/>
        </w:rPr>
      </w:pPr>
      <w:r>
        <w:rPr>
          <w:rFonts w:hint="eastAsia" w:ascii="仿宋" w:hAnsi="仿宋" w:eastAsia="仿宋"/>
          <w:b/>
          <w:sz w:val="30"/>
          <w:szCs w:val="30"/>
        </w:rPr>
        <w:t>（一）基本支出情况</w:t>
      </w:r>
    </w:p>
    <w:p>
      <w:pPr>
        <w:ind w:firstLine="600" w:firstLineChars="200"/>
        <w:rPr>
          <w:rFonts w:hint="eastAsia" w:ascii="仿宋" w:hAnsi="仿宋" w:eastAsia="仿宋"/>
          <w:sz w:val="30"/>
          <w:szCs w:val="30"/>
        </w:rPr>
      </w:pPr>
      <w:r>
        <w:rPr>
          <w:rFonts w:hint="eastAsia" w:ascii="仿宋" w:hAnsi="仿宋" w:eastAsia="仿宋"/>
          <w:sz w:val="30"/>
          <w:szCs w:val="30"/>
        </w:rPr>
        <w:t>基本支出用于为保障机构正常运转、完成日常工作任务而发生的支出，包括人员经费和公用经费。2021年度本单位人员经费决算数1498.88万元，占基本支出比例90.</w:t>
      </w:r>
      <w:r>
        <w:rPr>
          <w:rFonts w:hint="eastAsia" w:ascii="仿宋" w:hAnsi="仿宋" w:eastAsia="仿宋"/>
          <w:sz w:val="30"/>
          <w:szCs w:val="30"/>
          <w:lang w:val="en-US" w:eastAsia="zh-CN"/>
        </w:rPr>
        <w:t>82</w:t>
      </w:r>
      <w:r>
        <w:rPr>
          <w:rFonts w:ascii="仿宋" w:hAnsi="仿宋" w:eastAsia="仿宋"/>
          <w:sz w:val="30"/>
          <w:szCs w:val="30"/>
        </w:rPr>
        <w:t>%</w:t>
      </w:r>
      <w:r>
        <w:rPr>
          <w:rFonts w:hint="eastAsia" w:ascii="仿宋" w:hAnsi="仿宋" w:eastAsia="仿宋"/>
          <w:sz w:val="30"/>
          <w:szCs w:val="30"/>
        </w:rPr>
        <w:t>，较年初预算减少47.99万元，主要原因是本年度进行了工资及其他缴费调整；公用经费决算数151.44万元，占基本支出比例9.1</w:t>
      </w:r>
      <w:r>
        <w:rPr>
          <w:rFonts w:hint="eastAsia" w:ascii="仿宋" w:hAnsi="仿宋" w:eastAsia="仿宋"/>
          <w:sz w:val="30"/>
          <w:szCs w:val="30"/>
          <w:lang w:val="en-US" w:eastAsia="zh-CN"/>
        </w:rPr>
        <w:t>8</w:t>
      </w:r>
      <w:r>
        <w:rPr>
          <w:rFonts w:ascii="仿宋" w:hAnsi="仿宋" w:eastAsia="仿宋"/>
          <w:sz w:val="30"/>
          <w:szCs w:val="30"/>
        </w:rPr>
        <w:t>%</w:t>
      </w:r>
      <w:r>
        <w:rPr>
          <w:rFonts w:hint="eastAsia" w:ascii="仿宋" w:hAnsi="仿宋" w:eastAsia="仿宋"/>
          <w:sz w:val="30"/>
          <w:szCs w:val="30"/>
        </w:rPr>
        <w:t>。</w:t>
      </w:r>
    </w:p>
    <w:p>
      <w:pPr>
        <w:ind w:firstLine="600" w:firstLineChars="200"/>
        <w:rPr>
          <w:rFonts w:ascii="仿宋" w:hAnsi="仿宋" w:eastAsia="仿宋"/>
          <w:sz w:val="30"/>
          <w:szCs w:val="30"/>
        </w:rPr>
      </w:pPr>
    </w:p>
    <w:p>
      <w:pPr>
        <w:spacing w:line="500" w:lineRule="exact"/>
        <w:ind w:firstLine="602" w:firstLineChars="200"/>
        <w:rPr>
          <w:rFonts w:ascii="仿宋" w:hAnsi="仿宋" w:eastAsia="仿宋"/>
          <w:b/>
          <w:sz w:val="30"/>
          <w:szCs w:val="30"/>
        </w:rPr>
      </w:pPr>
      <w:r>
        <w:rPr>
          <w:rFonts w:hint="eastAsia" w:ascii="仿宋" w:hAnsi="仿宋" w:eastAsia="仿宋"/>
          <w:b/>
          <w:sz w:val="30"/>
          <w:szCs w:val="30"/>
        </w:rPr>
        <w:t>（二）项目支出情况</w:t>
      </w:r>
    </w:p>
    <w:p>
      <w:pPr>
        <w:spacing w:line="620" w:lineRule="exact"/>
        <w:ind w:firstLine="600" w:firstLineChars="200"/>
        <w:rPr>
          <w:rFonts w:ascii="仿宋" w:hAnsi="仿宋" w:eastAsia="仿宋"/>
          <w:sz w:val="30"/>
          <w:szCs w:val="30"/>
        </w:rPr>
      </w:pPr>
      <w:r>
        <w:rPr>
          <w:rFonts w:hint="eastAsia" w:ascii="仿宋" w:hAnsi="仿宋" w:eastAsia="仿宋"/>
          <w:sz w:val="30"/>
          <w:szCs w:val="30"/>
        </w:rPr>
        <w:t>项目支出的行政事业类决算数12.13万元。其中防灾减灾宣传4万元，人口普查8.13万元。</w:t>
      </w:r>
    </w:p>
    <w:p>
      <w:pPr>
        <w:spacing w:line="500" w:lineRule="exact"/>
        <w:ind w:firstLine="602" w:firstLineChars="200"/>
        <w:rPr>
          <w:rFonts w:hint="eastAsia" w:ascii="仿宋" w:hAnsi="仿宋" w:eastAsia="仿宋"/>
          <w:b/>
          <w:sz w:val="30"/>
          <w:szCs w:val="30"/>
        </w:rPr>
      </w:pPr>
    </w:p>
    <w:p>
      <w:pPr>
        <w:spacing w:line="500" w:lineRule="exact"/>
        <w:ind w:firstLine="602" w:firstLineChars="200"/>
        <w:rPr>
          <w:rFonts w:ascii="仿宋" w:hAnsi="仿宋" w:eastAsia="仿宋"/>
          <w:b/>
          <w:sz w:val="30"/>
          <w:szCs w:val="30"/>
        </w:rPr>
      </w:pPr>
      <w:r>
        <w:rPr>
          <w:rFonts w:hint="eastAsia" w:ascii="仿宋" w:hAnsi="仿宋" w:eastAsia="仿宋"/>
          <w:b/>
          <w:sz w:val="30"/>
          <w:szCs w:val="30"/>
        </w:rPr>
        <w:t>（三）“三公”经费情况</w:t>
      </w:r>
    </w:p>
    <w:p>
      <w:pPr>
        <w:ind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．因公出国（境）费用；</w:t>
      </w:r>
    </w:p>
    <w:p>
      <w:pPr>
        <w:ind w:firstLine="600" w:firstLineChars="200"/>
        <w:rPr>
          <w:rFonts w:ascii="仿宋" w:hAnsi="仿宋" w:eastAsia="仿宋"/>
          <w:sz w:val="30"/>
          <w:szCs w:val="30"/>
        </w:rPr>
      </w:pPr>
      <w:r>
        <w:rPr>
          <w:rFonts w:hint="eastAsia" w:ascii="仿宋" w:hAnsi="仿宋" w:eastAsia="仿宋"/>
          <w:sz w:val="30"/>
          <w:szCs w:val="30"/>
        </w:rPr>
        <w:t>无。</w:t>
      </w:r>
    </w:p>
    <w:p>
      <w:pPr>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．公务接待费；</w:t>
      </w:r>
    </w:p>
    <w:p>
      <w:pPr>
        <w:ind w:firstLine="600" w:firstLineChars="200"/>
        <w:rPr>
          <w:rFonts w:ascii="仿宋" w:hAnsi="仿宋" w:eastAsia="仿宋"/>
          <w:sz w:val="30"/>
          <w:szCs w:val="30"/>
        </w:rPr>
      </w:pPr>
      <w:r>
        <w:rPr>
          <w:rFonts w:hint="eastAsia" w:ascii="仿宋" w:hAnsi="仿宋" w:eastAsia="仿宋"/>
          <w:sz w:val="30"/>
          <w:szCs w:val="30"/>
        </w:rPr>
        <w:t>无。</w:t>
      </w:r>
    </w:p>
    <w:p>
      <w:pPr>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．公务用车购置及运行费。</w:t>
      </w:r>
    </w:p>
    <w:p>
      <w:pPr>
        <w:ind w:firstLine="600" w:firstLineChars="200"/>
        <w:rPr>
          <w:rFonts w:ascii="仿宋" w:hAnsi="仿宋" w:eastAsia="仿宋"/>
          <w:sz w:val="30"/>
          <w:szCs w:val="30"/>
        </w:rPr>
      </w:pPr>
      <w:r>
        <w:rPr>
          <w:rFonts w:hint="eastAsia" w:ascii="仿宋" w:hAnsi="仿宋" w:eastAsia="仿宋"/>
          <w:sz w:val="30"/>
          <w:szCs w:val="30"/>
        </w:rPr>
        <w:t>我办事处2021年“三公”经费预算金额10万元，其中公务用车运行维护费7万元,公务接待费3万元。与2020年相同。</w:t>
      </w:r>
    </w:p>
    <w:p>
      <w:pPr>
        <w:ind w:firstLine="600" w:firstLineChars="200"/>
        <w:rPr>
          <w:rFonts w:hint="eastAsia" w:ascii="仿宋" w:hAnsi="仿宋" w:eastAsia="仿宋"/>
          <w:sz w:val="30"/>
          <w:szCs w:val="30"/>
        </w:rPr>
      </w:pPr>
      <w:r>
        <w:rPr>
          <w:rFonts w:hint="eastAsia" w:ascii="仿宋" w:hAnsi="仿宋" w:eastAsia="仿宋"/>
          <w:sz w:val="30"/>
          <w:szCs w:val="30"/>
        </w:rPr>
        <w:t>“三公”经费决算金额4.02万元，其中公务用车运行维护费4.02万元，公务接待费0万元，“三公经费”控制率为40.2</w:t>
      </w:r>
      <w:r>
        <w:rPr>
          <w:rFonts w:ascii="仿宋" w:hAnsi="仿宋" w:eastAsia="仿宋"/>
          <w:sz w:val="30"/>
          <w:szCs w:val="30"/>
        </w:rPr>
        <w:t>%</w:t>
      </w:r>
      <w:r>
        <w:rPr>
          <w:rFonts w:hint="eastAsia" w:ascii="仿宋" w:hAnsi="仿宋" w:eastAsia="仿宋"/>
          <w:sz w:val="30"/>
          <w:szCs w:val="30"/>
        </w:rPr>
        <w:t>。</w:t>
      </w:r>
    </w:p>
    <w:p>
      <w:pPr>
        <w:ind w:firstLine="600" w:firstLineChars="200"/>
        <w:rPr>
          <w:rFonts w:ascii="仿宋" w:hAnsi="仿宋" w:eastAsia="仿宋"/>
          <w:sz w:val="30"/>
          <w:szCs w:val="30"/>
        </w:rPr>
      </w:pPr>
    </w:p>
    <w:p>
      <w:pPr>
        <w:ind w:firstLine="602" w:firstLineChars="200"/>
        <w:rPr>
          <w:rFonts w:ascii="宋体" w:hAnsi="宋体"/>
          <w:b/>
          <w:sz w:val="30"/>
          <w:szCs w:val="30"/>
        </w:rPr>
      </w:pPr>
      <w:r>
        <w:rPr>
          <w:rFonts w:hint="eastAsia" w:ascii="宋体" w:hAnsi="宋体"/>
          <w:b/>
          <w:sz w:val="30"/>
          <w:szCs w:val="30"/>
        </w:rPr>
        <w:t>三、部门整体支出绩效情况</w:t>
      </w:r>
    </w:p>
    <w:p>
      <w:pPr>
        <w:ind w:firstLine="600" w:firstLineChars="200"/>
        <w:rPr>
          <w:rFonts w:ascii="仿宋" w:hAnsi="仿宋" w:eastAsia="仿宋"/>
          <w:sz w:val="30"/>
          <w:szCs w:val="30"/>
        </w:rPr>
      </w:pPr>
      <w:r>
        <w:rPr>
          <w:rFonts w:hint="eastAsia" w:ascii="仿宋" w:hAnsi="仿宋" w:eastAsia="仿宋"/>
          <w:sz w:val="30"/>
          <w:szCs w:val="30"/>
        </w:rPr>
        <w:t>2021年，我单位积极履职，强化管理，较好的完成了年度工作目标。通过加强预算收支管理，不断建立健全内部管理制度，梳理内部管理流程，部门整体支出管理水平得到提升。根据部门整体支出绩效评价指标体系，我单位2021年度评价得分为</w:t>
      </w:r>
      <w:r>
        <w:rPr>
          <w:rFonts w:ascii="仿宋" w:hAnsi="仿宋" w:eastAsia="仿宋"/>
          <w:sz w:val="30"/>
          <w:szCs w:val="30"/>
        </w:rPr>
        <w:t>9</w:t>
      </w:r>
      <w:r>
        <w:rPr>
          <w:rFonts w:hint="eastAsia" w:ascii="仿宋" w:hAnsi="仿宋" w:eastAsia="仿宋"/>
          <w:sz w:val="30"/>
          <w:szCs w:val="30"/>
        </w:rPr>
        <w:t>2分。部门整体支出绩效情况如下：</w:t>
      </w:r>
    </w:p>
    <w:p>
      <w:pPr>
        <w:ind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、预算配置控制较好。在职人员控制率较低；“三公经费”变动率为减幅1.5</w:t>
      </w:r>
      <w:r>
        <w:rPr>
          <w:rFonts w:ascii="仿宋" w:hAnsi="仿宋" w:eastAsia="仿宋"/>
          <w:sz w:val="30"/>
          <w:szCs w:val="30"/>
        </w:rPr>
        <w:t>%</w:t>
      </w:r>
      <w:r>
        <w:rPr>
          <w:rFonts w:hint="eastAsia" w:ascii="仿宋" w:hAnsi="仿宋" w:eastAsia="仿宋"/>
          <w:sz w:val="30"/>
          <w:szCs w:val="30"/>
        </w:rPr>
        <w:t>，经费预算比上年度减少0.06万元。</w:t>
      </w:r>
    </w:p>
    <w:p>
      <w:pPr>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、预算执行比较到位。全年无截留或滞留资金情况，预算调整较多，无新建楼堂馆所。</w:t>
      </w:r>
    </w:p>
    <w:p>
      <w:pPr>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、预算管理不太理想，需进一步强化。</w:t>
      </w:r>
    </w:p>
    <w:p>
      <w:pPr>
        <w:ind w:firstLine="600" w:firstLineChars="200"/>
        <w:rPr>
          <w:rFonts w:ascii="仿宋" w:hAnsi="仿宋" w:eastAsia="仿宋"/>
          <w:sz w:val="30"/>
          <w:szCs w:val="30"/>
        </w:rPr>
      </w:pPr>
      <w:r>
        <w:rPr>
          <w:rFonts w:hint="eastAsia" w:ascii="仿宋" w:hAnsi="仿宋" w:eastAsia="仿宋"/>
          <w:sz w:val="30"/>
          <w:szCs w:val="30"/>
        </w:rPr>
        <w:t>（1）“三公经费”公务接待费控制率为</w:t>
      </w:r>
      <w:r>
        <w:rPr>
          <w:rFonts w:hint="eastAsia" w:ascii="仿宋" w:hAnsi="仿宋" w:eastAsia="仿宋"/>
          <w:color w:val="000000"/>
          <w:sz w:val="30"/>
          <w:szCs w:val="30"/>
        </w:rPr>
        <w:t>40.2%</w:t>
      </w:r>
      <w:r>
        <w:rPr>
          <w:rFonts w:hint="eastAsia" w:ascii="仿宋" w:hAnsi="仿宋" w:eastAsia="仿宋"/>
          <w:sz w:val="30"/>
          <w:szCs w:val="30"/>
        </w:rPr>
        <w:t>，得</w:t>
      </w:r>
      <w:r>
        <w:rPr>
          <w:rFonts w:ascii="仿宋" w:hAnsi="仿宋" w:eastAsia="仿宋"/>
          <w:sz w:val="30"/>
          <w:szCs w:val="30"/>
        </w:rPr>
        <w:t>7</w:t>
      </w:r>
      <w:r>
        <w:rPr>
          <w:rFonts w:hint="eastAsia" w:ascii="仿宋" w:hAnsi="仿宋" w:eastAsia="仿宋"/>
          <w:sz w:val="30"/>
          <w:szCs w:val="30"/>
        </w:rPr>
        <w:t>分。</w:t>
      </w:r>
    </w:p>
    <w:p>
      <w:pPr>
        <w:ind w:firstLine="600" w:firstLineChars="200"/>
        <w:rPr>
          <w:rFonts w:ascii="仿宋" w:hAnsi="仿宋" w:eastAsia="仿宋"/>
          <w:sz w:val="30"/>
          <w:szCs w:val="30"/>
        </w:rPr>
      </w:pPr>
      <w:r>
        <w:rPr>
          <w:rFonts w:hint="eastAsia" w:ascii="仿宋" w:hAnsi="仿宋" w:eastAsia="仿宋"/>
          <w:sz w:val="30"/>
          <w:szCs w:val="30"/>
        </w:rPr>
        <w:t>（2）政府采购执行率达到</w:t>
      </w:r>
      <w:r>
        <w:rPr>
          <w:rFonts w:ascii="仿宋" w:hAnsi="仿宋" w:eastAsia="仿宋"/>
          <w:sz w:val="30"/>
          <w:szCs w:val="30"/>
        </w:rPr>
        <w:t>100%</w:t>
      </w:r>
      <w:r>
        <w:rPr>
          <w:rFonts w:hint="eastAsia" w:ascii="仿宋" w:hAnsi="仿宋" w:eastAsia="仿宋"/>
          <w:sz w:val="30"/>
          <w:szCs w:val="30"/>
        </w:rPr>
        <w:t>，对于单位的政府采购项目，凡单位购买属于政府采购范围内的货物、工程和服务，严格遵守政府采购相关法律法规的规定办理相关审批手续。</w:t>
      </w:r>
    </w:p>
    <w:p>
      <w:pPr>
        <w:ind w:firstLine="600" w:firstLineChars="200"/>
        <w:rPr>
          <w:rFonts w:ascii="仿宋" w:hAnsi="仿宋" w:eastAsia="仿宋"/>
          <w:sz w:val="30"/>
          <w:szCs w:val="30"/>
        </w:rPr>
      </w:pPr>
      <w:r>
        <w:rPr>
          <w:rFonts w:hint="eastAsia" w:ascii="仿宋" w:hAnsi="仿宋" w:eastAsia="仿宋"/>
          <w:sz w:val="30"/>
          <w:szCs w:val="30"/>
        </w:rPr>
        <w:t>（3）管理制度健全。我们严格预算管理，切实按照相关管理制度要求，修改完善了《财务管理规定》《资产管理规定》《公务接待管理规定》《内部审计制度》《差旅费、会议费、培训费管理规定》《公务车辆管理办法》《会计核算制度》《厉行节约规定》等工作制度，进一步明确了财政预算资金审批手续和拨付程序、机关行政经费审批手续和报销程序，加强了财务管理，规范了收支行为，保证了财务管理工作规范有序进行。</w:t>
      </w:r>
    </w:p>
    <w:p>
      <w:pPr>
        <w:ind w:firstLine="600" w:firstLineChars="200"/>
        <w:rPr>
          <w:rFonts w:ascii="仿宋" w:hAnsi="仿宋" w:eastAsia="仿宋"/>
          <w:sz w:val="30"/>
          <w:szCs w:val="30"/>
        </w:rPr>
      </w:pPr>
      <w:r>
        <w:rPr>
          <w:rFonts w:hint="eastAsia" w:ascii="仿宋" w:hAnsi="仿宋" w:eastAsia="仿宋"/>
          <w:sz w:val="30"/>
          <w:szCs w:val="30"/>
        </w:rPr>
        <w:t>（4）资金使用管理逐步加强。单位支出严格按照国家财经法规和财务管理制度规定执行，正确组织资金的筹集、调度和使用，费用开支有标准、有预算，债权债务及时结算、结清，所有支出均通过我单位财政支付方式办理，资金使用基本无截留、挤占、挪用、虚列支出等情况。</w:t>
      </w:r>
    </w:p>
    <w:p>
      <w:pPr>
        <w:ind w:firstLine="600" w:firstLineChars="200"/>
        <w:rPr>
          <w:rFonts w:ascii="仿宋" w:hAnsi="仿宋" w:eastAsia="仿宋"/>
          <w:sz w:val="30"/>
          <w:szCs w:val="30"/>
        </w:rPr>
      </w:pPr>
      <w:r>
        <w:rPr>
          <w:rFonts w:hint="eastAsia" w:ascii="仿宋" w:hAnsi="仿宋" w:eastAsia="仿宋"/>
          <w:sz w:val="30"/>
          <w:szCs w:val="30"/>
        </w:rPr>
        <w:t>（5）我办事处按规定对预决算信息进行了公开，公开网址：</w:t>
      </w:r>
      <w:r>
        <w:rPr>
          <w:rFonts w:ascii="仿宋" w:hAnsi="仿宋" w:eastAsia="仿宋"/>
          <w:sz w:val="30"/>
          <w:szCs w:val="30"/>
        </w:rPr>
        <w:fldChar w:fldCharType="begin"/>
      </w:r>
      <w:r>
        <w:rPr>
          <w:rFonts w:ascii="仿宋" w:hAnsi="仿宋" w:eastAsia="仿宋"/>
          <w:sz w:val="30"/>
          <w:szCs w:val="30"/>
        </w:rPr>
        <w:instrText xml:space="preserve"> HYPERLINK "http://www.lst.gov.cn/lstwtjd/zwgk/lstzwgkList.shtml" </w:instrText>
      </w:r>
      <w:r>
        <w:rPr>
          <w:rFonts w:ascii="仿宋" w:hAnsi="仿宋" w:eastAsia="仿宋"/>
          <w:sz w:val="30"/>
          <w:szCs w:val="30"/>
        </w:rPr>
        <w:fldChar w:fldCharType="separate"/>
      </w:r>
      <w:r>
        <w:rPr>
          <w:rStyle w:val="6"/>
          <w:rFonts w:ascii="仿宋" w:hAnsi="仿宋" w:eastAsia="仿宋"/>
          <w:sz w:val="30"/>
          <w:szCs w:val="30"/>
        </w:rPr>
        <w:t>http://www.lst.gov.cn/lstwtjd/zwgk/lstzwgkList.shtml</w:t>
      </w:r>
      <w:r>
        <w:rPr>
          <w:rFonts w:ascii="仿宋" w:hAnsi="仿宋" w:eastAsia="仿宋"/>
          <w:sz w:val="30"/>
          <w:szCs w:val="30"/>
        </w:rPr>
        <w:fldChar w:fldCharType="end"/>
      </w:r>
      <w:r>
        <w:rPr>
          <w:rFonts w:hint="eastAsia" w:ascii="仿宋" w:hAnsi="仿宋" w:eastAsia="仿宋"/>
          <w:sz w:val="30"/>
          <w:szCs w:val="30"/>
        </w:rPr>
        <w:t>，会计信息等资料完整、准确。</w:t>
      </w:r>
    </w:p>
    <w:p>
      <w:pPr>
        <w:ind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、职责履行得</w:t>
      </w:r>
      <w:r>
        <w:rPr>
          <w:rFonts w:ascii="仿宋" w:hAnsi="仿宋" w:eastAsia="仿宋"/>
          <w:sz w:val="30"/>
          <w:szCs w:val="30"/>
        </w:rPr>
        <w:t>8</w:t>
      </w:r>
      <w:r>
        <w:rPr>
          <w:rFonts w:hint="eastAsia" w:ascii="仿宋" w:hAnsi="仿宋" w:eastAsia="仿宋"/>
          <w:sz w:val="30"/>
          <w:szCs w:val="30"/>
        </w:rPr>
        <w:t>分，2021年我单位在全体干部职工的共同努力下圆满出色完成了各项工作目标和任务。</w:t>
      </w:r>
    </w:p>
    <w:p>
      <w:pPr>
        <w:ind w:firstLine="600" w:firstLineChars="20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、履职效益得</w:t>
      </w:r>
      <w:r>
        <w:rPr>
          <w:rFonts w:ascii="仿宋" w:hAnsi="仿宋" w:eastAsia="仿宋"/>
          <w:sz w:val="30"/>
          <w:szCs w:val="30"/>
        </w:rPr>
        <w:t>2</w:t>
      </w:r>
      <w:r>
        <w:rPr>
          <w:rFonts w:hint="eastAsia" w:ascii="仿宋" w:hAnsi="仿宋" w:eastAsia="仿宋"/>
          <w:sz w:val="30"/>
          <w:szCs w:val="30"/>
        </w:rPr>
        <w:t>0分。</w:t>
      </w:r>
    </w:p>
    <w:p>
      <w:pPr>
        <w:ind w:firstLine="600" w:firstLineChars="20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1</w:t>
      </w:r>
      <w:r>
        <w:rPr>
          <w:rFonts w:hint="eastAsia" w:ascii="仿宋" w:hAnsi="仿宋" w:eastAsia="仿宋"/>
          <w:sz w:val="30"/>
          <w:szCs w:val="30"/>
        </w:rPr>
        <w:t>）经济效益、社会效益得9分，我单位的各方面工作都得到社会大众的肯定和好评。</w:t>
      </w:r>
    </w:p>
    <w:p>
      <w:pPr>
        <w:ind w:firstLine="600" w:firstLineChars="20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2</w:t>
      </w:r>
      <w:r>
        <w:rPr>
          <w:rFonts w:hint="eastAsia" w:ascii="仿宋" w:hAnsi="仿宋" w:eastAsia="仿宋"/>
          <w:sz w:val="30"/>
          <w:szCs w:val="30"/>
        </w:rPr>
        <w:t>）行政效能得5分，我单位不断改善行政管理、严格经费及资产管理，改进文风会风，精简会议，提高了行政效率，降低了行政成本。</w:t>
      </w:r>
    </w:p>
    <w:p>
      <w:pPr>
        <w:ind w:firstLine="600" w:firstLineChars="200"/>
        <w:rPr>
          <w:rFonts w:hint="eastAsia" w:ascii="仿宋" w:hAnsi="仿宋" w:eastAsia="仿宋"/>
          <w:sz w:val="30"/>
          <w:szCs w:val="30"/>
        </w:rPr>
      </w:pPr>
      <w:r>
        <w:rPr>
          <w:rFonts w:hint="eastAsia" w:ascii="仿宋" w:hAnsi="仿宋" w:eastAsia="仿宋"/>
          <w:sz w:val="30"/>
          <w:szCs w:val="30"/>
        </w:rPr>
        <w:t>（4）社会公众或服务对象满意度</w:t>
      </w:r>
      <w:r>
        <w:rPr>
          <w:rFonts w:ascii="仿宋" w:hAnsi="仿宋" w:eastAsia="仿宋"/>
          <w:sz w:val="30"/>
          <w:szCs w:val="30"/>
        </w:rPr>
        <w:t>6</w:t>
      </w:r>
      <w:r>
        <w:rPr>
          <w:rFonts w:hint="eastAsia" w:ascii="仿宋" w:hAnsi="仿宋" w:eastAsia="仿宋"/>
          <w:sz w:val="30"/>
          <w:szCs w:val="30"/>
        </w:rPr>
        <w:t>分，在年度绩效考核中成绩优异。</w:t>
      </w:r>
    </w:p>
    <w:p>
      <w:pPr>
        <w:ind w:firstLine="600" w:firstLineChars="200"/>
        <w:rPr>
          <w:rFonts w:ascii="仿宋" w:hAnsi="仿宋" w:eastAsia="仿宋"/>
          <w:sz w:val="30"/>
          <w:szCs w:val="30"/>
        </w:rPr>
      </w:pPr>
    </w:p>
    <w:p>
      <w:pPr>
        <w:ind w:firstLine="602" w:firstLineChars="200"/>
        <w:rPr>
          <w:rFonts w:ascii="宋体" w:hAnsi="宋体"/>
          <w:b/>
          <w:sz w:val="30"/>
          <w:szCs w:val="30"/>
        </w:rPr>
      </w:pPr>
      <w:r>
        <w:rPr>
          <w:rFonts w:hint="eastAsia" w:ascii="宋体" w:hAnsi="宋体"/>
          <w:b/>
          <w:sz w:val="30"/>
          <w:szCs w:val="30"/>
        </w:rPr>
        <w:t>四、绩效自评得分情况及绩效等级</w:t>
      </w:r>
    </w:p>
    <w:p>
      <w:pPr>
        <w:ind w:firstLine="600" w:firstLineChars="200"/>
        <w:rPr>
          <w:rFonts w:hint="eastAsia" w:ascii="仿宋" w:hAnsi="仿宋" w:eastAsia="仿宋"/>
          <w:sz w:val="30"/>
          <w:szCs w:val="30"/>
        </w:rPr>
      </w:pPr>
      <w:r>
        <w:rPr>
          <w:rFonts w:hint="eastAsia" w:ascii="仿宋" w:hAnsi="仿宋" w:eastAsia="仿宋"/>
          <w:sz w:val="30"/>
          <w:szCs w:val="30"/>
        </w:rPr>
        <w:t>经过对业务资料、财务资料和统计数据的分析，对部门整体支出的“目标设定”的合理性、相关性、明确性，“预算配置”的合理性、科学性，“预算执行和管理”的合法合规性、完整性，“资产管理”的合法合规性、规范性，“履职产出和效果”的真实性、相关性等方面进行全面详细分析计算，2021年度部门整体支出绩效自评综合得分</w:t>
      </w:r>
      <w:r>
        <w:rPr>
          <w:rFonts w:ascii="仿宋" w:hAnsi="仿宋" w:eastAsia="仿宋"/>
          <w:sz w:val="30"/>
          <w:szCs w:val="30"/>
        </w:rPr>
        <w:t>9</w:t>
      </w:r>
      <w:r>
        <w:rPr>
          <w:rFonts w:hint="eastAsia" w:ascii="仿宋" w:hAnsi="仿宋" w:eastAsia="仿宋"/>
          <w:sz w:val="30"/>
          <w:szCs w:val="30"/>
        </w:rPr>
        <w:t>2分，评价等级为“优”。</w:t>
      </w:r>
    </w:p>
    <w:p>
      <w:pPr>
        <w:ind w:firstLine="600" w:firstLineChars="200"/>
        <w:rPr>
          <w:rFonts w:ascii="仿宋" w:hAnsi="仿宋" w:eastAsia="仿宋"/>
          <w:sz w:val="30"/>
          <w:szCs w:val="30"/>
        </w:rPr>
      </w:pPr>
    </w:p>
    <w:p>
      <w:pPr>
        <w:ind w:firstLine="602" w:firstLineChars="200"/>
        <w:rPr>
          <w:rFonts w:ascii="宋体" w:hAnsi="宋体"/>
          <w:b/>
          <w:sz w:val="30"/>
          <w:szCs w:val="30"/>
        </w:rPr>
      </w:pPr>
      <w:r>
        <w:rPr>
          <w:rFonts w:hint="eastAsia" w:ascii="宋体" w:hAnsi="宋体"/>
          <w:b/>
          <w:sz w:val="30"/>
          <w:szCs w:val="30"/>
        </w:rPr>
        <w:t>五、存在的问题</w:t>
      </w:r>
    </w:p>
    <w:p>
      <w:pPr>
        <w:ind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、预算编制工作有待细化。预算编制不够明确和细化，预算编制的合理性需要提高，预算执行力度还要进一步加强。</w:t>
      </w:r>
    </w:p>
    <w:p>
      <w:pPr>
        <w:ind w:firstLine="600" w:firstLineChars="200"/>
        <w:rPr>
          <w:rFonts w:hint="eastAsia" w:ascii="仿宋" w:hAnsi="仿宋" w:eastAsia="仿宋"/>
          <w:sz w:val="30"/>
          <w:szCs w:val="30"/>
        </w:rPr>
      </w:pPr>
      <w:r>
        <w:rPr>
          <w:rFonts w:ascii="仿宋" w:hAnsi="仿宋" w:eastAsia="仿宋"/>
          <w:sz w:val="30"/>
          <w:szCs w:val="30"/>
        </w:rPr>
        <w:t>2</w:t>
      </w:r>
      <w:r>
        <w:rPr>
          <w:rFonts w:hint="eastAsia" w:ascii="仿宋" w:hAnsi="仿宋" w:eastAsia="仿宋"/>
          <w:sz w:val="30"/>
          <w:szCs w:val="30"/>
        </w:rPr>
        <w:t>、在部门整体支出的资金安排和使用上仍有不可预见性，在实际工作中有资金延迟到位的情况。</w:t>
      </w:r>
    </w:p>
    <w:p>
      <w:pPr>
        <w:ind w:firstLine="600" w:firstLineChars="200"/>
        <w:rPr>
          <w:rFonts w:ascii="仿宋" w:hAnsi="仿宋" w:eastAsia="仿宋"/>
          <w:sz w:val="30"/>
          <w:szCs w:val="30"/>
        </w:rPr>
      </w:pPr>
    </w:p>
    <w:p>
      <w:pPr>
        <w:ind w:firstLine="602" w:firstLineChars="200"/>
        <w:rPr>
          <w:rFonts w:ascii="宋体" w:hAnsi="宋体"/>
          <w:b/>
          <w:sz w:val="30"/>
          <w:szCs w:val="30"/>
        </w:rPr>
      </w:pPr>
      <w:r>
        <w:rPr>
          <w:rFonts w:hint="eastAsia" w:ascii="宋体" w:hAnsi="宋体"/>
          <w:b/>
          <w:sz w:val="30"/>
          <w:szCs w:val="30"/>
        </w:rPr>
        <w:t>六、改进措施和有关建议</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针对上述存在的问题及对外整体支出管理工作的需要，拟实施的改进措施如下：</w:t>
      </w:r>
    </w:p>
    <w:p>
      <w:pPr>
        <w:spacing w:line="560" w:lineRule="exact"/>
        <w:ind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细化预算编制工作，认真做好预算的编制。进一步加强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spacing w:line="560" w:lineRule="exact"/>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pacing w:line="560" w:lineRule="exact"/>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、完善资产管理，抓好“三公”经费控制。规范各类资产的购置审批制度、资、资产采购制度、使用管理制度、资产管理岗位职责制度等，加强单位内部的资产管理工作，严格控制“三公”经费的规模和比例。</w:t>
      </w:r>
    </w:p>
    <w:p>
      <w:pPr>
        <w:spacing w:line="560" w:lineRule="exact"/>
        <w:ind w:firstLine="600" w:firstLineChars="200"/>
        <w:rPr>
          <w:rFonts w:hint="eastAsia" w:ascii="仿宋" w:hAnsi="仿宋" w:eastAsia="仿宋"/>
          <w:sz w:val="30"/>
          <w:szCs w:val="30"/>
        </w:rPr>
      </w:pPr>
      <w:r>
        <w:rPr>
          <w:rFonts w:ascii="仿宋" w:hAnsi="仿宋" w:eastAsia="仿宋"/>
          <w:sz w:val="30"/>
          <w:szCs w:val="30"/>
        </w:rPr>
        <w:t>4</w:t>
      </w:r>
      <w:r>
        <w:rPr>
          <w:rFonts w:hint="eastAsia" w:ascii="仿宋" w:hAnsi="仿宋" w:eastAsia="仿宋"/>
          <w:sz w:val="30"/>
          <w:szCs w:val="30"/>
        </w:rPr>
        <w:t>、对相关人员加强培训，特别是针对《预算法》、《行政事业单位会计制度》等学习培训，规范部门预算收支核算，切实提高部门预算收支管理水平。</w:t>
      </w:r>
    </w:p>
    <w:p>
      <w:pPr>
        <w:widowControl/>
        <w:rPr>
          <w:rFonts w:ascii="黑体" w:hAnsi="宋体" w:eastAsia="黑体" w:cs="宋体"/>
          <w:bCs/>
          <w:kern w:val="0"/>
          <w:sz w:val="32"/>
          <w:szCs w:val="32"/>
        </w:rPr>
      </w:pPr>
      <w:r>
        <w:rPr>
          <w:rFonts w:hint="eastAsia" w:ascii="黑体" w:hAnsi="宋体" w:eastAsia="黑体" w:cs="宋体"/>
          <w:bCs/>
          <w:kern w:val="0"/>
          <w:sz w:val="32"/>
          <w:szCs w:val="32"/>
        </w:rPr>
        <w:t>附件</w:t>
      </w:r>
      <w:r>
        <w:rPr>
          <w:rFonts w:ascii="黑体" w:hAnsi="宋体" w:eastAsia="黑体" w:cs="宋体"/>
          <w:bCs/>
          <w:kern w:val="0"/>
          <w:sz w:val="32"/>
          <w:szCs w:val="32"/>
        </w:rPr>
        <w:t>4</w:t>
      </w:r>
    </w:p>
    <w:p>
      <w:pPr>
        <w:spacing w:line="560" w:lineRule="exact"/>
        <w:jc w:val="center"/>
        <w:rPr>
          <w:rFonts w:eastAsia="方正小标宋_GBK"/>
          <w:kern w:val="0"/>
          <w:sz w:val="44"/>
          <w:szCs w:val="44"/>
        </w:rPr>
      </w:pPr>
      <w:r>
        <w:rPr>
          <w:rFonts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3"/>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wBefore w:w="0" w:type="dxa"/>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wBefore w:w="0" w:type="dxa"/>
          <w:trHeight w:val="1423" w:hRule="atLeast"/>
          <w:jc w:val="center"/>
        </w:trPr>
        <w:tc>
          <w:tcPr>
            <w:tcW w:w="52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noWrap w:val="0"/>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rPr>
              <w:t>　4</w:t>
            </w:r>
          </w:p>
        </w:tc>
      </w:tr>
      <w:tr>
        <w:tblPrEx>
          <w:tblCellMar>
            <w:top w:w="0" w:type="dxa"/>
            <w:left w:w="108" w:type="dxa"/>
            <w:bottom w:w="0" w:type="dxa"/>
            <w:right w:w="108" w:type="dxa"/>
          </w:tblCellMar>
        </w:tblPrEx>
        <w:trPr>
          <w:wBefore w:w="0" w:type="dxa"/>
          <w:trHeight w:val="716" w:hRule="atLeast"/>
          <w:jc w:val="center"/>
        </w:trPr>
        <w:tc>
          <w:tcPr>
            <w:tcW w:w="52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wBefore w:w="0" w:type="dxa"/>
          <w:trHeight w:val="716" w:hRule="atLeast"/>
          <w:jc w:val="center"/>
        </w:trPr>
        <w:tc>
          <w:tcPr>
            <w:tcW w:w="52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rPr>
              <w:t>4　</w:t>
            </w:r>
          </w:p>
        </w:tc>
      </w:tr>
      <w:tr>
        <w:tblPrEx>
          <w:tblCellMar>
            <w:top w:w="0" w:type="dxa"/>
            <w:left w:w="108" w:type="dxa"/>
            <w:bottom w:w="0" w:type="dxa"/>
            <w:right w:w="108" w:type="dxa"/>
          </w:tblCellMar>
        </w:tblPrEx>
        <w:trPr>
          <w:wBefore w:w="0" w:type="dxa"/>
          <w:trHeight w:val="971" w:hRule="atLeast"/>
          <w:jc w:val="center"/>
        </w:trPr>
        <w:tc>
          <w:tcPr>
            <w:tcW w:w="5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rPr>
              <w:t>　4</w:t>
            </w:r>
          </w:p>
        </w:tc>
      </w:tr>
      <w:tr>
        <w:tblPrEx>
          <w:tblCellMar>
            <w:top w:w="0" w:type="dxa"/>
            <w:left w:w="108" w:type="dxa"/>
            <w:bottom w:w="0" w:type="dxa"/>
            <w:right w:w="108" w:type="dxa"/>
          </w:tblCellMar>
        </w:tblPrEx>
        <w:trPr>
          <w:wBefore w:w="0" w:type="dxa"/>
          <w:trHeight w:val="1010" w:hRule="atLeast"/>
          <w:jc w:val="center"/>
        </w:trPr>
        <w:tc>
          <w:tcPr>
            <w:tcW w:w="5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wBefore w:w="0" w:type="dxa"/>
          <w:trHeight w:val="952" w:hRule="atLeast"/>
          <w:jc w:val="center"/>
        </w:trPr>
        <w:tc>
          <w:tcPr>
            <w:tcW w:w="5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wBefore w:w="0" w:type="dxa"/>
          <w:trHeight w:val="1189" w:hRule="atLeast"/>
          <w:jc w:val="center"/>
        </w:trPr>
        <w:tc>
          <w:tcPr>
            <w:tcW w:w="5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rPr>
              <w:t>　7</w:t>
            </w:r>
          </w:p>
        </w:tc>
      </w:tr>
      <w:tr>
        <w:tblPrEx>
          <w:tblCellMar>
            <w:top w:w="0" w:type="dxa"/>
            <w:left w:w="108" w:type="dxa"/>
            <w:bottom w:w="0" w:type="dxa"/>
            <w:right w:w="108" w:type="dxa"/>
          </w:tblCellMar>
        </w:tblPrEx>
        <w:trPr>
          <w:wBefore w:w="0" w:type="dxa"/>
          <w:trHeight w:val="819" w:hRule="atLeast"/>
          <w:jc w:val="center"/>
        </w:trPr>
        <w:tc>
          <w:tcPr>
            <w:tcW w:w="5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rPr>
              <w:t>　7</w:t>
            </w:r>
          </w:p>
        </w:tc>
      </w:tr>
      <w:tr>
        <w:tblPrEx>
          <w:tblCellMar>
            <w:top w:w="0" w:type="dxa"/>
            <w:left w:w="108" w:type="dxa"/>
            <w:bottom w:w="0" w:type="dxa"/>
            <w:right w:w="108" w:type="dxa"/>
          </w:tblCellMar>
        </w:tblPrEx>
        <w:trPr>
          <w:wBefore w:w="0" w:type="dxa"/>
          <w:trHeight w:val="598" w:hRule="atLeast"/>
          <w:jc w:val="center"/>
        </w:trPr>
        <w:tc>
          <w:tcPr>
            <w:tcW w:w="52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wBefore w:w="0" w:type="dxa"/>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noWrap w:val="0"/>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noWrap w:val="0"/>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rPr>
              <w:t>　7</w:t>
            </w:r>
          </w:p>
        </w:tc>
      </w:tr>
      <w:tr>
        <w:tblPrEx>
          <w:tblCellMar>
            <w:top w:w="0" w:type="dxa"/>
            <w:left w:w="108" w:type="dxa"/>
            <w:bottom w:w="0" w:type="dxa"/>
            <w:right w:w="108" w:type="dxa"/>
          </w:tblCellMar>
        </w:tblPrEx>
        <w:trPr>
          <w:wBefore w:w="0" w:type="dxa"/>
          <w:trHeight w:val="2367" w:hRule="atLeast"/>
          <w:jc w:val="center"/>
        </w:trPr>
        <w:tc>
          <w:tcPr>
            <w:tcW w:w="5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wBefore w:w="0" w:type="dxa"/>
          <w:trHeight w:val="1659" w:hRule="atLeast"/>
          <w:jc w:val="center"/>
        </w:trPr>
        <w:tc>
          <w:tcPr>
            <w:tcW w:w="5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wBefore w:w="0" w:type="dxa"/>
          <w:trHeight w:val="1188" w:hRule="atLeast"/>
          <w:jc w:val="center"/>
        </w:trPr>
        <w:tc>
          <w:tcPr>
            <w:tcW w:w="521"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rPr>
              <w:t>　8</w:t>
            </w:r>
          </w:p>
        </w:tc>
      </w:tr>
      <w:tr>
        <w:tblPrEx>
          <w:tblCellMar>
            <w:top w:w="0" w:type="dxa"/>
            <w:left w:w="108" w:type="dxa"/>
            <w:bottom w:w="0" w:type="dxa"/>
            <w:right w:w="108" w:type="dxa"/>
          </w:tblCellMar>
        </w:tblPrEx>
        <w:trPr>
          <w:wBefore w:w="0" w:type="dxa"/>
          <w:trHeight w:val="345" w:hRule="atLeast"/>
          <w:jc w:val="center"/>
        </w:trPr>
        <w:tc>
          <w:tcPr>
            <w:tcW w:w="5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noWrap w:val="0"/>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noWrap w:val="0"/>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wBefore w:w="0" w:type="dxa"/>
          <w:trHeight w:val="372" w:hRule="atLeast"/>
          <w:jc w:val="center"/>
        </w:trPr>
        <w:tc>
          <w:tcPr>
            <w:tcW w:w="5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noWrap w:val="0"/>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noWrap w:val="0"/>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noWrap w:val="0"/>
            <w:vAlign w:val="center"/>
          </w:tcPr>
          <w:p>
            <w:pPr>
              <w:widowControl/>
              <w:jc w:val="left"/>
              <w:rPr>
                <w:kern w:val="0"/>
                <w:sz w:val="24"/>
              </w:rPr>
            </w:pPr>
            <w:r>
              <w:rPr>
                <w:rFonts w:hint="eastAsia"/>
                <w:kern w:val="0"/>
                <w:sz w:val="24"/>
              </w:rPr>
              <w:t>9　</w:t>
            </w:r>
          </w:p>
        </w:tc>
      </w:tr>
      <w:tr>
        <w:tblPrEx>
          <w:tblCellMar>
            <w:top w:w="0" w:type="dxa"/>
            <w:left w:w="108" w:type="dxa"/>
            <w:bottom w:w="0" w:type="dxa"/>
            <w:right w:w="108" w:type="dxa"/>
          </w:tblCellMar>
        </w:tblPrEx>
        <w:trPr>
          <w:wBefore w:w="0" w:type="dxa"/>
          <w:trHeight w:val="1188" w:hRule="atLeast"/>
          <w:jc w:val="center"/>
        </w:trPr>
        <w:tc>
          <w:tcPr>
            <w:tcW w:w="521"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noWrap w:val="0"/>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wBefore w:w="0" w:type="dxa"/>
          <w:trHeight w:val="952" w:hRule="atLeast"/>
          <w:jc w:val="center"/>
        </w:trPr>
        <w:tc>
          <w:tcPr>
            <w:tcW w:w="52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noWrap w:val="0"/>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noWrap w:val="0"/>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noWrap w:val="0"/>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wBefore w:w="0" w:type="dxa"/>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kern w:val="0"/>
                <w:sz w:val="24"/>
              </w:rPr>
            </w:pPr>
            <w:r>
              <w:rPr>
                <w:rFonts w:hint="eastAsia"/>
                <w:kern w:val="0"/>
                <w:sz w:val="24"/>
              </w:rPr>
              <w:t>92</w:t>
            </w:r>
          </w:p>
        </w:tc>
      </w:tr>
    </w:tbl>
    <w:p>
      <w:pPr>
        <w:rPr>
          <w:rFonts w:ascii="仿宋" w:hAnsi="仿宋" w:eastAsia="仿宋"/>
        </w:rPr>
      </w:pPr>
    </w:p>
    <w:p>
      <w:pPr>
        <w:spacing w:line="20" w:lineRule="exact"/>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方正小标宋简体">
    <w:altName w:val="黑体"/>
    <w:panose1 w:val="00000000000000000000"/>
    <w:charset w:val="86"/>
    <w:family w:val="auto"/>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lang/>
      </w:rPr>
      <w:t>- 15 -</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C04BEF"/>
    <w:rsid w:val="006E775C"/>
    <w:rsid w:val="00C04BEF"/>
    <w:rsid w:val="22EF3388"/>
    <w:rsid w:val="2FDF601D"/>
    <w:rsid w:val="6F246A94"/>
    <w:rsid w:val="797926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16</Pages>
  <Words>7970</Words>
  <Characters>8350</Characters>
  <Lines>67</Lines>
  <Paragraphs>19</Paragraphs>
  <TotalTime>0</TotalTime>
  <ScaleCrop>false</ScaleCrop>
  <LinksUpToDate>false</LinksUpToDate>
  <CharactersWithSpaces>8653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2022-11-10T08:10:00Z</dcterms:created>
  <dc:creator>User</dc:creator>
  <cp:lastModifiedBy>东来</cp:lastModifiedBy>
  <dcterms:modified xsi:type="dcterms:W3CDTF">2023-11-08T02:30:37Z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265A733E8D8846D193062F0913BD0486</vt:lpwstr>
  </property>
</Properties>
</file>