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方正小标宋简体" w:hAnsi="方正小标宋简体" w:eastAsia="方正小标宋简体" w:cs="方正小标宋简体"/>
          <w:color w:val="000000"/>
          <w:sz w:val="32"/>
          <w:szCs w:val="32"/>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b/>
          <w:bCs/>
          <w:sz w:val="44"/>
          <w:szCs w:val="44"/>
        </w:rPr>
      </w:pPr>
      <w:r>
        <w:rPr>
          <w:rFonts w:ascii="宋体" w:hAnsi="宋体" w:eastAsia="宋体"/>
          <w:b/>
          <w:bCs/>
          <w:color w:val="000000"/>
          <w:sz w:val="44"/>
          <w:szCs w:val="44"/>
        </w:rPr>
        <w:t>20</w:t>
      </w:r>
      <w:r>
        <w:rPr>
          <w:rFonts w:hint="eastAsia" w:ascii="宋体" w:hAnsi="宋体"/>
          <w:b/>
          <w:bCs/>
          <w:color w:val="000000"/>
          <w:sz w:val="44"/>
          <w:szCs w:val="44"/>
          <w:lang w:val="en-US" w:eastAsia="zh-CN"/>
        </w:rPr>
        <w:t>21</w:t>
      </w:r>
      <w:r>
        <w:rPr>
          <w:rFonts w:hint="eastAsia" w:ascii="宋体" w:hAnsi="宋体" w:eastAsia="宋体"/>
          <w:b/>
          <w:bCs/>
          <w:sz w:val="44"/>
          <w:szCs w:val="44"/>
        </w:rPr>
        <w:t>年度部门整体支出绩效自评报告</w:t>
      </w:r>
      <w:r>
        <w:rPr>
          <w:rFonts w:hint="eastAsia" w:ascii="宋体" w:hAnsi="宋体"/>
          <w:b/>
          <w:bCs/>
          <w:sz w:val="44"/>
          <w:szCs w:val="44"/>
          <w:lang w:val="en-US" w:eastAsia="zh-CN"/>
        </w:rPr>
        <w:t xml:space="preserve">   </w:t>
      </w:r>
      <w:r>
        <w:rPr>
          <w:rFonts w:hint="eastAsia" w:ascii="宋体" w:hAnsi="宋体" w:eastAsia="宋体"/>
          <w:b/>
          <w:bCs/>
          <w:sz w:val="44"/>
          <w:szCs w:val="44"/>
        </w:rPr>
        <w:t>（</w:t>
      </w:r>
      <w:r>
        <w:rPr>
          <w:rFonts w:hint="eastAsia" w:ascii="宋体" w:hAnsi="宋体"/>
          <w:b/>
          <w:bCs/>
          <w:sz w:val="44"/>
          <w:szCs w:val="44"/>
          <w:lang w:eastAsia="zh-CN"/>
        </w:rPr>
        <w:t>永州市</w:t>
      </w:r>
      <w:r>
        <w:rPr>
          <w:rFonts w:hint="eastAsia" w:ascii="宋体" w:hAnsi="宋体" w:eastAsia="宋体"/>
          <w:b/>
          <w:bCs/>
          <w:sz w:val="44"/>
          <w:szCs w:val="44"/>
        </w:rPr>
        <w:t>冷水滩</w:t>
      </w:r>
      <w:r>
        <w:rPr>
          <w:rFonts w:hint="eastAsia" w:ascii="宋体" w:hAnsi="宋体"/>
          <w:b/>
          <w:bCs/>
          <w:sz w:val="44"/>
          <w:szCs w:val="44"/>
          <w:lang w:eastAsia="zh-CN"/>
        </w:rPr>
        <w:t>区城乡建设服务中心</w:t>
      </w:r>
      <w:r>
        <w:rPr>
          <w:rFonts w:hint="eastAsia" w:ascii="宋体" w:hAnsi="宋体" w:eastAsia="宋体"/>
          <w:b/>
          <w:bCs/>
          <w:sz w:val="44"/>
          <w:szCs w:val="44"/>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b/>
          <w:bCs/>
          <w:sz w:val="44"/>
          <w:szCs w:val="44"/>
        </w:rPr>
      </w:pPr>
    </w:p>
    <w:p>
      <w:pPr>
        <w:ind w:firstLine="643" w:firstLineChars="200"/>
        <w:rPr>
          <w:rFonts w:ascii="宋体" w:hAnsi="宋体"/>
          <w:b/>
          <w:sz w:val="32"/>
          <w:szCs w:val="32"/>
        </w:rPr>
      </w:pPr>
      <w:r>
        <w:rPr>
          <w:rFonts w:ascii="宋体" w:hAnsi="宋体"/>
          <w:b/>
          <w:sz w:val="32"/>
          <w:szCs w:val="32"/>
        </w:rPr>
        <w:t>一、部门概况</w:t>
      </w:r>
    </w:p>
    <w:p>
      <w:pPr>
        <w:ind w:firstLine="640" w:firstLineChars="200"/>
        <w:rPr>
          <w:rFonts w:ascii="宋体" w:hAnsi="宋体"/>
          <w:sz w:val="32"/>
          <w:szCs w:val="32"/>
        </w:rPr>
      </w:pPr>
      <w:r>
        <w:rPr>
          <w:rFonts w:ascii="宋体" w:hAnsi="宋体"/>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宋体" w:hAnsi="宋体"/>
          <w:sz w:val="32"/>
          <w:szCs w:val="32"/>
        </w:rPr>
      </w:pPr>
      <w:r>
        <w:rPr>
          <w:rFonts w:hint="eastAsia" w:ascii="仿宋_GB2312" w:hAnsi="仿宋_GB2312" w:eastAsia="仿宋_GB2312" w:cs="仿宋_GB2312"/>
          <w:sz w:val="32"/>
          <w:szCs w:val="32"/>
        </w:rPr>
        <w:t>根据冷编办〔1997〕10文件规定，本单位属副科级财政差额拨款的事业单位，主要工作职责是：负责区域内建工行业管理。管理工程项目的立项报建、审批、招投标、预决算、施工、质量与安全监督、竣工验收，规范建筑市场，收取行业规费，管理施工队伍。</w:t>
      </w:r>
    </w:p>
    <w:p>
      <w:pPr>
        <w:ind w:firstLine="640" w:firstLineChars="200"/>
        <w:rPr>
          <w:rFonts w:ascii="宋体" w:hAnsi="宋体"/>
          <w:sz w:val="32"/>
          <w:szCs w:val="32"/>
        </w:rPr>
      </w:pPr>
      <w:r>
        <w:rPr>
          <w:rFonts w:ascii="宋体" w:hAnsi="宋体"/>
          <w:sz w:val="32"/>
          <w:szCs w:val="32"/>
        </w:rPr>
        <w:t>（二）</w:t>
      </w:r>
      <w:r>
        <w:rPr>
          <w:rFonts w:hint="eastAsia" w:ascii="宋体" w:hAnsi="宋体"/>
          <w:color w:val="000000"/>
          <w:sz w:val="32"/>
          <w:szCs w:val="32"/>
        </w:rPr>
        <w:t>2021</w:t>
      </w:r>
      <w:r>
        <w:rPr>
          <w:rFonts w:ascii="宋体" w:hAnsi="宋体"/>
          <w:sz w:val="32"/>
          <w:szCs w:val="32"/>
        </w:rPr>
        <w:t>年的重点工作</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宋体" w:hAnsi="宋体"/>
          <w:sz w:val="32"/>
          <w:szCs w:val="32"/>
        </w:rPr>
      </w:pPr>
      <w:r>
        <w:rPr>
          <w:rFonts w:hint="eastAsia" w:ascii="仿宋_GB2312" w:hAnsi="仿宋_GB2312" w:eastAsia="仿宋_GB2312" w:cs="仿宋_GB2312"/>
          <w:sz w:val="32"/>
          <w:szCs w:val="32"/>
        </w:rPr>
        <w:t>管理工程项目的立项报建、审批、招投标、预决算、施工、质量与安全监督、竣工验收，规范建筑市场，收取行业规费，管理施工队伍。</w:t>
      </w:r>
    </w:p>
    <w:p>
      <w:pPr>
        <w:ind w:firstLine="643" w:firstLineChars="200"/>
        <w:rPr>
          <w:rFonts w:ascii="宋体" w:hAnsi="宋体"/>
          <w:b/>
          <w:sz w:val="32"/>
          <w:szCs w:val="32"/>
        </w:rPr>
      </w:pPr>
      <w:r>
        <w:rPr>
          <w:rFonts w:ascii="宋体" w:hAnsi="宋体"/>
          <w:b/>
          <w:sz w:val="32"/>
          <w:szCs w:val="32"/>
        </w:rPr>
        <w:t>二、</w:t>
      </w:r>
      <w:r>
        <w:rPr>
          <w:rFonts w:hint="eastAsia" w:ascii="宋体" w:hAnsi="宋体"/>
          <w:b/>
          <w:sz w:val="32"/>
          <w:szCs w:val="32"/>
          <w:lang w:val="en-US" w:eastAsia="zh-CN"/>
        </w:rPr>
        <w:t>一般公共预算</w:t>
      </w:r>
      <w:r>
        <w:rPr>
          <w:rFonts w:ascii="宋体" w:hAnsi="宋体"/>
          <w:b/>
          <w:sz w:val="32"/>
          <w:szCs w:val="32"/>
        </w:rPr>
        <w:t>支出情况</w:t>
      </w:r>
    </w:p>
    <w:p>
      <w:pPr>
        <w:ind w:firstLine="640" w:firstLineChars="200"/>
        <w:rPr>
          <w:rFonts w:ascii="宋体" w:hAnsi="宋体"/>
          <w:sz w:val="32"/>
          <w:szCs w:val="32"/>
        </w:rPr>
      </w:pPr>
      <w:r>
        <w:rPr>
          <w:rFonts w:ascii="宋体" w:hAnsi="宋体"/>
          <w:sz w:val="32"/>
          <w:szCs w:val="32"/>
        </w:rPr>
        <w:t>（一）基本支出情况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宋体" w:hAnsi="宋体"/>
          <w:sz w:val="32"/>
          <w:szCs w:val="32"/>
          <w:lang w:val="en-US"/>
        </w:rPr>
      </w:pPr>
      <w:r>
        <w:rPr>
          <w:rFonts w:hint="eastAsia" w:ascii="仿宋" w:hAnsi="仿宋" w:eastAsia="仿宋"/>
          <w:color w:val="auto"/>
          <w:sz w:val="32"/>
          <w:szCs w:val="32"/>
        </w:rPr>
        <w:t>基本支出情况</w:t>
      </w:r>
      <w:r>
        <w:rPr>
          <w:rFonts w:hint="eastAsia" w:ascii="仿宋" w:hAnsi="仿宋" w:eastAsia="仿宋"/>
          <w:color w:val="auto"/>
          <w:sz w:val="32"/>
          <w:szCs w:val="32"/>
          <w:lang w:val="en-US" w:eastAsia="zh-CN"/>
        </w:rPr>
        <w:t>:一般公共预算总支出189.99万元，其中：工资福利支出175.20万元，商品和服务支出14.79。按科目分：城乡社区支出-城乡社区管理事务-工程建设管理：166.67万元，城乡社区公共设施-其他城乡社区公共设施支出：23.32万元</w:t>
      </w:r>
      <w:r>
        <w:rPr>
          <w:rFonts w:hint="eastAsia" w:ascii="仿宋" w:hAnsi="仿宋" w:eastAsia="仿宋" w:cs="仿宋"/>
          <w:sz w:val="32"/>
          <w:szCs w:val="32"/>
          <w:lang w:val="en-US" w:eastAsia="zh-CN"/>
        </w:rPr>
        <w:t>。</w:t>
      </w:r>
    </w:p>
    <w:p>
      <w:pPr>
        <w:ind w:firstLine="640" w:firstLineChars="200"/>
        <w:rPr>
          <w:rFonts w:hint="eastAsia" w:ascii="宋体" w:hAnsi="宋体" w:eastAsia="仿宋"/>
          <w:sz w:val="32"/>
          <w:szCs w:val="32"/>
          <w:lang w:val="en-US" w:eastAsia="zh-CN"/>
        </w:rPr>
      </w:pPr>
      <w:r>
        <w:rPr>
          <w:rFonts w:ascii="宋体" w:hAnsi="宋体"/>
          <w:sz w:val="32"/>
          <w:szCs w:val="32"/>
        </w:rPr>
        <w:t>（二）项目支出情况</w:t>
      </w:r>
      <w:r>
        <w:rPr>
          <w:rFonts w:hint="eastAsia" w:ascii="仿宋" w:hAnsi="仿宋" w:eastAsia="仿宋" w:cs="仿宋"/>
          <w:sz w:val="32"/>
          <w:szCs w:val="32"/>
          <w:lang w:val="en-US" w:eastAsia="zh-CN"/>
        </w:rPr>
        <w:t>:无项目支出。</w:t>
      </w:r>
    </w:p>
    <w:p>
      <w:pPr>
        <w:pStyle w:val="12"/>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bookmarkStart w:id="0" w:name="bookmark81"/>
      <w:r>
        <w:rPr>
          <w:rFonts w:hint="eastAsia" w:ascii="黑体" w:hAnsi="黑体" w:eastAsia="黑体" w:cs="黑体"/>
          <w:color w:val="000000"/>
          <w:spacing w:val="0"/>
          <w:w w:val="100"/>
          <w:position w:val="0"/>
          <w:sz w:val="32"/>
          <w:szCs w:val="32"/>
        </w:rPr>
        <w:t>三</w:t>
      </w:r>
      <w:bookmarkEnd w:id="0"/>
      <w:r>
        <w:rPr>
          <w:rFonts w:hint="eastAsia" w:ascii="黑体" w:hAnsi="黑体" w:eastAsia="黑体" w:cs="黑体"/>
          <w:color w:val="000000"/>
          <w:spacing w:val="0"/>
          <w:w w:val="100"/>
          <w:position w:val="0"/>
          <w:sz w:val="32"/>
          <w:szCs w:val="32"/>
        </w:rPr>
        <w:t>、政府性基金预算支出情况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无政府性基金预算支出。</w:t>
      </w:r>
    </w:p>
    <w:p>
      <w:pPr>
        <w:pStyle w:val="12"/>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p>
    <w:p>
      <w:pPr>
        <w:pStyle w:val="12"/>
        <w:keepNext w:val="0"/>
        <w:keepLines w:val="0"/>
        <w:widowControl w:val="0"/>
        <w:numPr>
          <w:ilvl w:val="0"/>
          <w:numId w:val="1"/>
        </w:numPr>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hint="eastAsia" w:ascii="黑体" w:hAnsi="黑体" w:eastAsia="黑体" w:cs="黑体"/>
          <w:color w:val="000000"/>
          <w:spacing w:val="0"/>
          <w:w w:val="100"/>
          <w:position w:val="0"/>
          <w:sz w:val="32"/>
          <w:szCs w:val="32"/>
        </w:rPr>
      </w:pPr>
      <w:r>
        <w:rPr>
          <w:rFonts w:hint="eastAsia" w:ascii="仿宋" w:hAnsi="仿宋" w:eastAsia="仿宋" w:cs="仿宋"/>
          <w:sz w:val="32"/>
          <w:szCs w:val="32"/>
          <w:lang w:val="en-US" w:eastAsia="zh-CN"/>
        </w:rPr>
        <w:t>无国有资本经营预算支出。</w:t>
      </w:r>
    </w:p>
    <w:p>
      <w:pPr>
        <w:pStyle w:val="12"/>
        <w:keepNext w:val="0"/>
        <w:keepLines w:val="0"/>
        <w:widowControl w:val="0"/>
        <w:numPr>
          <w:ilvl w:val="0"/>
          <w:numId w:val="1"/>
        </w:numPr>
        <w:shd w:val="clear" w:color="auto" w:fill="auto"/>
        <w:tabs>
          <w:tab w:val="left" w:pos="1538"/>
        </w:tabs>
        <w:bidi w:val="0"/>
        <w:spacing w:before="0" w:after="0" w:line="614" w:lineRule="exact"/>
        <w:ind w:left="0" w:leftChars="0" w:right="0" w:firstLine="900" w:firstLineChars="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rPr>
          <w:rFonts w:hint="eastAsia" w:ascii="黑体" w:hAnsi="黑体" w:eastAsia="黑体" w:cs="黑体"/>
          <w:color w:val="000000"/>
          <w:spacing w:val="0"/>
          <w:w w:val="100"/>
          <w:position w:val="0"/>
          <w:sz w:val="32"/>
          <w:szCs w:val="32"/>
        </w:rPr>
      </w:pPr>
      <w:r>
        <w:rPr>
          <w:rFonts w:hint="eastAsia" w:ascii="仿宋" w:hAnsi="仿宋" w:eastAsia="仿宋" w:cs="仿宋"/>
          <w:sz w:val="32"/>
          <w:szCs w:val="32"/>
          <w:lang w:val="en-US" w:eastAsia="zh-CN"/>
        </w:rPr>
        <w:t>无社会保险基金预算支出。</w:t>
      </w:r>
    </w:p>
    <w:p>
      <w:pPr>
        <w:pStyle w:val="12"/>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sz w:val="32"/>
          <w:szCs w:val="32"/>
        </w:rPr>
      </w:pPr>
      <w:bookmarkStart w:id="1" w:name="bookmark84"/>
      <w:r>
        <w:rPr>
          <w:rFonts w:hint="eastAsia" w:ascii="黑体" w:hAnsi="黑体" w:eastAsia="黑体" w:cs="黑体"/>
          <w:color w:val="000000"/>
          <w:spacing w:val="0"/>
          <w:w w:val="100"/>
          <w:position w:val="0"/>
          <w:sz w:val="32"/>
          <w:szCs w:val="32"/>
        </w:rPr>
        <w:t>六</w:t>
      </w:r>
      <w:bookmarkEnd w:id="1"/>
      <w:r>
        <w:rPr>
          <w:rFonts w:hint="eastAsia" w:ascii="黑体" w:hAnsi="黑体" w:eastAsia="黑体" w:cs="黑体"/>
          <w:color w:val="000000"/>
          <w:spacing w:val="0"/>
          <w:w w:val="100"/>
          <w:position w:val="0"/>
          <w:sz w:val="32"/>
          <w:szCs w:val="32"/>
        </w:rPr>
        <w:t>、部门整体支出绩效情况</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1、确保建筑项目的质量和安全生产。按时完成工作职责规定的各项工作, 确保建筑质量合格率100%，安全生产死亡率为0。</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2、圆满完成区委、区政府及上级部门交办的各项工作任务。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3、严格执行国家财务制度和财政纪律，合理开支，厉行节约，保障单位正常运转及职工工资福利及时足额发放。</w:t>
      </w:r>
    </w:p>
    <w:p>
      <w:pPr>
        <w:ind w:firstLine="643" w:firstLineChars="200"/>
        <w:rPr>
          <w:rFonts w:hint="eastAsia" w:ascii="宋体" w:hAnsi="宋体"/>
          <w:b/>
          <w:sz w:val="32"/>
          <w:szCs w:val="32"/>
        </w:rPr>
      </w:pPr>
      <w:r>
        <w:rPr>
          <w:rFonts w:hint="eastAsia" w:ascii="宋体" w:hAnsi="宋体"/>
          <w:b/>
          <w:sz w:val="32"/>
          <w:szCs w:val="32"/>
          <w:lang w:eastAsia="zh-CN"/>
        </w:rPr>
        <w:t>七</w:t>
      </w:r>
      <w:r>
        <w:rPr>
          <w:rFonts w:hint="eastAsia" w:ascii="宋体" w:hAnsi="宋体"/>
          <w:b/>
          <w:sz w:val="32"/>
          <w:szCs w:val="32"/>
        </w:rPr>
        <w:t>、绩效自评得分情况及绩效等级。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b/>
          <w:sz w:val="32"/>
          <w:szCs w:val="32"/>
        </w:rPr>
      </w:pPr>
      <w:r>
        <w:rPr>
          <w:rFonts w:hint="eastAsia" w:ascii="仿宋" w:hAnsi="仿宋" w:eastAsia="仿宋" w:cs="仿宋"/>
          <w:b w:val="0"/>
          <w:bCs/>
          <w:sz w:val="32"/>
          <w:szCs w:val="32"/>
          <w:lang w:val="en-US" w:eastAsia="zh-CN"/>
        </w:rPr>
        <w:t>本单位2021年整体支出绩效自评得分94分。</w:t>
      </w:r>
    </w:p>
    <w:p>
      <w:pPr>
        <w:numPr>
          <w:ilvl w:val="0"/>
          <w:numId w:val="2"/>
        </w:numPr>
        <w:ind w:firstLine="643" w:firstLineChars="200"/>
        <w:rPr>
          <w:rFonts w:hint="eastAsia" w:ascii="宋体" w:hAnsi="宋体"/>
          <w:b/>
          <w:sz w:val="32"/>
          <w:szCs w:val="32"/>
          <w:lang w:eastAsia="zh-CN"/>
        </w:rPr>
      </w:pPr>
      <w:r>
        <w:rPr>
          <w:rFonts w:ascii="宋体" w:hAnsi="宋体"/>
          <w:b/>
          <w:sz w:val="32"/>
          <w:szCs w:val="32"/>
        </w:rPr>
        <w:t>存在的问题</w:t>
      </w:r>
      <w:r>
        <w:rPr>
          <w:rFonts w:hint="eastAsia" w:ascii="宋体" w:hAnsi="宋体"/>
          <w:b/>
          <w:sz w:val="32"/>
          <w:szCs w:val="32"/>
          <w:lang w:eastAsia="zh-CN"/>
        </w:rPr>
        <w:t>及原因分析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宋体" w:hAnsi="宋体"/>
          <w:b/>
          <w:sz w:val="32"/>
          <w:szCs w:val="32"/>
          <w:lang w:eastAsia="zh-CN"/>
        </w:rPr>
      </w:pPr>
      <w:r>
        <w:rPr>
          <w:rFonts w:hint="eastAsia" w:ascii="仿宋" w:hAnsi="仿宋" w:eastAsia="仿宋" w:cs="仿宋"/>
          <w:sz w:val="32"/>
          <w:szCs w:val="32"/>
          <w:lang w:eastAsia="zh-CN"/>
        </w:rPr>
        <w:t>我单位日常公用经费紧张；各项财务制度执行力度不够，</w:t>
      </w:r>
      <w:r>
        <w:rPr>
          <w:rFonts w:hint="eastAsia" w:ascii="仿宋" w:hAnsi="仿宋" w:eastAsia="仿宋" w:cs="仿宋"/>
          <w:sz w:val="32"/>
          <w:szCs w:val="32"/>
        </w:rPr>
        <w:t>各部门制定的制度未全盘考虑，</w:t>
      </w:r>
      <w:r>
        <w:rPr>
          <w:rFonts w:hint="eastAsia" w:ascii="仿宋" w:hAnsi="仿宋" w:eastAsia="仿宋" w:cs="仿宋"/>
          <w:sz w:val="32"/>
          <w:szCs w:val="32"/>
          <w:lang w:val="en-US"/>
        </w:rPr>
        <w:t>年初预算不足</w:t>
      </w:r>
      <w:r>
        <w:rPr>
          <w:rFonts w:hint="eastAsia" w:ascii="仿宋" w:hAnsi="仿宋" w:eastAsia="仿宋" w:cs="仿宋"/>
          <w:sz w:val="32"/>
          <w:szCs w:val="32"/>
          <w:lang w:val="en-US" w:eastAsia="zh-CN"/>
        </w:rPr>
        <w:t>，</w:t>
      </w:r>
      <w:r>
        <w:rPr>
          <w:rFonts w:hint="eastAsia" w:ascii="仿宋" w:hAnsi="仿宋" w:eastAsia="仿宋" w:cs="仿宋"/>
          <w:sz w:val="32"/>
          <w:szCs w:val="32"/>
        </w:rPr>
        <w:t>且部分部门制度与财务制度未相向而行。</w:t>
      </w:r>
    </w:p>
    <w:p>
      <w:pPr>
        <w:numPr>
          <w:ilvl w:val="0"/>
          <w:numId w:val="2"/>
        </w:numPr>
        <w:ind w:left="0" w:leftChars="0" w:firstLine="643" w:firstLineChars="200"/>
        <w:rPr>
          <w:rFonts w:ascii="宋体" w:hAnsi="宋体"/>
          <w:b/>
          <w:sz w:val="32"/>
          <w:szCs w:val="32"/>
        </w:rPr>
      </w:pPr>
      <w:r>
        <w:rPr>
          <w:rFonts w:ascii="宋体" w:hAnsi="宋体"/>
          <w:b/>
          <w:sz w:val="32"/>
          <w:szCs w:val="32"/>
        </w:rPr>
        <w:t>改进措施和有关建议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财政安排的日常公用经费不足，对保证</w:t>
      </w:r>
      <w:r>
        <w:rPr>
          <w:rFonts w:hint="eastAsia" w:ascii="仿宋" w:hAnsi="仿宋" w:eastAsia="仿宋" w:cs="仿宋"/>
          <w:sz w:val="32"/>
          <w:szCs w:val="32"/>
          <w:lang w:eastAsia="zh-CN"/>
        </w:rPr>
        <w:t>单位</w:t>
      </w:r>
      <w:r>
        <w:rPr>
          <w:rFonts w:hint="eastAsia" w:ascii="仿宋" w:hAnsi="仿宋" w:eastAsia="仿宋" w:cs="仿宋"/>
          <w:sz w:val="32"/>
          <w:szCs w:val="32"/>
        </w:rPr>
        <w:t>正常工作运转</w:t>
      </w:r>
      <w:r>
        <w:rPr>
          <w:rFonts w:hint="eastAsia" w:ascii="仿宋" w:hAnsi="仿宋" w:eastAsia="仿宋" w:cs="仿宋"/>
          <w:sz w:val="32"/>
          <w:szCs w:val="32"/>
          <w:lang w:eastAsia="zh-CN"/>
        </w:rPr>
        <w:t>，加强对全区建设项目的质量安全监督</w:t>
      </w:r>
      <w:r>
        <w:rPr>
          <w:rFonts w:hint="eastAsia" w:ascii="仿宋" w:hAnsi="仿宋" w:eastAsia="仿宋" w:cs="仿宋"/>
          <w:sz w:val="32"/>
          <w:szCs w:val="32"/>
        </w:rPr>
        <w:t>产生了一定影响</w:t>
      </w:r>
      <w:r>
        <w:rPr>
          <w:rFonts w:hint="eastAsia" w:ascii="仿宋" w:hAnsi="仿宋" w:eastAsia="仿宋" w:cs="仿宋"/>
          <w:sz w:val="32"/>
          <w:szCs w:val="32"/>
          <w:lang w:eastAsia="zh-CN"/>
        </w:rPr>
        <w:t>，建议区财政增加日常公用经费预算安排，同时，我单位将</w:t>
      </w:r>
      <w:r>
        <w:rPr>
          <w:rFonts w:hint="eastAsia" w:ascii="仿宋" w:hAnsi="仿宋" w:eastAsia="仿宋" w:cs="仿宋"/>
          <w:sz w:val="32"/>
          <w:szCs w:val="32"/>
        </w:rPr>
        <w:t>进一步规范财务支出，严格遵守单位财务制度</w:t>
      </w:r>
      <w:r>
        <w:rPr>
          <w:rFonts w:hint="eastAsia" w:ascii="仿宋" w:hAnsi="仿宋" w:eastAsia="仿宋" w:cs="仿宋"/>
          <w:sz w:val="32"/>
          <w:szCs w:val="32"/>
          <w:lang w:eastAsia="zh-CN"/>
        </w:rPr>
        <w:t>；进一步完善各项制度，</w:t>
      </w:r>
      <w:r>
        <w:rPr>
          <w:rFonts w:hint="eastAsia" w:ascii="仿宋" w:hAnsi="仿宋" w:eastAsia="仿宋" w:cs="仿宋"/>
          <w:sz w:val="32"/>
          <w:szCs w:val="32"/>
        </w:rPr>
        <w:t>提高各项制度的可操作性与协调性</w:t>
      </w:r>
      <w:r>
        <w:rPr>
          <w:rFonts w:hint="eastAsia" w:ascii="仿宋" w:hAnsi="仿宋" w:eastAsia="仿宋" w:cs="仿宋"/>
          <w:sz w:val="32"/>
          <w:szCs w:val="32"/>
          <w:lang w:eastAsia="zh-CN"/>
        </w:rPr>
        <w:t>。</w:t>
      </w: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lang w:val="en-US" w:eastAsia="zh-CN"/>
              </w:rPr>
              <w:t>9</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94"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94</w:t>
            </w:r>
          </w:p>
        </w:tc>
      </w:tr>
    </w:tbl>
    <w:p>
      <w:pPr>
        <w:rPr>
          <w:rFonts w:hint="eastAsia" w:ascii="宋体" w:hAnsi="宋体"/>
          <w:b/>
          <w:sz w:val="30"/>
          <w:szCs w:val="30"/>
          <w:lang w:eastAsia="zh-C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FBEDF6"/>
    <w:multiLevelType w:val="singleLevel"/>
    <w:tmpl w:val="BCFBEDF6"/>
    <w:lvl w:ilvl="0" w:tentative="0">
      <w:start w:val="8"/>
      <w:numFmt w:val="chineseCounting"/>
      <w:suff w:val="nothing"/>
      <w:lvlText w:val="%1、"/>
      <w:lvlJc w:val="left"/>
      <w:rPr>
        <w:rFonts w:hint="eastAsia"/>
      </w:rPr>
    </w:lvl>
  </w:abstractNum>
  <w:abstractNum w:abstractNumId="1">
    <w:nsid w:val="70D2760B"/>
    <w:multiLevelType w:val="singleLevel"/>
    <w:tmpl w:val="70D2760B"/>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oNotHyphenateCap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YjRkZGRjMWYwZDdiNjNmNmVjYTk1Nzg2ZDJmNTQifQ=="/>
  </w:docVars>
  <w:rsids>
    <w:rsidRoot w:val="785137E4"/>
    <w:rsid w:val="002C488B"/>
    <w:rsid w:val="00443E67"/>
    <w:rsid w:val="00495A04"/>
    <w:rsid w:val="004B3E04"/>
    <w:rsid w:val="004D00CF"/>
    <w:rsid w:val="005F7E7F"/>
    <w:rsid w:val="00612026"/>
    <w:rsid w:val="006A7D8E"/>
    <w:rsid w:val="008F5953"/>
    <w:rsid w:val="009D4482"/>
    <w:rsid w:val="00A106DA"/>
    <w:rsid w:val="00A736E6"/>
    <w:rsid w:val="00BD2F3F"/>
    <w:rsid w:val="00D72963"/>
    <w:rsid w:val="00E410D0"/>
    <w:rsid w:val="01540DA8"/>
    <w:rsid w:val="03AE7CEF"/>
    <w:rsid w:val="051D30EA"/>
    <w:rsid w:val="07CE4C09"/>
    <w:rsid w:val="09C31645"/>
    <w:rsid w:val="0A193011"/>
    <w:rsid w:val="0C1D6C41"/>
    <w:rsid w:val="0D3419B4"/>
    <w:rsid w:val="0FA72F1D"/>
    <w:rsid w:val="104A59B1"/>
    <w:rsid w:val="104E610F"/>
    <w:rsid w:val="108A2FEB"/>
    <w:rsid w:val="114C59C8"/>
    <w:rsid w:val="12426120"/>
    <w:rsid w:val="14A8424C"/>
    <w:rsid w:val="15EF7631"/>
    <w:rsid w:val="165B63B2"/>
    <w:rsid w:val="17E31494"/>
    <w:rsid w:val="17F71488"/>
    <w:rsid w:val="198F6483"/>
    <w:rsid w:val="1A304F0B"/>
    <w:rsid w:val="1C7C6CF9"/>
    <w:rsid w:val="1D5132B3"/>
    <w:rsid w:val="1D600939"/>
    <w:rsid w:val="1D6B0BB6"/>
    <w:rsid w:val="1E35658E"/>
    <w:rsid w:val="1F3E5007"/>
    <w:rsid w:val="20220A15"/>
    <w:rsid w:val="20317979"/>
    <w:rsid w:val="2151475A"/>
    <w:rsid w:val="22D740B8"/>
    <w:rsid w:val="22E90356"/>
    <w:rsid w:val="23943EF5"/>
    <w:rsid w:val="240B63D5"/>
    <w:rsid w:val="24793C83"/>
    <w:rsid w:val="258018C0"/>
    <w:rsid w:val="2659509A"/>
    <w:rsid w:val="26B11A3A"/>
    <w:rsid w:val="29EC32BE"/>
    <w:rsid w:val="2D1103C5"/>
    <w:rsid w:val="2E3511A9"/>
    <w:rsid w:val="2F4B29B9"/>
    <w:rsid w:val="3417744D"/>
    <w:rsid w:val="350E1BCE"/>
    <w:rsid w:val="357B7AED"/>
    <w:rsid w:val="358D7AC9"/>
    <w:rsid w:val="367B2FCB"/>
    <w:rsid w:val="36D86668"/>
    <w:rsid w:val="36F764EF"/>
    <w:rsid w:val="374E666C"/>
    <w:rsid w:val="37EB5A18"/>
    <w:rsid w:val="385B3896"/>
    <w:rsid w:val="3885411B"/>
    <w:rsid w:val="3AAB44BD"/>
    <w:rsid w:val="3B900107"/>
    <w:rsid w:val="3BE06DF3"/>
    <w:rsid w:val="3D7818D8"/>
    <w:rsid w:val="3DC46684"/>
    <w:rsid w:val="3E493596"/>
    <w:rsid w:val="3F880CCF"/>
    <w:rsid w:val="402A3780"/>
    <w:rsid w:val="404F0CAC"/>
    <w:rsid w:val="418B0C90"/>
    <w:rsid w:val="42411C5D"/>
    <w:rsid w:val="42522A69"/>
    <w:rsid w:val="42FB7E1B"/>
    <w:rsid w:val="43C70B3A"/>
    <w:rsid w:val="44966123"/>
    <w:rsid w:val="459B564D"/>
    <w:rsid w:val="46B03022"/>
    <w:rsid w:val="48035DFE"/>
    <w:rsid w:val="4A227923"/>
    <w:rsid w:val="4A820533"/>
    <w:rsid w:val="4B7F71D1"/>
    <w:rsid w:val="4B872160"/>
    <w:rsid w:val="4B9879B3"/>
    <w:rsid w:val="4CF657D3"/>
    <w:rsid w:val="4E1F59D2"/>
    <w:rsid w:val="4F095E0B"/>
    <w:rsid w:val="4F564F38"/>
    <w:rsid w:val="4F59735C"/>
    <w:rsid w:val="4F8B2053"/>
    <w:rsid w:val="50EF391A"/>
    <w:rsid w:val="51426923"/>
    <w:rsid w:val="51524FCA"/>
    <w:rsid w:val="52B47D30"/>
    <w:rsid w:val="53A73ADE"/>
    <w:rsid w:val="53F605A7"/>
    <w:rsid w:val="54040CEA"/>
    <w:rsid w:val="54D7618A"/>
    <w:rsid w:val="54FF0268"/>
    <w:rsid w:val="551722DC"/>
    <w:rsid w:val="55AD03B6"/>
    <w:rsid w:val="566468C9"/>
    <w:rsid w:val="577F3E94"/>
    <w:rsid w:val="57D52AF3"/>
    <w:rsid w:val="58231176"/>
    <w:rsid w:val="584B0E58"/>
    <w:rsid w:val="589D2CCD"/>
    <w:rsid w:val="58BB6998"/>
    <w:rsid w:val="58DE2A0A"/>
    <w:rsid w:val="595F096B"/>
    <w:rsid w:val="59793404"/>
    <w:rsid w:val="59D722C0"/>
    <w:rsid w:val="5AE64F25"/>
    <w:rsid w:val="5BCF2931"/>
    <w:rsid w:val="5C531035"/>
    <w:rsid w:val="5E112783"/>
    <w:rsid w:val="5F6A5C48"/>
    <w:rsid w:val="600C0AFA"/>
    <w:rsid w:val="609E4648"/>
    <w:rsid w:val="620C7F2C"/>
    <w:rsid w:val="624732EC"/>
    <w:rsid w:val="62A44B30"/>
    <w:rsid w:val="63FD4981"/>
    <w:rsid w:val="64A5151D"/>
    <w:rsid w:val="64BC353F"/>
    <w:rsid w:val="6524032D"/>
    <w:rsid w:val="675A4B0D"/>
    <w:rsid w:val="68532135"/>
    <w:rsid w:val="68C32CA2"/>
    <w:rsid w:val="69976114"/>
    <w:rsid w:val="6B187AD2"/>
    <w:rsid w:val="6D03067C"/>
    <w:rsid w:val="6D1F6202"/>
    <w:rsid w:val="6D3728A1"/>
    <w:rsid w:val="6D535020"/>
    <w:rsid w:val="6DC31AA8"/>
    <w:rsid w:val="6DDD3D7F"/>
    <w:rsid w:val="6DF36BBE"/>
    <w:rsid w:val="6F5003DC"/>
    <w:rsid w:val="6F816AC5"/>
    <w:rsid w:val="6FEC6C62"/>
    <w:rsid w:val="70A55C94"/>
    <w:rsid w:val="71AE7FEB"/>
    <w:rsid w:val="71F0545F"/>
    <w:rsid w:val="73C23E03"/>
    <w:rsid w:val="75174DE5"/>
    <w:rsid w:val="75871E6E"/>
    <w:rsid w:val="75940776"/>
    <w:rsid w:val="75AB21CA"/>
    <w:rsid w:val="75C076F3"/>
    <w:rsid w:val="776C2435"/>
    <w:rsid w:val="7777743F"/>
    <w:rsid w:val="785137E4"/>
    <w:rsid w:val="79274980"/>
    <w:rsid w:val="7B2E4CBA"/>
    <w:rsid w:val="7DA0188A"/>
    <w:rsid w:val="7F362DFE"/>
    <w:rsid w:val="7F647FD1"/>
    <w:rsid w:val="7F83277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color w:val="0000FF"/>
      <w:u w:val="single"/>
    </w:rPr>
  </w:style>
  <w:style w:type="character" w:customStyle="1" w:styleId="9">
    <w:name w:val="Footer Char"/>
    <w:basedOn w:val="7"/>
    <w:link w:val="2"/>
    <w:semiHidden/>
    <w:qFormat/>
    <w:locked/>
    <w:uiPriority w:val="99"/>
    <w:rPr>
      <w:rFonts w:ascii="Calibri" w:hAnsi="Calibri" w:eastAsia="宋体" w:cs="Calibri"/>
      <w:sz w:val="18"/>
      <w:szCs w:val="18"/>
    </w:rPr>
  </w:style>
  <w:style w:type="character" w:customStyle="1" w:styleId="10">
    <w:name w:val="Header Char"/>
    <w:basedOn w:val="7"/>
    <w:link w:val="3"/>
    <w:semiHidden/>
    <w:qFormat/>
    <w:locked/>
    <w:uiPriority w:val="99"/>
    <w:rPr>
      <w:rFonts w:ascii="Calibri" w:hAnsi="Calibri" w:eastAsia="宋体" w:cs="Calibri"/>
      <w:sz w:val="18"/>
      <w:szCs w:val="18"/>
    </w:rPr>
  </w:style>
  <w:style w:type="paragraph" w:customStyle="1" w:styleId="11">
    <w:name w:val="Normal (Web)"/>
    <w:basedOn w:val="1"/>
    <w:qFormat/>
    <w:uiPriority w:val="0"/>
    <w:pPr>
      <w:jc w:val="left"/>
    </w:pPr>
    <w:rPr>
      <w:kern w:val="0"/>
      <w:sz w:val="24"/>
      <w:szCs w:val="24"/>
    </w:rPr>
  </w:style>
  <w:style w:type="paragraph" w:customStyle="1" w:styleId="12">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2385</Words>
  <Characters>2557</Characters>
  <Lines>1</Lines>
  <Paragraphs>1</Paragraphs>
  <TotalTime>9</TotalTime>
  <ScaleCrop>false</ScaleCrop>
  <LinksUpToDate>false</LinksUpToDate>
  <CharactersWithSpaces>2858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东来</cp:lastModifiedBy>
  <cp:lastPrinted>2022-08-29T02:28:00Z</cp:lastPrinted>
  <dcterms:modified xsi:type="dcterms:W3CDTF">2023-09-22T13:54:59Z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6D15349204EB47C29F6FB1574B111696</vt:lpwstr>
  </property>
</Properties>
</file>