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0" w:firstLineChars="200"/>
        <w:rPr>
          <w:rFonts w:hint="eastAsia"/>
          <w:color w:val="212529"/>
          <w:sz w:val="36"/>
          <w:szCs w:val="36"/>
          <w:shd w:val="clear" w:color="auto" w:fill="FFFFFF"/>
        </w:rPr>
      </w:pPr>
      <w:r>
        <w:rPr>
          <w:rFonts w:hint="eastAsia"/>
          <w:color w:val="212529"/>
          <w:sz w:val="36"/>
          <w:szCs w:val="36"/>
          <w:shd w:val="clear" w:color="auto" w:fill="FFFFFF"/>
        </w:rPr>
        <w:t>2021年度区文联整体支出绩效自评报告</w:t>
      </w:r>
      <w:r>
        <w:rPr>
          <w:rFonts w:ascii="Helvetica" w:hAnsi="Helvetica"/>
          <w:color w:val="212529"/>
          <w:sz w:val="36"/>
          <w:szCs w:val="36"/>
        </w:rPr>
        <w:br w:type="textWrapping"/>
      </w:r>
      <w:r>
        <w:rPr>
          <w:rFonts w:ascii="Helvetica" w:hAnsi="Helvetica"/>
          <w:color w:val="212529"/>
          <w:sz w:val="36"/>
          <w:szCs w:val="36"/>
        </w:rPr>
        <w:br w:type="textWrapping"/>
      </w:r>
      <w:r>
        <w:rPr>
          <w:rFonts w:hint="eastAsia"/>
          <w:color w:val="212529"/>
          <w:sz w:val="36"/>
          <w:szCs w:val="36"/>
          <w:shd w:val="clear" w:color="auto" w:fill="FFFFFF"/>
        </w:rPr>
        <w:t>一、部门概况</w:t>
      </w:r>
      <w:r>
        <w:rPr>
          <w:rFonts w:ascii="Helvetica" w:hAnsi="Helvetica"/>
          <w:color w:val="212529"/>
          <w:sz w:val="36"/>
          <w:szCs w:val="36"/>
        </w:rPr>
        <w:br w:type="textWrapping"/>
      </w:r>
      <w:r>
        <w:rPr>
          <w:rFonts w:hint="eastAsia"/>
          <w:color w:val="212529"/>
          <w:sz w:val="36"/>
          <w:szCs w:val="36"/>
          <w:shd w:val="clear" w:color="auto" w:fill="FFFFFF"/>
        </w:rPr>
        <w:t>(一)、单位基本情况</w:t>
      </w:r>
      <w:r>
        <w:rPr>
          <w:rFonts w:ascii="Helvetica" w:hAnsi="Helvetica"/>
          <w:color w:val="212529"/>
          <w:sz w:val="36"/>
          <w:szCs w:val="36"/>
        </w:rPr>
        <w:br w:type="textWrapping"/>
      </w:r>
      <w:r>
        <w:rPr>
          <w:rFonts w:hint="eastAsia"/>
          <w:color w:val="212529"/>
          <w:sz w:val="36"/>
          <w:szCs w:val="36"/>
          <w:shd w:val="clear" w:color="auto" w:fill="FFFFFF"/>
        </w:rPr>
        <w:t>区文联的主要职责是：</w:t>
      </w:r>
      <w:r>
        <w:rPr>
          <w:rFonts w:ascii="Helvetica" w:hAnsi="Helvetica"/>
          <w:color w:val="212529"/>
          <w:sz w:val="36"/>
          <w:szCs w:val="36"/>
        </w:rPr>
        <w:br w:type="textWrapping"/>
      </w:r>
      <w:r>
        <w:rPr>
          <w:rFonts w:hint="eastAsia"/>
          <w:color w:val="212529"/>
          <w:sz w:val="36"/>
          <w:szCs w:val="36"/>
          <w:shd w:val="clear" w:color="auto" w:fill="FFFFFF"/>
        </w:rPr>
        <w:t>1、贯彻党的文艺路线、方针、政策，为繁荣社会主义文艺事业奉献力量。</w:t>
      </w:r>
      <w:r>
        <w:rPr>
          <w:rFonts w:ascii="Helvetica" w:hAnsi="Helvetica"/>
          <w:color w:val="212529"/>
          <w:sz w:val="36"/>
          <w:szCs w:val="36"/>
        </w:rPr>
        <w:br w:type="textWrapping"/>
      </w:r>
      <w:r>
        <w:rPr>
          <w:rFonts w:hint="eastAsia"/>
          <w:color w:val="212529"/>
          <w:sz w:val="36"/>
          <w:szCs w:val="36"/>
          <w:shd w:val="clear" w:color="auto" w:fill="FFFFFF"/>
        </w:rPr>
        <w:t>2、培养良好的职业精神、职业道德，积极推进文艺创新，表彰奖励优秀文艺工作者和文艺作品，发现、培养和扶持文艺人才。</w:t>
      </w:r>
      <w:r>
        <w:rPr>
          <w:rFonts w:ascii="Helvetica" w:hAnsi="Helvetica"/>
          <w:color w:val="212529"/>
          <w:sz w:val="36"/>
          <w:szCs w:val="36"/>
        </w:rPr>
        <w:br w:type="textWrapping"/>
      </w:r>
      <w:r>
        <w:rPr>
          <w:rFonts w:hint="eastAsia"/>
          <w:color w:val="212529"/>
          <w:sz w:val="36"/>
          <w:szCs w:val="36"/>
          <w:shd w:val="clear" w:color="auto" w:fill="FFFFFF"/>
        </w:rPr>
        <w:t>3、对各团体会员开展团结引领、联络、协调、服务工作。2021年有全额参公编制4个，实有在职人员4人，退休1人。下设7个文艺家专业协会。</w:t>
      </w:r>
      <w:r>
        <w:rPr>
          <w:rFonts w:ascii="Helvetica" w:hAnsi="Helvetica"/>
          <w:color w:val="212529"/>
          <w:sz w:val="36"/>
          <w:szCs w:val="36"/>
        </w:rPr>
        <w:br w:type="textWrapping"/>
      </w:r>
      <w:r>
        <w:rPr>
          <w:rFonts w:hint="eastAsia"/>
          <w:color w:val="212529"/>
          <w:sz w:val="36"/>
          <w:szCs w:val="36"/>
          <w:shd w:val="clear" w:color="auto" w:fill="FFFFFF"/>
        </w:rPr>
        <w:t>（二）2021年的重点工作</w:t>
      </w:r>
      <w:r>
        <w:rPr>
          <w:rFonts w:ascii="Helvetica" w:hAnsi="Helvetica"/>
          <w:color w:val="212529"/>
          <w:sz w:val="36"/>
          <w:szCs w:val="36"/>
        </w:rPr>
        <w:br w:type="textWrapping"/>
      </w:r>
      <w:r>
        <w:rPr>
          <w:rFonts w:hint="eastAsia"/>
          <w:color w:val="212529"/>
          <w:sz w:val="36"/>
          <w:szCs w:val="36"/>
          <w:shd w:val="clear" w:color="auto" w:fill="FFFFFF"/>
        </w:rPr>
        <w:t>1、一是全力抓好各项中心工作；二是积极创新各文艺专业协会的管理模式，做好“团结引领、联络协调、服务管理”与各专业协会签订工作目标责任书，鼓励引导创作精品力作、培养优秀专业人才，2021年冷水滩区作家诗人在国内公开发行的纯文学期刊发表作品情况：米祖在2021年第1期《诗刊》下半月刊发表诗歌《纯粹的乡音》1首，胡小白在2021年第1期《诗刊》下半月刊发表诗歌《小雪》1首，毛歆炜在2021年第2期《星火》发表诗歌《刺猬》1首，何畅在2021年第2期《星火》发表诗歌《清晨的鸢尾》1首，陈素凡在2021年第3期《中国校园文学》上旬刊发表诗歌《来处》4首，刘忠华在2021年第3期《草堂》发表诗歌《说起光阴》2首，南枝儿在2021年第3期《散文诗》（青年版）发表诗歌《拓印人间春色》1首，何朝在2021年第4期《散文诗世界》发表诗歌《这一切都在等松尾芭蕉》1首，邓小鹏在2021年第5期《散文诗世界》发表诗歌《门》1首，王一武在2021年《中华辞赋》第六期发表诗歌《宽与窄》1首，这首诗并获得《诗刊》和《中华辞赋》杂志社主办的“人生无处不宽窄”征文优秀奖。张樱子在2021年第9期《诗潮》发表组诗《一匹马它不爱草原》7首，蒋三立在2021年第9期《诗刊》下半月刊发表组诗《街道》8首，毛歆炜在2021年第10期《散文诗世界》发表散文诗《夜曲》3首，王敦权在2021年2期《南风艺术》发表评论《迷醉于绚烂的诗意里——陈小平水彩画解读》、在2021年3期《艺术广角》发表评论《尘世的卑微与灵魂的高贵——冯果果诗歌给我们带来了什么》，胡小白在2021年第11期《草堂》发表诗歌《需要什么来成全生活》3首，王忠民在2021年第11期《草堂》发表散文诗《桂子花开》组章和吕定禄在《诗传媒》2021年第10期发表《横在路上的春天》组诗10首，其《观音山笔记》获《人民文学》主办的第八届“观音山杯·美丽中国”海内外游记征文佳作奖。2021年永州诗人共计在公开刊物发表100余首诗歌作品。</w:t>
      </w:r>
      <w:r>
        <w:rPr>
          <w:rFonts w:ascii="Helvetica" w:hAnsi="Helvetica"/>
          <w:color w:val="212529"/>
          <w:sz w:val="36"/>
          <w:szCs w:val="36"/>
        </w:rPr>
        <w:br w:type="textWrapping"/>
      </w:r>
      <w:r>
        <w:rPr>
          <w:rFonts w:hint="eastAsia"/>
          <w:color w:val="212529"/>
          <w:sz w:val="36"/>
          <w:szCs w:val="36"/>
          <w:shd w:val="clear" w:color="auto" w:fill="FFFFFF"/>
        </w:rPr>
        <w:t>2021年《艺盟》杂志出版年刊一册，发表小说2篇，散文6篇，诗歌46首，评论2篇摄，影作品6张，书法、美术作品12副。</w:t>
      </w:r>
      <w:r>
        <w:rPr>
          <w:rFonts w:ascii="Helvetica" w:hAnsi="Helvetica"/>
          <w:color w:val="212529"/>
          <w:sz w:val="36"/>
          <w:szCs w:val="36"/>
        </w:rPr>
        <w:br w:type="textWrapping"/>
      </w:r>
      <w:r>
        <w:rPr>
          <w:rFonts w:hint="eastAsia"/>
          <w:color w:val="212529"/>
          <w:sz w:val="36"/>
          <w:szCs w:val="36"/>
          <w:shd w:val="clear" w:color="auto" w:fill="FFFFFF"/>
        </w:rPr>
        <w:t>2、组织各文艺协会参加国家、省，市、区举办的各种赛事并将优秀作品进行展览。为传承中华文化，每周在图书馆举办书画公益讲座，促进书香冷水滩书法进校园，能帮助中小学生对中华传统文化的认知、理解和学习，有效地帮助他们培养文化自信，树立文化信仰，增强爱国情怀。组织区怀素书画学会先后到杨村甸乡、银海花园、杨家桥街道等乡村、街道、社区、企业，现场免费为老百姓写春联送福字。与潇湘诗社联合举办“庆百年芳华，谱潇湘新篇”首届“潇湘杯”全国诗歌征文大赛。本次活动面向全国，公众号推出期间每天的点击量最高达到7000多，群众参与度很高。这个赛事，很好地推广了永州的潇湘山水人文，也给潇湘留下了精美的佳作，成效显著，达到一个很好的宣传潇湘文化的效果。2021年7月份，在永州市美术馆，冷水滩美术界成功举办“百年庆华诞、丹青歌盛世”庆祝建党100周年美术作品展。截止2021年，冷水滩区文艺界在省级（省委宣传部、省文联、省文旅厅等）以上文艺作品比赛入展，获奖40余人次，其中书法类12人次，美术类5人次，摄影类23人次。</w:t>
      </w:r>
      <w:r>
        <w:rPr>
          <w:rFonts w:ascii="Helvetica" w:hAnsi="Helvetica"/>
          <w:color w:val="212529"/>
          <w:sz w:val="36"/>
          <w:szCs w:val="36"/>
        </w:rPr>
        <w:br w:type="textWrapping"/>
      </w:r>
      <w:r>
        <w:rPr>
          <w:rFonts w:ascii="Helvetica" w:hAnsi="Helvetica"/>
          <w:color w:val="212529"/>
          <w:sz w:val="36"/>
          <w:szCs w:val="36"/>
        </w:rPr>
        <w:br w:type="textWrapping"/>
      </w:r>
      <w:r>
        <w:rPr>
          <w:rFonts w:hint="eastAsia"/>
          <w:color w:val="212529"/>
          <w:sz w:val="36"/>
          <w:szCs w:val="36"/>
          <w:shd w:val="clear" w:color="auto" w:fill="FFFFFF"/>
        </w:rPr>
        <w:t>二、一般公共预算支出情况</w:t>
      </w:r>
      <w:r>
        <w:rPr>
          <w:rFonts w:ascii="Helvetica" w:hAnsi="Helvetica"/>
          <w:color w:val="212529"/>
          <w:sz w:val="36"/>
          <w:szCs w:val="36"/>
        </w:rPr>
        <w:br w:type="textWrapping"/>
      </w:r>
      <w:r>
        <w:rPr>
          <w:rFonts w:hint="eastAsia"/>
          <w:color w:val="212529"/>
          <w:sz w:val="36"/>
          <w:szCs w:val="36"/>
          <w:shd w:val="clear" w:color="auto" w:fill="FFFFFF"/>
        </w:rPr>
        <w:t>（一）整体支出情况</w:t>
      </w:r>
      <w:r>
        <w:rPr>
          <w:rFonts w:ascii="Helvetica" w:hAnsi="Helvetica"/>
          <w:color w:val="212529"/>
          <w:sz w:val="36"/>
          <w:szCs w:val="36"/>
        </w:rPr>
        <w:br w:type="textWrapping"/>
      </w:r>
      <w:r>
        <w:rPr>
          <w:rFonts w:hint="eastAsia"/>
          <w:color w:val="212529"/>
          <w:sz w:val="36"/>
          <w:szCs w:val="36"/>
          <w:shd w:val="clear" w:color="auto" w:fill="FFFFFF"/>
        </w:rPr>
        <w:t>全年共支出605843元。其中本单位基本支出605843元。</w:t>
      </w:r>
      <w:r>
        <w:rPr>
          <w:rFonts w:ascii="Helvetica" w:hAnsi="Helvetica"/>
          <w:color w:val="212529"/>
          <w:sz w:val="36"/>
          <w:szCs w:val="36"/>
        </w:rPr>
        <w:br w:type="textWrapping"/>
      </w:r>
      <w:r>
        <w:rPr>
          <w:rFonts w:hint="eastAsia"/>
          <w:color w:val="212529"/>
          <w:sz w:val="36"/>
          <w:szCs w:val="36"/>
          <w:shd w:val="clear" w:color="auto" w:fill="FFFFFF"/>
        </w:rPr>
        <w:t>（二）基本支出情况</w:t>
      </w:r>
      <w:r>
        <w:rPr>
          <w:rFonts w:ascii="Helvetica" w:hAnsi="Helvetica"/>
          <w:color w:val="212529"/>
          <w:sz w:val="36"/>
          <w:szCs w:val="36"/>
        </w:rPr>
        <w:br w:type="textWrapping"/>
      </w:r>
      <w:r>
        <w:rPr>
          <w:rFonts w:hint="eastAsia"/>
          <w:color w:val="212529"/>
          <w:sz w:val="36"/>
          <w:szCs w:val="36"/>
          <w:shd w:val="clear" w:color="auto" w:fill="FFFFFF"/>
        </w:rPr>
        <w:t>1、确保单位工作正常运转。包括人员工资、补助、工会、医保、公积金等支出以及办公经费支出计605843元。</w:t>
      </w:r>
      <w:r>
        <w:rPr>
          <w:rFonts w:ascii="Helvetica" w:hAnsi="Helvetica"/>
          <w:color w:val="212529"/>
          <w:sz w:val="36"/>
          <w:szCs w:val="36"/>
        </w:rPr>
        <w:br w:type="textWrapping"/>
      </w:r>
      <w:r>
        <w:rPr>
          <w:rFonts w:hint="eastAsia"/>
          <w:color w:val="212529"/>
          <w:sz w:val="36"/>
          <w:szCs w:val="36"/>
          <w:shd w:val="clear" w:color="auto" w:fill="FFFFFF"/>
        </w:rPr>
        <w:t>三、政府性基金预算支出情况</w:t>
      </w:r>
      <w:r>
        <w:rPr>
          <w:rFonts w:ascii="Helvetica" w:hAnsi="Helvetica"/>
          <w:color w:val="212529"/>
          <w:sz w:val="36"/>
          <w:szCs w:val="36"/>
        </w:rPr>
        <w:br w:type="textWrapping"/>
      </w:r>
      <w:r>
        <w:rPr>
          <w:rFonts w:hint="eastAsia"/>
          <w:color w:val="212529"/>
          <w:sz w:val="36"/>
          <w:szCs w:val="36"/>
          <w:shd w:val="clear" w:color="auto" w:fill="FFFFFF"/>
        </w:rPr>
        <w:t>区文联无政府性基金预算支出。</w:t>
      </w:r>
      <w:r>
        <w:rPr>
          <w:rFonts w:ascii="Helvetica" w:hAnsi="Helvetica"/>
          <w:color w:val="212529"/>
          <w:sz w:val="36"/>
          <w:szCs w:val="36"/>
        </w:rPr>
        <w:br w:type="textWrapping"/>
      </w:r>
      <w:r>
        <w:rPr>
          <w:rFonts w:hint="eastAsia"/>
          <w:color w:val="212529"/>
          <w:sz w:val="36"/>
          <w:szCs w:val="36"/>
          <w:shd w:val="clear" w:color="auto" w:fill="FFFFFF"/>
        </w:rPr>
        <w:t>四、国有资本经营预算支出情况</w:t>
      </w:r>
      <w:r>
        <w:rPr>
          <w:rFonts w:ascii="Helvetica" w:hAnsi="Helvetica"/>
          <w:color w:val="212529"/>
          <w:sz w:val="36"/>
          <w:szCs w:val="36"/>
        </w:rPr>
        <w:br w:type="textWrapping"/>
      </w:r>
      <w:r>
        <w:rPr>
          <w:rFonts w:hint="eastAsia"/>
          <w:color w:val="212529"/>
          <w:sz w:val="36"/>
          <w:szCs w:val="36"/>
          <w:shd w:val="clear" w:color="auto" w:fill="FFFFFF"/>
        </w:rPr>
        <w:t>区文联无国有资本经营预算支出。</w:t>
      </w:r>
      <w:r>
        <w:rPr>
          <w:rFonts w:ascii="Helvetica" w:hAnsi="Helvetica"/>
          <w:color w:val="212529"/>
          <w:sz w:val="36"/>
          <w:szCs w:val="36"/>
        </w:rPr>
        <w:br w:type="textWrapping"/>
      </w:r>
      <w:r>
        <w:rPr>
          <w:rFonts w:hint="eastAsia"/>
          <w:color w:val="212529"/>
          <w:sz w:val="36"/>
          <w:szCs w:val="36"/>
          <w:shd w:val="clear" w:color="auto" w:fill="FFFFFF"/>
        </w:rPr>
        <w:t>五、社会保险基金预算支出情况</w:t>
      </w:r>
      <w:r>
        <w:rPr>
          <w:rFonts w:ascii="Helvetica" w:hAnsi="Helvetica"/>
          <w:color w:val="212529"/>
          <w:sz w:val="36"/>
          <w:szCs w:val="36"/>
        </w:rPr>
        <w:br w:type="textWrapping"/>
      </w:r>
      <w:r>
        <w:rPr>
          <w:rFonts w:hint="eastAsia"/>
          <w:color w:val="212529"/>
          <w:sz w:val="36"/>
          <w:szCs w:val="36"/>
          <w:shd w:val="clear" w:color="auto" w:fill="FFFFFF"/>
        </w:rPr>
        <w:t>区文联无社会保险基金预算支出。</w:t>
      </w:r>
    </w:p>
    <w:p>
      <w:pPr>
        <w:widowControl/>
        <w:rPr>
          <w:rFonts w:ascii="黑体" w:hAnsi="宋体" w:eastAsia="黑体" w:cs="宋体"/>
          <w:bCs/>
          <w:kern w:val="0"/>
          <w:sz w:val="32"/>
          <w:szCs w:val="32"/>
        </w:rPr>
      </w:pPr>
      <w:r>
        <w:rPr>
          <w:rFonts w:hint="eastAsia"/>
          <w:color w:val="212529"/>
          <w:sz w:val="36"/>
          <w:szCs w:val="36"/>
          <w:shd w:val="clear" w:color="auto" w:fill="FFFFFF"/>
        </w:rPr>
        <w:t>六、部门整体支出绩效情况</w:t>
      </w:r>
      <w:r>
        <w:rPr>
          <w:rFonts w:ascii="Helvetica" w:hAnsi="Helvetica"/>
          <w:color w:val="212529"/>
          <w:sz w:val="36"/>
          <w:szCs w:val="36"/>
        </w:rPr>
        <w:br w:type="textWrapping"/>
      </w:r>
      <w:r>
        <w:rPr>
          <w:rFonts w:hint="eastAsia"/>
          <w:color w:val="212529"/>
          <w:sz w:val="36"/>
          <w:szCs w:val="36"/>
          <w:shd w:val="clear" w:color="auto" w:fill="FFFFFF"/>
        </w:rPr>
        <w:t>(一)预算配置控制良好，我单位编制4人，2021年实有人数4人。</w:t>
      </w:r>
      <w:r>
        <w:rPr>
          <w:rFonts w:ascii="Helvetica" w:hAnsi="Helvetica"/>
          <w:color w:val="212529"/>
          <w:sz w:val="36"/>
          <w:szCs w:val="36"/>
        </w:rPr>
        <w:br w:type="textWrapping"/>
      </w:r>
      <w:r>
        <w:rPr>
          <w:rFonts w:hint="eastAsia"/>
          <w:color w:val="212529"/>
          <w:sz w:val="36"/>
          <w:szCs w:val="36"/>
          <w:shd w:val="clear" w:color="auto" w:fill="FFFFFF"/>
        </w:rPr>
        <w:t>(二)预算执行比较到位。预算完成率 100%，在控制率上本年在预算的基础上没有追加。</w:t>
      </w:r>
      <w:r>
        <w:rPr>
          <w:rFonts w:ascii="Helvetica" w:hAnsi="Helvetica"/>
          <w:color w:val="212529"/>
          <w:sz w:val="36"/>
          <w:szCs w:val="36"/>
        </w:rPr>
        <w:br w:type="textWrapping"/>
      </w:r>
      <w:r>
        <w:rPr>
          <w:rFonts w:hint="eastAsia"/>
          <w:color w:val="212529"/>
          <w:sz w:val="36"/>
          <w:szCs w:val="36"/>
          <w:shd w:val="clear" w:color="auto" w:fill="FFFFFF"/>
        </w:rPr>
        <w:t>(三)预算管理较理想。公用经费保障到位，“三公”经费预算合理，并严格控制在预算之内。政府采购严格按采购程序进行。管理制度健全：有内部财务管理制度、内部控制制度、会计核算制度等管理制度。本年度支出的所有资金均由区财政局国库支付，支出符合国家财经法规和财务管理制度规定以及有关专项资金管理办法的规定；资金拨付有完整的审批程序和手续；资金使用无截留、挤占、挪用、虚列支出等情况。</w:t>
      </w:r>
      <w:r>
        <w:rPr>
          <w:rFonts w:ascii="Helvetica" w:hAnsi="Helvetica"/>
          <w:color w:val="212529"/>
          <w:sz w:val="36"/>
          <w:szCs w:val="36"/>
        </w:rPr>
        <w:br w:type="textWrapping"/>
      </w:r>
      <w:r>
        <w:rPr>
          <w:rFonts w:hint="eastAsia"/>
          <w:color w:val="212529"/>
          <w:sz w:val="36"/>
          <w:szCs w:val="36"/>
          <w:shd w:val="clear" w:color="auto" w:fill="FFFFFF"/>
        </w:rPr>
        <w:t>七、绩效自评得分情况及绩效等级。</w:t>
      </w:r>
      <w:r>
        <w:rPr>
          <w:rFonts w:ascii="Helvetica" w:hAnsi="Helvetica"/>
          <w:color w:val="212529"/>
          <w:sz w:val="36"/>
          <w:szCs w:val="36"/>
        </w:rPr>
        <w:br w:type="textWrapping"/>
      </w:r>
      <w:r>
        <w:rPr>
          <w:rFonts w:hint="eastAsia"/>
          <w:color w:val="212529"/>
          <w:sz w:val="36"/>
          <w:szCs w:val="36"/>
          <w:shd w:val="clear" w:color="auto" w:fill="FFFFFF"/>
        </w:rPr>
        <w:t>经过综合评价，区文联2021年绩效自评分为94分，评价等级为“优”具体情况见自评附表。</w:t>
      </w:r>
      <w:r>
        <w:rPr>
          <w:rFonts w:ascii="Helvetica" w:hAnsi="Helvetica"/>
          <w:color w:val="212529"/>
          <w:sz w:val="36"/>
          <w:szCs w:val="36"/>
        </w:rPr>
        <w:br w:type="textWrapping"/>
      </w:r>
      <w:r>
        <w:rPr>
          <w:rFonts w:hint="eastAsia"/>
          <w:color w:val="212529"/>
          <w:sz w:val="36"/>
          <w:szCs w:val="36"/>
          <w:shd w:val="clear" w:color="auto" w:fill="FFFFFF"/>
        </w:rPr>
        <w:t>八、存在的问题及原因分析</w:t>
      </w:r>
      <w:bookmarkStart w:id="0" w:name="_GoBack"/>
      <w:bookmarkEnd w:id="0"/>
      <w:r>
        <w:rPr>
          <w:rFonts w:ascii="Helvetica" w:hAnsi="Helvetica"/>
          <w:color w:val="212529"/>
          <w:sz w:val="36"/>
          <w:szCs w:val="36"/>
        </w:rPr>
        <w:br w:type="textWrapping"/>
      </w:r>
      <w:r>
        <w:rPr>
          <w:rFonts w:hint="eastAsia"/>
          <w:color w:val="212529"/>
          <w:sz w:val="36"/>
          <w:szCs w:val="36"/>
          <w:shd w:val="clear" w:color="auto" w:fill="FFFFFF"/>
        </w:rPr>
        <w:t>年初预算不够精细。年初预算编制比较粗放，没有真正建立零基础预算编制体系，缺乏科学的定量分析。预算绩效管理缺乏专职专业管理人员。</w:t>
      </w:r>
      <w:r>
        <w:rPr>
          <w:rFonts w:ascii="Helvetica" w:hAnsi="Helvetica"/>
          <w:color w:val="212529"/>
          <w:sz w:val="36"/>
          <w:szCs w:val="36"/>
        </w:rPr>
        <w:br w:type="textWrapping"/>
      </w:r>
      <w:r>
        <w:rPr>
          <w:rFonts w:hint="eastAsia"/>
          <w:color w:val="212529"/>
          <w:sz w:val="36"/>
          <w:szCs w:val="36"/>
          <w:shd w:val="clear" w:color="auto" w:fill="FFFFFF"/>
        </w:rPr>
        <w:t>九、改进措施和有关建议</w:t>
      </w:r>
      <w:r>
        <w:rPr>
          <w:rFonts w:ascii="Helvetica" w:hAnsi="Helvetica"/>
          <w:color w:val="212529"/>
          <w:sz w:val="36"/>
          <w:szCs w:val="36"/>
        </w:rPr>
        <w:br w:type="textWrapping"/>
      </w:r>
      <w:r>
        <w:rPr>
          <w:rFonts w:hint="eastAsia"/>
          <w:color w:val="212529"/>
          <w:sz w:val="36"/>
          <w:szCs w:val="36"/>
          <w:shd w:val="clear" w:color="auto" w:fill="FFFFFF"/>
        </w:rPr>
        <w:t>建议进一步加大宣传、指导和培训力度。部门整体支出</w:t>
      </w:r>
      <w:r>
        <w:rPr>
          <w:rFonts w:ascii="Helvetica" w:hAnsi="Helvetica"/>
          <w:color w:val="212529"/>
          <w:sz w:val="36"/>
          <w:szCs w:val="36"/>
        </w:rPr>
        <w:br w:type="textWrapping"/>
      </w:r>
      <w:r>
        <w:rPr>
          <w:rFonts w:hint="eastAsia"/>
          <w:color w:val="212529"/>
          <w:sz w:val="36"/>
          <w:szCs w:val="36"/>
          <w:shd w:val="clear" w:color="auto" w:fill="FFFFFF"/>
        </w:rPr>
        <w:t>绩效评估是一项与时俱进工作，需要进一步加大宣传力度，营造出预算整体支出绩效评估的良好氛围，让预算整体支出绩效评估理念贯穿于财务工作始终。财政绩效管理部门加强对部门的指导和培训力度，让每个预算单位都有真正懂得预算绩效管理、评估的行家里手。</w:t>
      </w:r>
      <w:r>
        <w:rPr>
          <w:rFonts w:ascii="Helvetica" w:hAnsi="Helvetica"/>
          <w:color w:val="212529"/>
          <w:sz w:val="36"/>
          <w:szCs w:val="36"/>
        </w:rPr>
        <w:br w:type="textWrapping"/>
      </w:r>
      <w:r>
        <w:rPr>
          <w:rFonts w:hint="eastAsia"/>
          <w:color w:val="212529"/>
          <w:sz w:val="36"/>
          <w:szCs w:val="36"/>
          <w:shd w:val="clear" w:color="auto" w:fill="FFFFFF"/>
        </w:rPr>
        <w:t>十、其他需要说明的情况</w:t>
      </w:r>
      <w:r>
        <w:rPr>
          <w:rFonts w:ascii="Helvetica" w:hAnsi="Helvetica"/>
          <w:color w:val="212529"/>
          <w:sz w:val="36"/>
          <w:szCs w:val="36"/>
        </w:rPr>
        <w:br w:type="textWrapping"/>
      </w:r>
      <w:r>
        <w:rPr>
          <w:rFonts w:hint="eastAsia"/>
          <w:color w:val="212529"/>
          <w:sz w:val="36"/>
          <w:szCs w:val="36"/>
          <w:shd w:val="clear" w:color="auto" w:fill="FFFFFF"/>
        </w:rPr>
        <w:t>本单位2021年无政府性基金预算，无国有资本经营预算，无重点项目工程。</w:t>
      </w: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年度区文联</w:t>
      </w:r>
      <w:r>
        <w:rPr>
          <w:rFonts w:hint="eastAsia" w:eastAsia="方正小标宋_GBK"/>
          <w:kern w:val="0"/>
          <w:sz w:val="44"/>
          <w:szCs w:val="44"/>
        </w:rPr>
        <w:t>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4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6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8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6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6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94</w:t>
            </w:r>
          </w:p>
        </w:tc>
      </w:tr>
    </w:tbl>
    <w:p>
      <w:pPr>
        <w:rPr>
          <w:rFonts w:ascii="仿宋" w:hAnsi="仿宋" w:eastAsia="仿宋"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4ZTIzODQ2ZmM1MmVlNDc2YTU3Zjc3MzgxNGIyYzYifQ=="/>
  </w:docVars>
  <w:rsids>
    <w:rsidRoot w:val="1F33595A"/>
    <w:rsid w:val="00141504"/>
    <w:rsid w:val="00274F0E"/>
    <w:rsid w:val="008C0605"/>
    <w:rsid w:val="00B97D78"/>
    <w:rsid w:val="00E70E9E"/>
    <w:rsid w:val="00F26044"/>
    <w:rsid w:val="00F56A73"/>
    <w:rsid w:val="1F33595A"/>
    <w:rsid w:val="7E9C0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eastAsia="宋体" w:cs="Calibri"/>
      <w:kern w:val="2"/>
      <w:sz w:val="18"/>
      <w:szCs w:val="18"/>
    </w:rPr>
  </w:style>
  <w:style w:type="character" w:customStyle="1" w:styleId="7">
    <w:name w:val="页脚 Char"/>
    <w:basedOn w:val="5"/>
    <w:link w:val="2"/>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649</Words>
  <Characters>3702</Characters>
  <Lines>30</Lines>
  <Paragraphs>8</Paragraphs>
  <TotalTime>2</TotalTime>
  <ScaleCrop>false</ScaleCrop>
  <LinksUpToDate>false</LinksUpToDate>
  <CharactersWithSpaces>4343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2022-08-26T05:59:00Z</dcterms:created>
  <dc:creator>安.</dc:creator>
  <cp:lastModifiedBy>东来</cp:lastModifiedBy>
  <dcterms:modified xsi:type="dcterms:W3CDTF">2023-09-22T11:00:32Z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37A568033411417A9E046DDA29526CF4</vt:lpwstr>
  </property>
</Properties>
</file>