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1" w:afterAutospacing="0"/>
        <w:jc w:val="center"/>
      </w:pPr>
      <w:r>
        <w:rPr>
          <w:rFonts w:ascii="宋体" w:hAnsi="宋体" w:eastAsia="宋体" w:cs="宋体"/>
          <w:color w:val="000000"/>
          <w:sz w:val="44"/>
          <w:szCs w:val="44"/>
        </w:rPr>
        <w:t>2021年度</w:t>
      </w:r>
      <w:r>
        <w:rPr>
          <w:rFonts w:hint="eastAsia" w:ascii="宋体" w:hAnsi="宋体" w:eastAsia="宋体" w:cs="宋体"/>
          <w:color w:val="000000"/>
          <w:sz w:val="44"/>
          <w:szCs w:val="44"/>
          <w:lang w:val="en-US" w:eastAsia="zh-CN"/>
        </w:rPr>
        <w:t>永州市</w:t>
      </w:r>
      <w:r>
        <w:rPr>
          <w:rFonts w:ascii="宋体" w:hAnsi="宋体" w:eastAsia="宋体" w:cs="宋体"/>
          <w:color w:val="000000"/>
          <w:sz w:val="44"/>
          <w:szCs w:val="44"/>
        </w:rPr>
        <w:t>冷水滩区文学艺术界联合会部门决算</w:t>
      </w:r>
      <w:r>
        <w:rPr>
          <w:color w:val="000000"/>
        </w:rPr>
        <w:t xml:space="preserve"> </w:t>
      </w:r>
    </w:p>
    <w:p>
      <w:pPr>
        <w:spacing w:before="0" w:beforeAutospacing="0" w:after="1" w:afterAutospacing="0"/>
        <w:jc w:val="center"/>
        <w:rPr>
          <w:sz w:val="21"/>
          <w:szCs w:val="21"/>
        </w:rPr>
      </w:pPr>
      <w:r>
        <w:rPr>
          <w:color w:val="000000"/>
          <w:sz w:val="32"/>
          <w:szCs w:val="32"/>
        </w:rPr>
        <w:t> </w:t>
      </w:r>
      <w:r>
        <w:rPr>
          <w:color w:val="000000"/>
          <w:sz w:val="21"/>
          <w:szCs w:val="21"/>
        </w:rPr>
        <w:t xml:space="preserve"> </w:t>
      </w:r>
    </w:p>
    <w:p>
      <w:pPr>
        <w:spacing w:before="0" w:beforeAutospacing="0" w:after="1"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1" w:afterAutospacing="0"/>
        <w:jc w:val="center"/>
        <w:rPr>
          <w:sz w:val="21"/>
          <w:szCs w:val="21"/>
        </w:rPr>
      </w:pP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第一部分 </w:t>
      </w:r>
      <w:r>
        <w:rPr>
          <w:rFonts w:hint="eastAsia" w:ascii="宋体" w:hAnsi="宋体" w:eastAsia="宋体" w:cs="宋体"/>
          <w:b/>
          <w:bCs/>
          <w:color w:val="000000"/>
          <w:sz w:val="32"/>
          <w:szCs w:val="32"/>
          <w:lang w:val="en-US" w:eastAsia="zh-CN"/>
        </w:rPr>
        <w:t>永州市</w:t>
      </w:r>
      <w:r>
        <w:rPr>
          <w:rFonts w:hint="eastAsia" w:ascii="宋体" w:hAnsi="宋体" w:eastAsia="宋体" w:cs="宋体"/>
          <w:b/>
          <w:bCs/>
          <w:color w:val="000000"/>
          <w:sz w:val="32"/>
          <w:szCs w:val="32"/>
        </w:rPr>
        <w:t>冷水滩区文学艺术界联合会概况</w:t>
      </w:r>
      <w:r>
        <w:rPr>
          <w:color w:val="000000"/>
          <w:sz w:val="27"/>
          <w:szCs w:val="27"/>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4"/>
        <w:spacing w:before="0" w:beforeAutospacing="0" w:after="1"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4"/>
        <w:spacing w:before="0" w:beforeAutospacing="0" w:after="1"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1" w:afterAutospacing="0" w:line="600" w:lineRule="atLeast"/>
        <w:ind w:left="0" w:right="0"/>
        <w:jc w:val="center"/>
        <w:rPr>
          <w:sz w:val="21"/>
          <w:szCs w:val="21"/>
        </w:rPr>
      </w:pPr>
      <w:r>
        <w:rPr>
          <w:rFonts w:hint="eastAsia" w:ascii="宋体" w:hAnsi="宋体" w:eastAsia="宋体" w:cs="宋体"/>
          <w:b/>
          <w:bCs/>
          <w:color w:val="000000"/>
          <w:sz w:val="36"/>
          <w:szCs w:val="36"/>
        </w:rPr>
        <w:t>第一部分 冷水滩区文学艺术界联合会概况</w:t>
      </w:r>
      <w:r>
        <w:rPr>
          <w:b/>
          <w:bCs/>
          <w:color w:val="000000"/>
          <w:sz w:val="21"/>
          <w:szCs w:val="21"/>
        </w:rPr>
        <w:t xml:space="preserve"> </w:t>
      </w:r>
    </w:p>
    <w:p>
      <w:pPr>
        <w:pStyle w:val="9"/>
        <w:keepNext w:val="0"/>
        <w:keepLines w:val="0"/>
        <w:widowControl/>
        <w:suppressLineNumbers w:val="0"/>
        <w:spacing w:before="0" w:beforeAutospacing="0" w:after="1" w:afterAutospacing="0"/>
      </w:pPr>
    </w:p>
    <w:p>
      <w:pPr>
        <w:pStyle w:val="9"/>
        <w:keepNext w:val="0"/>
        <w:keepLines w:val="0"/>
        <w:widowControl/>
        <w:suppressLineNumbers w:val="0"/>
        <w:spacing w:before="0" w:beforeAutospacing="0" w:after="1" w:afterAutospacing="0"/>
        <w:ind w:left="0" w:right="0" w:firstLine="0"/>
      </w:pPr>
      <w:r>
        <w:rPr>
          <w:rFonts w:hint="eastAsia" w:ascii="黑体" w:hAnsi="宋体" w:eastAsia="黑体" w:cs="黑体"/>
          <w:color w:val="000000"/>
          <w:sz w:val="32"/>
          <w:szCs w:val="32"/>
        </w:rPr>
        <w:t> </w:t>
      </w:r>
      <w:r>
        <w:rPr>
          <w:color w:val="000000"/>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4"/>
        <w:spacing w:before="0" w:beforeAutospacing="0" w:after="1" w:afterAutospacing="0"/>
        <w:ind w:left="0" w:firstLine="641"/>
        <w:rPr>
          <w:sz w:val="27"/>
          <w:szCs w:val="27"/>
        </w:rPr>
      </w:pPr>
      <w:r>
        <w:rPr>
          <w:rFonts w:ascii="宋体" w:hAnsi="宋体" w:eastAsia="宋体" w:cs="宋体"/>
          <w:color w:val="000000"/>
          <w:sz w:val="32"/>
          <w:szCs w:val="32"/>
        </w:rPr>
        <w:t>（一）贯彻党的文艺路线、方针、政策，为繁荣社会主义文艺事业奉献力量。</w:t>
      </w:r>
      <w:r>
        <w:rPr>
          <w:color w:val="000000"/>
          <w:sz w:val="32"/>
          <w:szCs w:val="32"/>
        </w:rPr>
        <w:t xml:space="preserve"> </w:t>
      </w:r>
    </w:p>
    <w:p>
      <w:pPr>
        <w:pStyle w:val="14"/>
        <w:spacing w:before="0" w:beforeAutospacing="0" w:after="1" w:afterAutospacing="0"/>
        <w:ind w:left="0" w:firstLine="641"/>
        <w:rPr>
          <w:sz w:val="27"/>
          <w:szCs w:val="27"/>
        </w:rPr>
      </w:pPr>
      <w:r>
        <w:rPr>
          <w:rFonts w:ascii="宋体" w:hAnsi="宋体" w:eastAsia="宋体" w:cs="宋体"/>
          <w:color w:val="000000"/>
          <w:sz w:val="32"/>
          <w:szCs w:val="32"/>
        </w:rPr>
        <w:t>（二）培养良好的职业精神、职业道德，积极推进文艺创新，表彰奖励优秀文艺工作者和文艺作品，发现、培养和扶持文艺人才。</w:t>
      </w:r>
      <w:r>
        <w:rPr>
          <w:color w:val="000000"/>
          <w:sz w:val="32"/>
          <w:szCs w:val="32"/>
        </w:rPr>
        <w:t xml:space="preserve"> </w:t>
      </w:r>
    </w:p>
    <w:p>
      <w:pPr>
        <w:pStyle w:val="14"/>
        <w:spacing w:before="0" w:beforeAutospacing="0" w:after="1" w:afterAutospacing="0"/>
        <w:ind w:left="0" w:firstLine="641"/>
        <w:rPr>
          <w:sz w:val="27"/>
          <w:szCs w:val="27"/>
        </w:rPr>
      </w:pPr>
      <w:r>
        <w:rPr>
          <w:rFonts w:ascii="宋体" w:hAnsi="宋体" w:eastAsia="宋体" w:cs="宋体"/>
          <w:color w:val="000000"/>
          <w:sz w:val="32"/>
          <w:szCs w:val="32"/>
        </w:rPr>
        <w:t>（三）对各团体会员开展团结引领、联络、协调、服务、维权工作。</w:t>
      </w:r>
      <w:r>
        <w:rPr>
          <w:color w:val="000000"/>
          <w:sz w:val="32"/>
          <w:szCs w:val="32"/>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冷水滩区文学艺术界联合会内设机构包括：全额参公编制4个，实有在职人员4人，退休1人。下设7个文艺家专业协会。</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4"/>
        <w:spacing w:before="0" w:beforeAutospacing="0" w:after="1" w:afterAutospacing="0"/>
        <w:ind w:left="0" w:firstLine="641"/>
        <w:rPr>
          <w:sz w:val="27"/>
          <w:szCs w:val="27"/>
        </w:rPr>
      </w:pPr>
      <w:r>
        <w:rPr>
          <w:rFonts w:ascii="宋体" w:hAnsi="宋体" w:eastAsia="宋体" w:cs="宋体"/>
          <w:color w:val="000000"/>
          <w:sz w:val="32"/>
          <w:szCs w:val="32"/>
        </w:rPr>
        <w:t>冷水滩区文学艺术界联合会为一级预算单位，无独立二级单位，因此本次决算公开单位为冷水滩区文学艺术界联合会本级。</w:t>
      </w:r>
      <w:r>
        <w:rPr>
          <w:color w:val="000000"/>
          <w:sz w:val="27"/>
          <w:szCs w:val="27"/>
        </w:rPr>
        <w:t xml:space="preserve"> </w:t>
      </w:r>
    </w:p>
    <w:p>
      <w:pPr>
        <w:rPr>
          <w:color w:val="000000"/>
        </w:rPr>
        <w:sectPr>
          <w:pgSz w:w="11906" w:h="16838" w:orient="landscape"/>
          <w:pgMar w:top="1440" w:right="1080" w:bottom="1440" w:left="1080" w:header="851" w:footer="992" w:gutter="0"/>
          <w:cols w:space="0" w:num="1"/>
          <w:docGrid w:type="lines" w:linePitch="160" w:charSpace="0"/>
        </w:sectPr>
      </w:pPr>
    </w:p>
    <w:p>
      <w:pPr>
        <w:spacing w:before="0" w:beforeAutospacing="0" w:after="1" w:afterAutospacing="0"/>
        <w:ind w:left="0" w:firstLine="721"/>
        <w:jc w:val="center"/>
        <w:rPr>
          <w:sz w:val="21"/>
          <w:szCs w:val="21"/>
        </w:rPr>
      </w:pPr>
    </w:p>
    <w:p>
      <w:pPr>
        <w:spacing w:before="0" w:beforeAutospacing="0" w:after="1"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1" w:afterAutospacing="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shd w:val="clear" w:color="auto" w:fill="auto"/>
            <w:vAlign w:val="center"/>
          </w:tcPr>
          <w:p>
            <w:pPr>
              <w:pStyle w:val="9"/>
              <w:keepNext w:val="0"/>
              <w:keepLines w:val="0"/>
              <w:widowControl/>
              <w:suppressLineNumbers w:val="0"/>
            </w:pPr>
          </w:p>
        </w:tc>
        <w:tc>
          <w:tcPr>
            <w:tcW w:w="202" w:type="pct"/>
            <w:shd w:val="clear" w:color="auto" w:fill="auto"/>
            <w:vAlign w:val="center"/>
          </w:tcPr>
          <w:p>
            <w:pPr>
              <w:pStyle w:val="9"/>
              <w:keepNext w:val="0"/>
              <w:keepLines w:val="0"/>
              <w:widowControl/>
              <w:suppressLineNumbers w:val="0"/>
            </w:pPr>
          </w:p>
        </w:tc>
        <w:tc>
          <w:tcPr>
            <w:tcW w:w="799" w:type="pct"/>
            <w:shd w:val="clear" w:color="auto" w:fill="auto"/>
            <w:vAlign w:val="center"/>
          </w:tcPr>
          <w:p>
            <w:pPr>
              <w:pStyle w:val="9"/>
              <w:keepNext w:val="0"/>
              <w:keepLines w:val="0"/>
              <w:widowControl/>
              <w:suppressLineNumbers w:val="0"/>
            </w:pPr>
          </w:p>
        </w:tc>
        <w:tc>
          <w:tcPr>
            <w:tcW w:w="1497" w:type="pct"/>
            <w:shd w:val="clear" w:color="auto" w:fill="auto"/>
            <w:vAlign w:val="center"/>
          </w:tcPr>
          <w:p>
            <w:pPr>
              <w:pStyle w:val="9"/>
              <w:keepNext w:val="0"/>
              <w:keepLines w:val="0"/>
              <w:widowControl/>
              <w:suppressLineNumbers w:val="0"/>
            </w:pPr>
          </w:p>
        </w:tc>
        <w:tc>
          <w:tcPr>
            <w:tcW w:w="100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100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收入 </w:t>
            </w:r>
          </w:p>
        </w:tc>
        <w:tc>
          <w:tcPr>
            <w:tcW w:w="250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60.58 </w:t>
            </w: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三、国有资本经营预算财政拨款收入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四、上级补助收入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五、事业收入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六、经营收入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七、附属单位上缴收入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八、其他收入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24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25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26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使用非财政拨款结余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结余分配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年初结转和结余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年末结转和结余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1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20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7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注：本表反映部门本年度的总收支和年末结转结余情况。本表金额转换为万元时，因四舍五入可能存在尾数误差。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color="auto" w:fill="auto"/>
            <w:vAlign w:val="center"/>
          </w:tcPr>
          <w:p>
            <w:pPr>
              <w:pStyle w:val="9"/>
              <w:keepNext w:val="0"/>
              <w:keepLines w:val="0"/>
              <w:widowControl/>
              <w:suppressLineNumbers w:val="0"/>
            </w:pPr>
          </w:p>
        </w:tc>
        <w:tc>
          <w:tcPr>
            <w:tcW w:w="113" w:type="pct"/>
            <w:shd w:val="clear" w:color="auto" w:fill="auto"/>
            <w:vAlign w:val="center"/>
          </w:tcPr>
          <w:p>
            <w:pPr>
              <w:pStyle w:val="9"/>
              <w:keepNext w:val="0"/>
              <w:keepLines w:val="0"/>
              <w:widowControl/>
              <w:suppressLineNumbers w:val="0"/>
            </w:pPr>
          </w:p>
        </w:tc>
        <w:tc>
          <w:tcPr>
            <w:tcW w:w="113" w:type="pct"/>
            <w:shd w:val="clear" w:color="auto" w:fill="auto"/>
            <w:vAlign w:val="center"/>
          </w:tcPr>
          <w:p>
            <w:pPr>
              <w:pStyle w:val="9"/>
              <w:keepNext w:val="0"/>
              <w:keepLines w:val="0"/>
              <w:widowControl/>
              <w:suppressLineNumbers w:val="0"/>
            </w:pPr>
          </w:p>
        </w:tc>
        <w:tc>
          <w:tcPr>
            <w:tcW w:w="995" w:type="pct"/>
            <w:shd w:val="clear" w:color="auto" w:fill="auto"/>
            <w:vAlign w:val="center"/>
          </w:tcPr>
          <w:p>
            <w:pPr>
              <w:pStyle w:val="9"/>
              <w:keepNext w:val="0"/>
              <w:keepLines w:val="0"/>
              <w:widowControl/>
              <w:suppressLineNumbers w:val="0"/>
            </w:pPr>
          </w:p>
        </w:tc>
        <w:tc>
          <w:tcPr>
            <w:tcW w:w="678"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99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公开02表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99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本年收入合计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财政拨款收入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上级补助收入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事业收入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经营收入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附属单位上缴收入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 </w:t>
            </w: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文化和旅游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2070101 </w:t>
            </w: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41.24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41.24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2070102 </w:t>
            </w: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3.00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3.00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99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6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97"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注：本表反映部门本年度取得的各项收入情况。本表金额转换为万元时，因四舍五入可能存在尾数误差。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5" w:type="pct"/>
            <w:shd w:val="clear" w:color="auto" w:fill="auto"/>
            <w:vAlign w:val="center"/>
          </w:tcPr>
          <w:p>
            <w:pPr>
              <w:pStyle w:val="9"/>
              <w:keepNext w:val="0"/>
              <w:keepLines w:val="0"/>
              <w:widowControl/>
              <w:suppressLineNumbers w:val="0"/>
            </w:pPr>
          </w:p>
        </w:tc>
        <w:tc>
          <w:tcPr>
            <w:tcW w:w="125" w:type="pct"/>
            <w:shd w:val="clear" w:color="auto" w:fill="auto"/>
            <w:vAlign w:val="center"/>
          </w:tcPr>
          <w:p>
            <w:pPr>
              <w:pStyle w:val="9"/>
              <w:keepNext w:val="0"/>
              <w:keepLines w:val="0"/>
              <w:widowControl/>
              <w:suppressLineNumbers w:val="0"/>
            </w:pPr>
          </w:p>
        </w:tc>
        <w:tc>
          <w:tcPr>
            <w:tcW w:w="125" w:type="pct"/>
            <w:shd w:val="clear" w:color="auto" w:fill="auto"/>
            <w:vAlign w:val="center"/>
          </w:tcPr>
          <w:p>
            <w:pPr>
              <w:pStyle w:val="9"/>
              <w:keepNext w:val="0"/>
              <w:keepLines w:val="0"/>
              <w:widowControl/>
              <w:suppressLineNumbers w:val="0"/>
            </w:pPr>
          </w:p>
        </w:tc>
        <w:tc>
          <w:tcPr>
            <w:tcW w:w="1105" w:type="pct"/>
            <w:shd w:val="clear" w:color="auto" w:fill="auto"/>
            <w:vAlign w:val="center"/>
          </w:tcPr>
          <w:p>
            <w:pPr>
              <w:pStyle w:val="9"/>
              <w:keepNext w:val="0"/>
              <w:keepLines w:val="0"/>
              <w:widowControl/>
              <w:suppressLineNumbers w:val="0"/>
            </w:pPr>
          </w:p>
        </w:tc>
        <w:tc>
          <w:tcPr>
            <w:tcW w:w="753" w:type="pct"/>
            <w:shd w:val="clear" w:color="auto" w:fill="auto"/>
            <w:vAlign w:val="center"/>
          </w:tcPr>
          <w:p>
            <w:pPr>
              <w:pStyle w:val="9"/>
              <w:keepNext w:val="0"/>
              <w:keepLines w:val="0"/>
              <w:widowControl/>
              <w:suppressLineNumbers w:val="0"/>
            </w:pPr>
          </w:p>
        </w:tc>
        <w:tc>
          <w:tcPr>
            <w:tcW w:w="552" w:type="pct"/>
            <w:shd w:val="clear" w:color="auto" w:fill="auto"/>
            <w:vAlign w:val="center"/>
          </w:tcPr>
          <w:p>
            <w:pPr>
              <w:pStyle w:val="9"/>
              <w:keepNext w:val="0"/>
              <w:keepLines w:val="0"/>
              <w:widowControl/>
              <w:suppressLineNumbers w:val="0"/>
            </w:pPr>
          </w:p>
        </w:tc>
        <w:tc>
          <w:tcPr>
            <w:tcW w:w="552" w:type="pct"/>
            <w:shd w:val="clear" w:color="auto" w:fill="auto"/>
            <w:vAlign w:val="center"/>
          </w:tcPr>
          <w:p>
            <w:pPr>
              <w:pStyle w:val="9"/>
              <w:keepNext w:val="0"/>
              <w:keepLines w:val="0"/>
              <w:widowControl/>
              <w:suppressLineNumbers w:val="0"/>
            </w:pPr>
          </w:p>
        </w:tc>
        <w:tc>
          <w:tcPr>
            <w:tcW w:w="552" w:type="pct"/>
            <w:shd w:val="clear" w:color="auto" w:fill="auto"/>
            <w:vAlign w:val="center"/>
          </w:tcPr>
          <w:p>
            <w:pPr>
              <w:pStyle w:val="9"/>
              <w:keepNext w:val="0"/>
              <w:keepLines w:val="0"/>
              <w:widowControl/>
              <w:suppressLineNumbers w:val="0"/>
            </w:pPr>
          </w:p>
        </w:tc>
        <w:tc>
          <w:tcPr>
            <w:tcW w:w="110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公开03表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110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上缴上级支出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经营支出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文化和旅游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2070101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41.24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41.24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2070102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3.00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3.00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10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7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55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注：本表反映部门本年度各项支出情况。本表金额转换为万元时，因四舍五入可能存在尾数误差。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财政拨款收入支出决算总表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486" w:type="pct"/>
            <w:shd w:val="clear" w:color="auto" w:fill="auto"/>
            <w:vAlign w:val="center"/>
          </w:tcPr>
          <w:p>
            <w:pPr>
              <w:pStyle w:val="9"/>
              <w:keepNext w:val="0"/>
              <w:keepLines w:val="0"/>
              <w:widowControl/>
              <w:suppressLineNumbers w:val="0"/>
            </w:pPr>
          </w:p>
        </w:tc>
        <w:tc>
          <w:tcPr>
            <w:tcW w:w="1151"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664" w:type="pct"/>
            <w:shd w:val="clear" w:color="auto" w:fill="auto"/>
            <w:vAlign w:val="center"/>
          </w:tcPr>
          <w:p>
            <w:pPr>
              <w:pStyle w:val="9"/>
              <w:keepNext w:val="0"/>
              <w:keepLines w:val="0"/>
              <w:widowControl/>
              <w:suppressLineNumbers w:val="0"/>
            </w:pPr>
          </w:p>
        </w:tc>
        <w:tc>
          <w:tcPr>
            <w:tcW w:w="456" w:type="pct"/>
            <w:shd w:val="clear" w:color="auto" w:fill="auto"/>
            <w:vAlign w:val="center"/>
          </w:tcPr>
          <w:p>
            <w:pPr>
              <w:pStyle w:val="9"/>
              <w:keepNext w:val="0"/>
              <w:keepLines w:val="0"/>
              <w:widowControl/>
              <w:suppressLineNumbers w:val="0"/>
            </w:pPr>
          </w:p>
        </w:tc>
        <w:tc>
          <w:tcPr>
            <w:tcW w:w="91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公开04表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91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收 入 </w:t>
            </w:r>
          </w:p>
        </w:tc>
        <w:tc>
          <w:tcPr>
            <w:tcW w:w="3349"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一般公共预算财政拨款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政府性基金预算财政拨款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国有资本经营预算财政拨款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60.58 </w:t>
            </w: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三、国有资本经营财政拨款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24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25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26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年初财政拨款结转和结余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年末财政拨款结转和结余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一般公共预算财政拨款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政府性基金预算财政拨款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国有资本经营预算财政拨款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63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48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1151"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16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64 </w:t>
            </w:r>
          </w:p>
        </w:tc>
        <w:tc>
          <w:tcPr>
            <w:tcW w:w="6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5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1" w:type="pct"/>
            <w:shd w:val="clear" w:color="auto" w:fill="auto"/>
            <w:vAlign w:val="center"/>
          </w:tcPr>
          <w:p>
            <w:pPr>
              <w:pStyle w:val="9"/>
              <w:keepNext w:val="0"/>
              <w:keepLines w:val="0"/>
              <w:widowControl/>
              <w:suppressLineNumbers w:val="0"/>
            </w:pPr>
          </w:p>
        </w:tc>
        <w:tc>
          <w:tcPr>
            <w:tcW w:w="141" w:type="pct"/>
            <w:shd w:val="clear" w:color="auto" w:fill="auto"/>
            <w:vAlign w:val="center"/>
          </w:tcPr>
          <w:p>
            <w:pPr>
              <w:pStyle w:val="9"/>
              <w:keepNext w:val="0"/>
              <w:keepLines w:val="0"/>
              <w:widowControl/>
              <w:suppressLineNumbers w:val="0"/>
            </w:pPr>
          </w:p>
        </w:tc>
        <w:tc>
          <w:tcPr>
            <w:tcW w:w="141" w:type="pct"/>
            <w:shd w:val="clear" w:color="auto" w:fill="auto"/>
            <w:vAlign w:val="center"/>
          </w:tcPr>
          <w:p>
            <w:pPr>
              <w:pStyle w:val="9"/>
              <w:keepNext w:val="0"/>
              <w:keepLines w:val="0"/>
              <w:widowControl/>
              <w:suppressLineNumbers w:val="0"/>
            </w:pPr>
          </w:p>
        </w:tc>
        <w:tc>
          <w:tcPr>
            <w:tcW w:w="1683" w:type="pct"/>
            <w:shd w:val="clear" w:color="auto" w:fill="auto"/>
            <w:vAlign w:val="center"/>
          </w:tcPr>
          <w:p>
            <w:pPr>
              <w:pStyle w:val="9"/>
              <w:keepNext w:val="0"/>
              <w:keepLines w:val="0"/>
              <w:widowControl/>
              <w:suppressLineNumbers w:val="0"/>
            </w:pPr>
          </w:p>
        </w:tc>
        <w:tc>
          <w:tcPr>
            <w:tcW w:w="964" w:type="pct"/>
            <w:shd w:val="clear" w:color="auto" w:fill="auto"/>
            <w:vAlign w:val="center"/>
          </w:tcPr>
          <w:p>
            <w:pPr>
              <w:pStyle w:val="9"/>
              <w:keepNext w:val="0"/>
              <w:keepLines w:val="0"/>
              <w:widowControl/>
              <w:suppressLineNumbers w:val="0"/>
            </w:pPr>
          </w:p>
        </w:tc>
        <w:tc>
          <w:tcPr>
            <w:tcW w:w="1928"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公开05表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1928"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892"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60.58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 </w:t>
            </w: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文化旅游体育与传媒支出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 </w:t>
            </w: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文化和旅游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44.24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2070101 </w:t>
            </w: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41.24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41.24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2070102 </w:t>
            </w: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一般行政管理事务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3.00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3.00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68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96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注：本表反映部门本年度一般公共预算财政拨款支出情况。本表金额转换为万元时，因四舍五入可能存在尾数误差。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一般公共预算财政拨款基本支出决算明细表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shd w:val="clear" w:color="auto" w:fill="auto"/>
            <w:vAlign w:val="center"/>
          </w:tcPr>
          <w:p>
            <w:pPr>
              <w:pStyle w:val="9"/>
              <w:keepNext w:val="0"/>
              <w:keepLines w:val="0"/>
              <w:widowControl/>
              <w:suppressLineNumbers w:val="0"/>
            </w:pPr>
          </w:p>
        </w:tc>
        <w:tc>
          <w:tcPr>
            <w:tcW w:w="1053" w:type="pct"/>
            <w:shd w:val="clear" w:color="auto" w:fill="auto"/>
            <w:vAlign w:val="center"/>
          </w:tcPr>
          <w:p>
            <w:pPr>
              <w:pStyle w:val="9"/>
              <w:keepNext w:val="0"/>
              <w:keepLines w:val="0"/>
              <w:widowControl/>
              <w:suppressLineNumbers w:val="0"/>
            </w:pPr>
          </w:p>
        </w:tc>
        <w:tc>
          <w:tcPr>
            <w:tcW w:w="538" w:type="pct"/>
            <w:shd w:val="clear" w:color="auto" w:fill="auto"/>
            <w:vAlign w:val="center"/>
          </w:tcPr>
          <w:p>
            <w:pPr>
              <w:pStyle w:val="9"/>
              <w:keepNext w:val="0"/>
              <w:keepLines w:val="0"/>
              <w:widowControl/>
              <w:suppressLineNumbers w:val="0"/>
            </w:pPr>
          </w:p>
        </w:tc>
        <w:tc>
          <w:tcPr>
            <w:tcW w:w="224" w:type="pct"/>
            <w:shd w:val="clear" w:color="auto" w:fill="auto"/>
            <w:vAlign w:val="center"/>
          </w:tcPr>
          <w:p>
            <w:pPr>
              <w:pStyle w:val="9"/>
              <w:keepNext w:val="0"/>
              <w:keepLines w:val="0"/>
              <w:widowControl/>
              <w:suppressLineNumbers w:val="0"/>
            </w:pPr>
          </w:p>
        </w:tc>
        <w:tc>
          <w:tcPr>
            <w:tcW w:w="829" w:type="pct"/>
            <w:shd w:val="clear" w:color="auto" w:fill="auto"/>
            <w:vAlign w:val="center"/>
          </w:tcPr>
          <w:p>
            <w:pPr>
              <w:pStyle w:val="9"/>
              <w:keepNext w:val="0"/>
              <w:keepLines w:val="0"/>
              <w:widowControl/>
              <w:suppressLineNumbers w:val="0"/>
            </w:pPr>
          </w:p>
        </w:tc>
        <w:tc>
          <w:tcPr>
            <w:tcW w:w="538" w:type="pct"/>
            <w:shd w:val="clear" w:color="auto" w:fill="auto"/>
            <w:vAlign w:val="center"/>
          </w:tcPr>
          <w:p>
            <w:pPr>
              <w:pStyle w:val="9"/>
              <w:keepNext w:val="0"/>
              <w:keepLines w:val="0"/>
              <w:widowControl/>
              <w:suppressLineNumbers w:val="0"/>
            </w:pPr>
          </w:p>
        </w:tc>
        <w:tc>
          <w:tcPr>
            <w:tcW w:w="224" w:type="pct"/>
            <w:shd w:val="clear" w:color="auto" w:fill="auto"/>
            <w:vAlign w:val="center"/>
          </w:tcPr>
          <w:p>
            <w:pPr>
              <w:pStyle w:val="9"/>
              <w:keepNext w:val="0"/>
              <w:keepLines w:val="0"/>
              <w:widowControl/>
              <w:suppressLineNumbers w:val="0"/>
            </w:pPr>
          </w:p>
        </w:tc>
        <w:tc>
          <w:tcPr>
            <w:tcW w:w="1367"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18"/>
                <w:szCs w:val="18"/>
              </w:rPr>
              <w:t xml:space="preserve">公开06表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1367"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18"/>
                <w:szCs w:val="18"/>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1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人员经费 </w:t>
            </w:r>
          </w:p>
        </w:tc>
        <w:tc>
          <w:tcPr>
            <w:tcW w:w="3183"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301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工资福利支出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35.39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302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商品和服务支出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8.85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307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债务利息及费用支出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30101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基本工资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21.27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30201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办公费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0.65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30701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国内债务付息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30102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津贴补贴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2.92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30202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印刷费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0.20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30702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国外债务付息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30103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奖金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0.15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30203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咨询费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310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资本性支出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30106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伙食补助费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30204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手续费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31001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房屋建筑物购建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30107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绩效工资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4.46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30205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水费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31002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办公设备购置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30108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4.56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30206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电费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0.25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31003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专用设备购置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30109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职业年金缴费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30207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邮电费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0.05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31005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基础设施建设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30110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职工基本医疗保险缴费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2.02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30208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取暖费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31006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大型修缮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30111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公务员医疗补助缴费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物业管理费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31007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信息网络及软件购置更新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30112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其他社会保障缴费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30211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差旅费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0.25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31008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物资储备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30113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住房公积金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30212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因公出国（境）费用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土地补偿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30114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医疗费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30213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维修（护）费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31010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安置补助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30199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其他工资福利支出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30214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租赁费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31011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地上附着物和青苗补偿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303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对个人和家庭的补助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16.35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30215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会议费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31012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拆迁补偿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30301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离休费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30216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培训费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31013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公务用车购置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30302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退休费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30217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公务接待费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其他交通工具购置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30303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退职（役）费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30218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专用材料费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31021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文物和陈列品购置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30304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抚恤金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16.35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30224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被装购置费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31022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无形资产购置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30305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生活补助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30225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专用燃料费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31099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其他资本性支出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30306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救济费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30226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劳务费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0.72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399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其他支出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30307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医疗费补助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30227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委托业务费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2.00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39906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赠与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30308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助学金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30228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工会经费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2.00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39907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国家赔偿费用支出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30309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奖励金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福利费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39908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对民间非营利组织和群众性自治组织补贴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30310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个人农业生产补贴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30231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公务用车运行维护费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39999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30311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代缴社会保险费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30239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其他交通费用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2.51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30399 </w:t>
            </w: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其他对个人和家庭的补助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30240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税金及附加费用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05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30299 </w:t>
            </w: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其他商品和服务支出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0.23 </w:t>
            </w:r>
          </w:p>
        </w:tc>
        <w:tc>
          <w:tcPr>
            <w:tcW w:w="22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29"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人员经费合计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51.73 </w:t>
            </w:r>
          </w:p>
        </w:tc>
        <w:tc>
          <w:tcPr>
            <w:tcW w:w="2645" w:type="pct"/>
            <w:gridSpan w:val="5"/>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公用经费合计 </w:t>
            </w:r>
          </w:p>
        </w:tc>
        <w:tc>
          <w:tcPr>
            <w:tcW w:w="53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8.85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注：本表反映部门本年度一般公共预算财政拨款基本支出明细情况。本表金额转换为万元时，因四舍五入可能存在尾数误差。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一般公共预算财政拨款“三公”经费支出决算表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833"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公开07表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833"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预算数 </w:t>
            </w:r>
          </w:p>
        </w:tc>
        <w:tc>
          <w:tcPr>
            <w:tcW w:w="2500" w:type="pct"/>
            <w:gridSpan w:val="6"/>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1.00 </w:t>
            </w: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16"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政府性基金预算财政拨款收入支出决算表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color="auto" w:fill="auto"/>
            <w:vAlign w:val="center"/>
          </w:tcPr>
          <w:p>
            <w:pPr>
              <w:pStyle w:val="9"/>
              <w:keepNext w:val="0"/>
              <w:keepLines w:val="0"/>
              <w:widowControl/>
              <w:suppressLineNumbers w:val="0"/>
            </w:pPr>
          </w:p>
        </w:tc>
        <w:tc>
          <w:tcPr>
            <w:tcW w:w="104" w:type="pct"/>
            <w:shd w:val="clear" w:color="auto" w:fill="auto"/>
            <w:vAlign w:val="center"/>
          </w:tcPr>
          <w:p>
            <w:pPr>
              <w:pStyle w:val="9"/>
              <w:keepNext w:val="0"/>
              <w:keepLines w:val="0"/>
              <w:widowControl/>
              <w:suppressLineNumbers w:val="0"/>
            </w:pPr>
          </w:p>
        </w:tc>
        <w:tc>
          <w:tcPr>
            <w:tcW w:w="104" w:type="pct"/>
            <w:shd w:val="clear" w:color="auto" w:fill="auto"/>
            <w:vAlign w:val="center"/>
          </w:tcPr>
          <w:p>
            <w:pPr>
              <w:pStyle w:val="9"/>
              <w:keepNext w:val="0"/>
              <w:keepLines w:val="0"/>
              <w:widowControl/>
              <w:suppressLineNumbers w:val="0"/>
            </w:pPr>
          </w:p>
        </w:tc>
        <w:tc>
          <w:tcPr>
            <w:tcW w:w="1078" w:type="pct"/>
            <w:shd w:val="clear" w:color="auto" w:fill="auto"/>
            <w:vAlign w:val="center"/>
          </w:tcPr>
          <w:p>
            <w:pPr>
              <w:pStyle w:val="9"/>
              <w:keepNext w:val="0"/>
              <w:keepLines w:val="0"/>
              <w:widowControl/>
              <w:suppressLineNumbers w:val="0"/>
            </w:pPr>
          </w:p>
        </w:tc>
        <w:tc>
          <w:tcPr>
            <w:tcW w:w="368" w:type="pct"/>
            <w:shd w:val="clear" w:color="auto" w:fill="auto"/>
            <w:vAlign w:val="center"/>
          </w:tcPr>
          <w:p>
            <w:pPr>
              <w:pStyle w:val="9"/>
              <w:keepNext w:val="0"/>
              <w:keepLines w:val="0"/>
              <w:widowControl/>
              <w:suppressLineNumbers w:val="0"/>
            </w:pPr>
          </w:p>
        </w:tc>
        <w:tc>
          <w:tcPr>
            <w:tcW w:w="614" w:type="pct"/>
            <w:shd w:val="clear" w:color="auto" w:fill="auto"/>
            <w:vAlign w:val="center"/>
          </w:tcPr>
          <w:p>
            <w:pPr>
              <w:pStyle w:val="9"/>
              <w:keepNext w:val="0"/>
              <w:keepLines w:val="0"/>
              <w:widowControl/>
              <w:suppressLineNumbers w:val="0"/>
            </w:pPr>
          </w:p>
        </w:tc>
        <w:tc>
          <w:tcPr>
            <w:tcW w:w="335" w:type="pct"/>
            <w:shd w:val="clear" w:color="auto" w:fill="auto"/>
            <w:vAlign w:val="center"/>
          </w:tcPr>
          <w:p>
            <w:pPr>
              <w:pStyle w:val="9"/>
              <w:keepNext w:val="0"/>
              <w:keepLines w:val="0"/>
              <w:widowControl/>
              <w:suppressLineNumbers w:val="0"/>
            </w:pPr>
          </w:p>
        </w:tc>
        <w:tc>
          <w:tcPr>
            <w:tcW w:w="473" w:type="pct"/>
            <w:shd w:val="clear" w:color="auto" w:fill="auto"/>
            <w:vAlign w:val="center"/>
          </w:tcPr>
          <w:p>
            <w:pPr>
              <w:pStyle w:val="9"/>
              <w:keepNext w:val="0"/>
              <w:keepLines w:val="0"/>
              <w:widowControl/>
              <w:suppressLineNumbers w:val="0"/>
            </w:pPr>
          </w:p>
        </w:tc>
        <w:tc>
          <w:tcPr>
            <w:tcW w:w="181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公开08表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181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年初结转和结余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本年收入 </w:t>
            </w:r>
          </w:p>
        </w:tc>
        <w:tc>
          <w:tcPr>
            <w:tcW w:w="1281"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0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0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0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0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0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07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368"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614"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335"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47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13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注：本表反映部门本年度政府性基金预算财政拨款收入、支出及结转和结余情况。本单位没有政府性基金收入，也没有使用政府性基金安排的支出，故本表无数据。 </w:t>
            </w:r>
          </w:p>
        </w:tc>
      </w:tr>
    </w:tbl>
    <w:p>
      <w:pPr>
        <w:pStyle w:val="9"/>
        <w:keepNext w:val="0"/>
        <w:keepLines w:val="0"/>
        <w:widowControl/>
        <w:suppressLineNumbers w:val="0"/>
      </w:pPr>
    </w:p>
    <w:p>
      <w:pPr>
        <w:spacing w:before="0" w:beforeAutospacing="0" w:after="1"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国有资本经营预算财政拨款支出决算表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1972" w:type="pct"/>
            <w:shd w:val="clear" w:color="auto" w:fill="auto"/>
            <w:vAlign w:val="center"/>
          </w:tcPr>
          <w:p>
            <w:pPr>
              <w:pStyle w:val="9"/>
              <w:keepNext w:val="0"/>
              <w:keepLines w:val="0"/>
              <w:widowControl/>
              <w:suppressLineNumbers w:val="0"/>
            </w:pPr>
          </w:p>
        </w:tc>
        <w:tc>
          <w:tcPr>
            <w:tcW w:w="843" w:type="pct"/>
            <w:shd w:val="clear" w:color="auto" w:fill="auto"/>
            <w:vAlign w:val="center"/>
          </w:tcPr>
          <w:p>
            <w:pPr>
              <w:pStyle w:val="9"/>
              <w:keepNext w:val="0"/>
              <w:keepLines w:val="0"/>
              <w:widowControl/>
              <w:suppressLineNumbers w:val="0"/>
            </w:pPr>
          </w:p>
        </w:tc>
        <w:tc>
          <w:tcPr>
            <w:tcW w:w="168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公开09表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部门：永州市冷水滩区文学艺术界联合会 </w:t>
            </w:r>
          </w:p>
        </w:tc>
        <w:tc>
          <w:tcPr>
            <w:tcW w:w="168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530"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97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97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97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97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97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1972"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lef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c>
          <w:tcPr>
            <w:tcW w:w="843" w:type="pct"/>
            <w:tcBorders>
              <w:top w:val="single" w:color="666666" w:sz="4" w:space="0"/>
              <w:left w:val="single" w:color="666666" w:sz="4" w:space="0"/>
              <w:bottom w:val="single" w:color="666666" w:sz="4" w:space="0"/>
              <w:right w:val="single" w:color="666666" w:sz="4"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9"/>
        <w:keepNext w:val="0"/>
        <w:keepLines w:val="0"/>
        <w:widowControl/>
        <w:suppressLineNumbers w:val="0"/>
      </w:pPr>
    </w:p>
    <w:p>
      <w:pPr>
        <w:rPr>
          <w:color w:val="000000"/>
        </w:rPr>
        <w:sectPr>
          <w:pgSz w:w="16838" w:h="11906"/>
          <w:pgMar w:top="1080" w:right="400" w:bottom="1080" w:left="400" w:header="851" w:footer="992" w:gutter="0"/>
          <w:cols w:space="0" w:num="1"/>
          <w:docGrid w:type="linesAndChars" w:linePitch="160" w:charSpace="0"/>
        </w:sectPr>
      </w:pPr>
    </w:p>
    <w:p>
      <w:pPr>
        <w:spacing w:before="0" w:beforeAutospacing="0" w:after="1"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2021年度收、支总计60.58万元。与上一年度相比，收、支总计各增加7.17万元，增长13.42%。主要是因为开展送春联下乡活动。。</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2021年度收入合计60.58万元，其中：财政拨款收入60.58万元，占100%；上级补助收入0万元，占0%；事业收入0万元，占0%；经营收入0万元，占0%；附属单位上缴收入0万元，占0%；其他收入0万元，占0%。</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2021年度支出合计60.58万元，其中：基本支出60.58万元，占100%；项目支出0万元，占0%；上缴上级支出0万元，占0%；经营支出0万元，占0%；对附属单位补助支出0万元，占0%。</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2021年度财政拨款收、支总计60.58万元。与上一年度相比，财政拨款收、支总计各增加7.17万元，增长13.42%。主要是因为开展送春联下乡活动。。</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4"/>
        <w:spacing w:before="0" w:beforeAutospacing="0" w:after="1" w:afterAutospacing="0"/>
        <w:ind w:left="0" w:firstLine="855"/>
        <w:rPr>
          <w:sz w:val="27"/>
          <w:szCs w:val="27"/>
        </w:rPr>
      </w:pPr>
      <w:r>
        <w:rPr>
          <w:rFonts w:ascii="宋体" w:hAnsi="宋体" w:eastAsia="宋体" w:cs="宋体"/>
          <w:color w:val="000000"/>
          <w:sz w:val="32"/>
          <w:szCs w:val="32"/>
        </w:rPr>
        <w:t>2021年度财政拨款支出60.58万元，占本年支出合计的100%。与上一年度相比，财政拨款支出增加7.17万元，增长13.42%。主要是因为开展送春联下乡活动。。</w:t>
      </w:r>
      <w:r>
        <w:rPr>
          <w:rFonts w:hint="eastAsia" w:ascii="宋体" w:hAnsi="宋体" w:eastAsia="宋体" w:cs="宋体"/>
          <w:color w:val="000000"/>
          <w:sz w:val="32"/>
          <w:szCs w:val="32"/>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2021年度财政拨款支出60.58万元，主要用于以下方面：文化旅游体育与传媒支出44.24万元，占73.01%；社会保障和就业支出16.35万元，占26.99%。</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2021年度财政拨款支出年初预算数为44.41万元，支出决算数为60.58万元，完成年初预算的136.43%，其中：</w:t>
      </w:r>
      <w:r>
        <w:rPr>
          <w:color w:val="000000"/>
          <w:sz w:val="27"/>
          <w:szCs w:val="27"/>
        </w:rPr>
        <w:t xml:space="preserve"> </w:t>
      </w:r>
    </w:p>
    <w:p>
      <w:pPr>
        <w:pStyle w:val="14"/>
        <w:spacing w:before="0" w:beforeAutospacing="0" w:after="1" w:afterAutospacing="0"/>
        <w:ind w:left="0" w:firstLine="641"/>
        <w:rPr>
          <w:sz w:val="27"/>
          <w:szCs w:val="27"/>
        </w:rPr>
      </w:pPr>
      <w:r>
        <w:rPr>
          <w:rStyle w:val="12"/>
          <w:rFonts w:hint="eastAsia" w:ascii="宋体" w:hAnsi="宋体" w:eastAsia="宋体" w:cs="宋体"/>
          <w:color w:val="000000"/>
          <w:sz w:val="32"/>
          <w:szCs w:val="32"/>
        </w:rPr>
        <w:t>1、文化旅游体育与传媒支出（类）文化和旅游（款）行政运行（项）</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年初预算为40.09万元，支出决算为41.24万元，完成年初预算的102.87%。决算数大于年初预算数的主要原因是：开展送春联下乡活动。。</w:t>
      </w:r>
    </w:p>
    <w:p>
      <w:pPr>
        <w:pStyle w:val="14"/>
        <w:spacing w:before="0" w:beforeAutospacing="0" w:after="1" w:afterAutospacing="0"/>
        <w:ind w:left="0" w:firstLine="641"/>
        <w:rPr>
          <w:sz w:val="27"/>
          <w:szCs w:val="27"/>
        </w:rPr>
      </w:pPr>
      <w:r>
        <w:rPr>
          <w:rStyle w:val="12"/>
          <w:rFonts w:hint="eastAsia" w:ascii="宋体" w:hAnsi="宋体" w:eastAsia="宋体" w:cs="宋体"/>
          <w:color w:val="000000"/>
          <w:sz w:val="32"/>
          <w:szCs w:val="32"/>
        </w:rPr>
        <w:t>2、文化旅游体育与传媒支出（类）文化和旅游（款）一般行政管理事务（项）</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年初预算为0万元，支出决算为3万元，由于预算数为0，无法计算百分比。决算数大于年初预算数的主要原因是：开展送春联下乡活动。。</w:t>
      </w:r>
    </w:p>
    <w:p>
      <w:pPr>
        <w:pStyle w:val="14"/>
        <w:spacing w:before="0" w:beforeAutospacing="0" w:after="1" w:afterAutospacing="0"/>
        <w:ind w:left="0" w:firstLine="641"/>
        <w:rPr>
          <w:sz w:val="27"/>
          <w:szCs w:val="27"/>
        </w:rPr>
      </w:pPr>
      <w:r>
        <w:rPr>
          <w:rStyle w:val="12"/>
          <w:rFonts w:hint="eastAsia" w:ascii="宋体" w:hAnsi="宋体" w:eastAsia="宋体" w:cs="宋体"/>
          <w:color w:val="000000"/>
          <w:sz w:val="32"/>
          <w:szCs w:val="32"/>
        </w:rPr>
        <w:t>3、社会保障和就业支出（类）抚恤（款）死亡抚恤（项）</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年初预算为0万元，支出决算为16.35万元，由于预算数为0，无法计算百分比。决算数大于年初预算数的主要原因是：开展送春联下乡活动。。</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2021年度财政拨款基本支出60.58万元，其中：人员经费51.73万元，占基本支出的85.39%，主要包括：基本工资、津贴补贴、奖金、绩效工资、机关事业单位基本养老保险缴费、职工基本医疗保险缴费、抚恤金。公用经费8.85万元，占基本支出的14.61%，主要包括：办公费、印刷费、电费、邮电费、差旅费、劳务费、委托业务费、工会经费、其他交通费用、其他商品和服务支出。</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2021年度“三公”经费财政拨款支出预算为1万元，支出决算为0万元，完成预算的0%，其中：</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公务接待费支出预算为1万元，支出决算为0万元，完成预算的0%，决算数小于预算数的主要原因是节约开支 ，公务接待费支出与上年持平。</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公务用车运行维护费支出预算为0万元，支出决算为0万元，决算数与预算数一致，我单位严格按预算执行决算，公务用车运行维护费支出与上年持平。</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2021年度“三公”经费财政拨款支出决算中，公务接待费支出决算0万元，占0%，因公出国（境）费支出决算0万元，占0%，公务用车购置费及运行维护费支出决算0万元，占0%。其中：</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2、公务接待费支出决算为0万元，全年共接待来访团组0个、来宾0人次，我单位2021年度无公务接待费支出。</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before="0" w:beforeAutospacing="0" w:after="1" w:afterAutospacing="0"/>
        <w:ind w:left="0" w:firstLine="641"/>
        <w:rPr>
          <w:sz w:val="27"/>
          <w:szCs w:val="27"/>
        </w:rPr>
      </w:pPr>
      <w:r>
        <w:rPr>
          <w:rFonts w:hint="eastAsia" w:ascii="宋体" w:hAnsi="宋体" w:eastAsia="宋体" w:cs="宋体"/>
          <w:color w:val="000000"/>
          <w:sz w:val="32"/>
          <w:szCs w:val="32"/>
        </w:rPr>
        <w:t xml:space="preserve">冷水滩区文学艺术界联合会2021年度没有政府性基金收入，也没有使用政府性基金安排的支出，并已公开空表。 </w:t>
      </w:r>
    </w:p>
    <w:p>
      <w:pPr>
        <w:pStyle w:val="14"/>
        <w:spacing w:before="0" w:beforeAutospacing="0" w:after="1"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冷水滩区文学艺术界联合会2021年度机关运行经费支出8.85万元，比年初预算数增加4.04万元，增长83.8%。主要原因是：开展送春联下乡活动</w:t>
      </w:r>
      <w:bookmarkStart w:id="0" w:name="_GoBack"/>
      <w:bookmarkEnd w:id="0"/>
      <w:r>
        <w:rPr>
          <w:rFonts w:hint="eastAsia" w:ascii="宋体" w:hAnsi="宋体" w:eastAsia="宋体" w:cs="宋体"/>
          <w:color w:val="000000"/>
          <w:sz w:val="32"/>
          <w:szCs w:val="32"/>
        </w:rPr>
        <w:t xml:space="preserve">。 </w:t>
      </w:r>
    </w:p>
    <w:p>
      <w:pPr>
        <w:pStyle w:val="14"/>
        <w:spacing w:before="0" w:beforeAutospacing="0" w:after="1"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2021年度冷水滩区文学艺术界联合会开支会议费0万元，我单位2021年度无会议费支出；开支培训费0万元，我单位2021年度无培训费支出；举办0场节庆、晚会、论坛、赛事活动，开支0万元，节约开支。。</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4"/>
        <w:spacing w:before="0" w:beforeAutospacing="0" w:after="1" w:afterAutospacing="0"/>
        <w:ind w:left="0" w:firstLine="640"/>
        <w:jc w:val="both"/>
        <w:rPr>
          <w:sz w:val="27"/>
          <w:szCs w:val="27"/>
        </w:rPr>
      </w:pPr>
      <w:r>
        <w:rPr>
          <w:rFonts w:hint="eastAsia" w:ascii="宋体" w:hAnsi="宋体" w:eastAsia="宋体" w:cs="宋体"/>
          <w:color w:val="000000"/>
          <w:sz w:val="32"/>
          <w:szCs w:val="32"/>
        </w:rPr>
        <w:t xml:space="preserve">冷水滩区文学艺术界联合会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1"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color w:val="000000"/>
          <w:sz w:val="32"/>
          <w:szCs w:val="32"/>
        </w:rPr>
        <w:t>截至2021年12月31日，冷水滩区文学艺术界联合会共有车辆0辆（台），其中：机要通信用车0辆、应急保障用车0辆、执法执勤用车0辆、特种专业技术用车0辆、其他用车0辆；单价50万元（含）以上通用设备0台（套），单价100万元（含）以上专用设备0台（套）。</w:t>
      </w:r>
      <w:r>
        <w:rPr>
          <w:color w:val="000000"/>
          <w:sz w:val="27"/>
          <w:szCs w:val="27"/>
        </w:rPr>
        <w:t xml:space="preserve"> </w:t>
      </w:r>
    </w:p>
    <w:p>
      <w:pPr>
        <w:pStyle w:val="14"/>
        <w:spacing w:before="0" w:beforeAutospacing="0" w:after="1"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4"/>
        <w:spacing w:before="0" w:beforeAutospacing="0" w:after="1" w:afterAutospacing="0"/>
        <w:ind w:left="0" w:firstLine="640"/>
        <w:rPr>
          <w:rStyle w:val="12"/>
          <w:rFonts w:ascii="宋体" w:hAnsi="宋体" w:eastAsia="宋体" w:cs="宋体"/>
          <w:color w:val="000000"/>
          <w:sz w:val="36"/>
          <w:szCs w:val="36"/>
        </w:rPr>
      </w:pPr>
      <w:r>
        <w:rPr>
          <w:rStyle w:val="12"/>
          <w:rFonts w:ascii="宋体" w:hAnsi="宋体" w:eastAsia="宋体" w:cs="宋体"/>
          <w:color w:val="000000"/>
          <w:sz w:val="36"/>
          <w:szCs w:val="36"/>
        </w:rPr>
        <w:t>（1）绩效管理评价工作开展情况。</w:t>
      </w:r>
    </w:p>
    <w:p>
      <w:pPr>
        <w:pStyle w:val="14"/>
        <w:spacing w:before="0" w:beforeAutospacing="0" w:after="1" w:afterAutospacing="0"/>
        <w:ind w:left="0" w:firstLine="640"/>
        <w:rPr>
          <w:rStyle w:val="12"/>
          <w:rFonts w:ascii="宋体" w:hAnsi="宋体" w:eastAsia="宋体" w:cs="宋体"/>
          <w:color w:val="000000"/>
          <w:sz w:val="36"/>
          <w:szCs w:val="36"/>
        </w:rPr>
      </w:pPr>
      <w:r>
        <w:rPr>
          <w:rStyle w:val="15"/>
          <w:rFonts w:hint="eastAsia" w:ascii="宋体" w:hAnsi="宋体" w:eastAsia="宋体"/>
          <w:color w:val="000000"/>
          <w:sz w:val="32"/>
          <w:szCs w:val="32"/>
          <w:lang w:val="en-US" w:eastAsia="zh-CN"/>
        </w:rPr>
        <w:t>一、</w:t>
      </w:r>
      <w:r>
        <w:rPr>
          <w:rStyle w:val="15"/>
          <w:rFonts w:hint="eastAsia" w:ascii="宋体" w:hAnsi="宋体" w:eastAsia="宋体"/>
          <w:color w:val="000000"/>
          <w:sz w:val="32"/>
          <w:szCs w:val="32"/>
        </w:rPr>
        <w:t>保证单位经费运转，完成人员工资福利发放。</w:t>
      </w:r>
    </w:p>
    <w:p>
      <w:pPr>
        <w:pStyle w:val="14"/>
        <w:spacing w:before="0" w:beforeAutospacing="0" w:after="1" w:afterAutospacing="0"/>
        <w:ind w:left="0" w:firstLine="640"/>
        <w:rPr>
          <w:sz w:val="27"/>
          <w:szCs w:val="27"/>
        </w:rPr>
      </w:pPr>
      <w:r>
        <w:rPr>
          <w:rFonts w:ascii="宋体" w:hAnsi="宋体" w:eastAsia="宋体" w:cs="宋体"/>
          <w:color w:val="000000"/>
          <w:sz w:val="32"/>
          <w:szCs w:val="32"/>
        </w:rPr>
        <w:t>二</w:t>
      </w:r>
      <w:r>
        <w:rPr>
          <w:rFonts w:hint="eastAsia" w:ascii="宋体" w:hAnsi="宋体" w:eastAsia="宋体" w:cs="宋体"/>
          <w:color w:val="000000"/>
          <w:sz w:val="32"/>
          <w:szCs w:val="32"/>
          <w:lang w:eastAsia="zh-CN"/>
        </w:rPr>
        <w:t>、</w:t>
      </w:r>
      <w:r>
        <w:rPr>
          <w:rFonts w:ascii="宋体" w:hAnsi="宋体" w:eastAsia="宋体" w:cs="宋体"/>
          <w:color w:val="000000"/>
          <w:sz w:val="32"/>
          <w:szCs w:val="32"/>
        </w:rPr>
        <w:t>是积极创新各文艺</w:t>
      </w:r>
      <w:r>
        <w:rPr>
          <w:rFonts w:hint="eastAsia" w:ascii="宋体" w:hAnsi="宋体" w:eastAsia="宋体" w:cs="宋体"/>
          <w:color w:val="000000"/>
          <w:sz w:val="32"/>
          <w:szCs w:val="32"/>
          <w:lang w:val="en-US" w:eastAsia="zh-CN"/>
        </w:rPr>
        <w:t>家</w:t>
      </w:r>
      <w:r>
        <w:rPr>
          <w:rFonts w:ascii="宋体" w:hAnsi="宋体" w:eastAsia="宋体" w:cs="宋体"/>
          <w:color w:val="000000"/>
          <w:sz w:val="32"/>
          <w:szCs w:val="32"/>
        </w:rPr>
        <w:t>协会的管理模式，做好“团结引领、联络协调、服务管理”与各专业协会签订工作目标责任书，鼓励引导创作精品力作、培养优秀专业人才，2021年</w:t>
      </w:r>
      <w:r>
        <w:rPr>
          <w:rFonts w:hint="eastAsia" w:ascii="宋体" w:hAnsi="宋体" w:eastAsia="宋体" w:cs="宋体"/>
          <w:color w:val="000000"/>
          <w:sz w:val="32"/>
          <w:szCs w:val="32"/>
          <w:lang w:val="en-US" w:eastAsia="zh-CN"/>
        </w:rPr>
        <w:t>度，</w:t>
      </w:r>
      <w:r>
        <w:rPr>
          <w:rFonts w:ascii="宋体" w:hAnsi="宋体" w:eastAsia="宋体" w:cs="宋体"/>
          <w:color w:val="000000"/>
          <w:sz w:val="32"/>
          <w:szCs w:val="32"/>
        </w:rPr>
        <w:t>冷水滩区作家诗人在国内公开发行的纯文学期刊发表作品</w:t>
      </w:r>
      <w:r>
        <w:rPr>
          <w:rFonts w:hint="eastAsia" w:ascii="宋体" w:hAnsi="宋体" w:eastAsia="宋体" w:cs="宋体"/>
          <w:color w:val="000000"/>
          <w:sz w:val="32"/>
          <w:szCs w:val="32"/>
          <w:lang w:val="en-US" w:eastAsia="zh-CN"/>
        </w:rPr>
        <w:t>100余篇（首）</w:t>
      </w:r>
      <w:r>
        <w:rPr>
          <w:rFonts w:ascii="宋体" w:hAnsi="宋体" w:eastAsia="宋体" w:cs="宋体"/>
          <w:color w:val="000000"/>
          <w:sz w:val="32"/>
          <w:szCs w:val="32"/>
        </w:rPr>
        <w:t>在省级（省委宣传部、省文联、省文旅厅等）以上文艺作品比赛入展，获奖40余人次，其中书法类12人次，美术类5人次，摄影类23人次。</w:t>
      </w:r>
    </w:p>
    <w:p>
      <w:pPr>
        <w:pStyle w:val="14"/>
        <w:spacing w:before="0" w:beforeAutospacing="0" w:after="1" w:afterAutospacing="0"/>
        <w:ind w:left="0" w:firstLine="640"/>
        <w:rPr>
          <w:sz w:val="27"/>
          <w:szCs w:val="27"/>
        </w:rPr>
      </w:pPr>
      <w:r>
        <w:rPr>
          <w:rStyle w:val="12"/>
          <w:rFonts w:ascii="宋体" w:hAnsi="宋体" w:eastAsia="宋体" w:cs="宋体"/>
          <w:color w:val="000000"/>
          <w:sz w:val="36"/>
          <w:szCs w:val="36"/>
        </w:rPr>
        <w:t>（2）部门决算中项目绩效自评结果（如有）。</w:t>
      </w:r>
      <w:r>
        <w:rPr>
          <w:color w:val="000000"/>
          <w:sz w:val="27"/>
          <w:szCs w:val="27"/>
        </w:rPr>
        <w:t xml:space="preserve"> </w:t>
      </w:r>
    </w:p>
    <w:p>
      <w:pPr>
        <w:pStyle w:val="14"/>
        <w:spacing w:before="0" w:beforeAutospacing="0" w:after="1" w:afterAutospacing="0"/>
        <w:ind w:firstLine="960" w:firstLineChars="300"/>
        <w:rPr>
          <w:rStyle w:val="15"/>
          <w:rFonts w:hint="eastAsia" w:ascii="宋体" w:hAnsi="宋体" w:eastAsia="宋体"/>
          <w:color w:val="000000"/>
          <w:sz w:val="32"/>
          <w:szCs w:val="32"/>
          <w:lang w:eastAsia="zh-CN"/>
        </w:rPr>
      </w:pPr>
      <w:r>
        <w:rPr>
          <w:rStyle w:val="15"/>
          <w:rFonts w:hint="eastAsia" w:ascii="宋体" w:hAnsi="宋体" w:eastAsia="宋体"/>
          <w:color w:val="000000"/>
          <w:sz w:val="32"/>
          <w:szCs w:val="32"/>
        </w:rPr>
        <w:t>2021年</w:t>
      </w:r>
      <w:r>
        <w:rPr>
          <w:rStyle w:val="15"/>
          <w:rFonts w:hint="eastAsia" w:ascii="宋体" w:hAnsi="宋体" w:eastAsia="宋体"/>
          <w:color w:val="000000"/>
          <w:sz w:val="32"/>
          <w:szCs w:val="32"/>
          <w:lang w:val="en-US" w:eastAsia="zh-CN"/>
        </w:rPr>
        <w:t>本单位无</w:t>
      </w:r>
      <w:r>
        <w:rPr>
          <w:rStyle w:val="15"/>
          <w:rFonts w:hint="eastAsia" w:ascii="宋体" w:hAnsi="宋体" w:eastAsia="宋体"/>
          <w:color w:val="000000"/>
          <w:sz w:val="32"/>
          <w:szCs w:val="32"/>
        </w:rPr>
        <w:t>项目支出</w:t>
      </w:r>
      <w:r>
        <w:rPr>
          <w:rStyle w:val="15"/>
          <w:rFonts w:hint="eastAsia" w:ascii="宋体" w:hAnsi="宋体" w:eastAsia="宋体"/>
          <w:color w:val="000000"/>
          <w:sz w:val="32"/>
          <w:szCs w:val="32"/>
          <w:lang w:eastAsia="zh-CN"/>
        </w:rPr>
        <w:t>。</w:t>
      </w:r>
    </w:p>
    <w:p>
      <w:pPr>
        <w:pStyle w:val="14"/>
        <w:spacing w:before="0" w:beforeAutospacing="0" w:after="1" w:afterAutospacing="0"/>
        <w:ind w:left="0" w:firstLine="640"/>
        <w:rPr>
          <w:sz w:val="27"/>
          <w:szCs w:val="27"/>
        </w:rPr>
      </w:pPr>
      <w:r>
        <w:rPr>
          <w:rStyle w:val="12"/>
          <w:rFonts w:ascii="宋体" w:hAnsi="宋体" w:eastAsia="宋体" w:cs="宋体"/>
          <w:color w:val="000000"/>
          <w:sz w:val="36"/>
          <w:szCs w:val="36"/>
        </w:rPr>
        <w:t>（3）部门评价项目绩效评价结果。</w:t>
      </w:r>
    </w:p>
    <w:p>
      <w:pPr>
        <w:pStyle w:val="14"/>
        <w:spacing w:before="0" w:beforeAutospacing="0" w:after="1"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keepNext w:val="0"/>
        <w:keepLines w:val="0"/>
        <w:widowControl/>
        <w:suppressLineNumbers w:val="0"/>
        <w:spacing w:before="0" w:beforeAutospacing="0" w:after="1" w:afterAutospacing="0"/>
      </w:pPr>
    </w:p>
    <w:p>
      <w:pPr>
        <w:pStyle w:val="9"/>
        <w:keepNext w:val="0"/>
        <w:keepLines w:val="0"/>
        <w:widowControl/>
        <w:suppressLineNumbers w:val="0"/>
        <w:spacing w:before="0" w:beforeAutospacing="0" w:after="1" w:afterAutospacing="0"/>
      </w:pPr>
    </w:p>
    <w:p>
      <w:pPr>
        <w:pStyle w:val="9"/>
        <w:keepNext w:val="0"/>
        <w:keepLines w:val="0"/>
        <w:widowControl/>
        <w:suppressLineNumbers w:val="0"/>
        <w:spacing w:before="0" w:beforeAutospacing="0" w:after="1" w:afterAutospacing="0"/>
      </w:pPr>
    </w:p>
    <w:p/>
    <w:p>
      <w:pPr>
        <w:spacing w:before="0" w:beforeAutospacing="0" w:after="1"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1"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1" w:afterAutospacing="0" w:line="336" w:lineRule="atLeast"/>
        <w:ind w:left="0" w:right="0" w:firstLine="643"/>
        <w:rPr>
          <w:rFonts w:hint="default" w:ascii="Calibri" w:hAnsi="Calibri" w:cs="Calibri"/>
          <w:sz w:val="21"/>
          <w:szCs w:val="21"/>
        </w:rPr>
      </w:pPr>
    </w:p>
    <w:p>
      <w:pPr>
        <w:spacing w:before="0" w:beforeAutospacing="0" w:after="1"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1"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"http://10.105.181.49/home/downloadAttachment?attachGUID=e5da3875611a41a98ee25a246e184c83" \t "_blank" </w:instrText>
      </w:r>
      <w:r>
        <w:rPr>
          <w:rFonts w:ascii="宋体" w:hAnsi="宋体" w:eastAsia="宋体" w:cs="宋体"/>
          <w:sz w:val="28"/>
          <w:szCs w:val="28"/>
          <w:shd w:val="clear" w:fill="FFFFFF"/>
        </w:rPr>
        <w:fldChar w:fldCharType="separate"/>
      </w:r>
      <w:r>
        <w:rPr>
          <w:rStyle w:val="13"/>
          <w:rFonts w:ascii="宋体" w:hAnsi="宋体" w:eastAsia="宋体" w:cs="宋体"/>
          <w:sz w:val="28"/>
          <w:szCs w:val="28"/>
          <w:shd w:val="clear" w:fill="FFFFFF"/>
        </w:rPr>
        <w:t>2021年区文联部门整体指出绩效评价.docx</w:t>
      </w:r>
      <w:r>
        <w:rPr>
          <w:rFonts w:ascii="宋体" w:hAnsi="宋体" w:eastAsia="宋体" w:cs="宋体"/>
          <w:sz w:val="28"/>
          <w:szCs w:val="28"/>
          <w:shd w:val="clear" w:fill="FFFFFF"/>
        </w:rPr>
        <w:fldChar w:fldCharType="end"/>
      </w:r>
    </w:p>
    <w:p>
      <w:pPr>
        <w:spacing w:before="0" w:beforeAutospacing="0" w:after="1" w:afterAutospacing="0"/>
        <w:jc w:val="center"/>
        <w:rPr>
          <w:sz w:val="21"/>
          <w:szCs w:val="21"/>
        </w:rPr>
      </w:pPr>
    </w:p>
    <w:p>
      <w:pPr>
        <w:spacing w:before="0" w:beforeAutospacing="0" w:after="1"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74"/>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zk4MjIyOTcxYWMzMTVlOTIzYzJiODUwMzhhM2UifQ=="/>
  </w:docVars>
  <w:rsids>
    <w:rsidRoot w:val="00000000"/>
    <w:rsid w:val="287B09DB"/>
    <w:rsid w:val="406C4BC1"/>
    <w:rsid w:val="7C3912AE"/>
    <w:rsid w:val="7D7C6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15">
    <w:name w:val="peoplefilling"/>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Office_11.1.0.9991_F1E327BC-269C-435d-A152-05C5408002CA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2023-09-04T10:34:00Z</dcterms:created>
  <dc:creator>Asus</dc:creator>
  <cp:lastModifiedBy>Administrator</cp:lastModifiedBy>
  <dcterms:modified xsi:type="dcterms:W3CDTF">2023-09-24T16:19:18Z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78045053EC8546D9A6FC33095BD09746_13</vt:lpwstr>
  </property>
</Properties>
</file>