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sz w:val="44"/>
          <w:szCs w:val="44"/>
        </w:rPr>
      </w:pPr>
      <w:r>
        <w:rPr>
          <w:rFonts w:hint="eastAsia" w:ascii="黑体" w:hAnsi="黑体" w:eastAsia="黑体" w:cs="Times New Roman"/>
          <w:b/>
          <w:sz w:val="44"/>
          <w:szCs w:val="44"/>
          <w:lang w:eastAsia="zh-CN"/>
        </w:rPr>
        <w:t>2021</w:t>
      </w:r>
      <w:r>
        <w:rPr>
          <w:rFonts w:ascii="黑体" w:hAnsi="黑体" w:eastAsia="黑体" w:cs="Times New Roman"/>
          <w:b/>
          <w:sz w:val="44"/>
          <w:szCs w:val="44"/>
        </w:rPr>
        <w:t>年度</w:t>
      </w:r>
      <w:r>
        <w:rPr>
          <w:rFonts w:hint="eastAsia" w:ascii="黑体" w:hAnsi="黑体" w:eastAsia="黑体" w:cs="Times New Roman"/>
          <w:b/>
          <w:sz w:val="44"/>
          <w:szCs w:val="44"/>
          <w:lang w:val="en-US" w:eastAsia="zh-CN"/>
        </w:rPr>
        <w:t>区总工会</w:t>
      </w:r>
      <w:r>
        <w:rPr>
          <w:rFonts w:ascii="黑体" w:hAnsi="黑体" w:eastAsia="黑体" w:cs="Times New Roman"/>
          <w:b/>
          <w:sz w:val="44"/>
          <w:szCs w:val="44"/>
        </w:rPr>
        <w:t>部门整体支出绩效自评报告</w:t>
      </w:r>
    </w:p>
    <w:p>
      <w:pPr>
        <w:jc w:val="center"/>
        <w:rPr>
          <w:rFonts w:eastAsia="楷体_GB2312"/>
        </w:rPr>
      </w:pP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520" w:lineRule="exact"/>
        <w:ind w:firstLine="640" w:firstLineChars="200"/>
        <w:rPr>
          <w:rFonts w:hint="eastAsia" w:ascii="仿宋_GB2312" w:eastAsia="仿宋_GB2312"/>
          <w:sz w:val="32"/>
          <w:szCs w:val="32"/>
        </w:rPr>
      </w:pPr>
      <w:r>
        <w:rPr>
          <w:rFonts w:hint="eastAsia" w:ascii="仿宋" w:hAnsi="仿宋" w:eastAsia="仿宋" w:cs="仿宋_GB2312"/>
          <w:bCs/>
          <w:sz w:val="32"/>
          <w:szCs w:val="32"/>
        </w:rPr>
        <w:t>1、机构设置：</w:t>
      </w:r>
      <w:r>
        <w:rPr>
          <w:rFonts w:hint="eastAsia" w:ascii="仿宋_GB2312" w:eastAsia="仿宋_GB2312"/>
          <w:sz w:val="32"/>
          <w:szCs w:val="32"/>
        </w:rPr>
        <w:t>冷水滩区总工会是中国共产党领导的职工自愿结合的工人阶级群团组织，属自收自支单位。区总工会内设办公室、组宣部、生产部、财务部</w:t>
      </w:r>
      <w:r>
        <w:rPr>
          <w:rFonts w:hint="eastAsia" w:ascii="仿宋_GB2312" w:eastAsia="仿宋_GB2312"/>
          <w:sz w:val="32"/>
          <w:szCs w:val="32"/>
          <w:lang w:eastAsia="zh-CN"/>
        </w:rPr>
        <w:t>、</w:t>
      </w:r>
      <w:r>
        <w:rPr>
          <w:rFonts w:hint="eastAsia" w:ascii="仿宋_GB2312" w:eastAsia="仿宋_GB2312"/>
          <w:sz w:val="32"/>
          <w:szCs w:val="32"/>
          <w:lang w:val="en-US" w:eastAsia="zh-CN"/>
        </w:rPr>
        <w:t>女工部、帮扶中心</w:t>
      </w:r>
      <w:r>
        <w:rPr>
          <w:rFonts w:hint="eastAsia" w:ascii="仿宋_GB2312" w:eastAsia="仿宋_GB2312"/>
          <w:sz w:val="32"/>
          <w:szCs w:val="32"/>
        </w:rPr>
        <w:t>等职能部室。</w:t>
      </w:r>
    </w:p>
    <w:p>
      <w:pPr>
        <w:spacing w:line="520" w:lineRule="exact"/>
        <w:ind w:firstLine="640" w:firstLineChars="200"/>
        <w:rPr>
          <w:rFonts w:ascii="宋体" w:hAnsi="宋体"/>
          <w:sz w:val="30"/>
          <w:szCs w:val="30"/>
        </w:rPr>
      </w:pPr>
      <w:r>
        <w:rPr>
          <w:rFonts w:hint="eastAsia" w:ascii="仿宋" w:hAnsi="仿宋" w:eastAsia="仿宋" w:cs="仿宋_GB2312"/>
          <w:bCs/>
          <w:sz w:val="32"/>
          <w:szCs w:val="32"/>
        </w:rPr>
        <w:t>2、人员编制情况：</w:t>
      </w:r>
      <w:r>
        <w:rPr>
          <w:rFonts w:hint="eastAsia" w:ascii="宋体" w:hAnsi="宋体" w:eastAsia="宋体" w:cs="宋体"/>
          <w:color w:val="000000"/>
          <w:kern w:val="2"/>
          <w:sz w:val="32"/>
          <w:szCs w:val="32"/>
        </w:rPr>
        <w:t>本部门共有编制人数11人，实有人数人数85人。内设机构4个，分别是办公室、组宣部、财务部、困难职工帮扶中心。</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2021</w:t>
      </w:r>
      <w:r>
        <w:rPr>
          <w:rFonts w:ascii="宋体" w:hAnsi="宋体"/>
          <w:sz w:val="30"/>
          <w:szCs w:val="30"/>
        </w:rPr>
        <w:t>年的重点工作</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1.投身疫情防控，助力打赢阻击战。2.着力思想引领，加强宣传教育。3.积极加强劳模的推选，弘扬劳模工匠精神。4.切实履行维权帮扶职责，大力实施精准服务行动。5.全面加强基层组织建设，大力实施固本强基行动。6.加强了工会自身建设，提供坚强的组织保障。</w:t>
      </w:r>
    </w:p>
    <w:p>
      <w:pPr>
        <w:numPr>
          <w:ilvl w:val="0"/>
          <w:numId w:val="1"/>
        </w:numPr>
        <w:ind w:firstLine="600" w:firstLineChars="200"/>
        <w:rPr>
          <w:rFonts w:ascii="宋体" w:hAnsi="宋体"/>
          <w:sz w:val="30"/>
          <w:szCs w:val="30"/>
        </w:rPr>
      </w:pPr>
      <w:r>
        <w:rPr>
          <w:rFonts w:ascii="宋体" w:hAnsi="宋体"/>
          <w:sz w:val="30"/>
          <w:szCs w:val="30"/>
        </w:rPr>
        <w:t>部门整体支出情况</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99分。部门整体支出绩效情况如下：</w:t>
      </w:r>
    </w:p>
    <w:p>
      <w:pPr>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1、预算配置控制合理（5分）。在职人员控制率低于100%；</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2、预算执行到位（20分）。全年无截留或滞留资金情况；预算调整完成率为100%，预算控制率为5.14%；无新建楼堂馆所。</w:t>
      </w:r>
    </w:p>
    <w:p>
      <w:pPr>
        <w:ind w:firstLine="602" w:firstLineChars="200"/>
        <w:rPr>
          <w:rFonts w:ascii="宋体" w:hAnsi="宋体"/>
          <w:b/>
          <w:sz w:val="30"/>
          <w:szCs w:val="30"/>
        </w:rPr>
      </w:pPr>
      <w:r>
        <w:rPr>
          <w:rFonts w:ascii="宋体" w:hAnsi="宋体"/>
          <w:b/>
          <w:sz w:val="30"/>
          <w:szCs w:val="30"/>
        </w:rPr>
        <w:t>二、部门整体支出管理及使用情况</w:t>
      </w:r>
    </w:p>
    <w:p>
      <w:pPr>
        <w:ind w:firstLine="600" w:firstLineChars="200"/>
        <w:rPr>
          <w:rFonts w:hint="eastAsia" w:eastAsia="仿宋_GB2312"/>
          <w:color w:val="000000"/>
          <w:kern w:val="0"/>
          <w:sz w:val="32"/>
          <w:szCs w:val="32"/>
          <w:lang w:val="en-US" w:eastAsia="zh-CN"/>
        </w:rPr>
      </w:pPr>
      <w:r>
        <w:rPr>
          <w:rFonts w:ascii="宋体" w:hAnsi="宋体"/>
          <w:sz w:val="30"/>
          <w:szCs w:val="30"/>
        </w:rPr>
        <w:t>（一）基本支出情况。</w:t>
      </w:r>
      <w:r>
        <w:rPr>
          <w:rFonts w:hint="eastAsia" w:eastAsia="仿宋_GB2312"/>
          <w:color w:val="000000"/>
          <w:kern w:val="0"/>
          <w:sz w:val="32"/>
          <w:szCs w:val="32"/>
          <w:lang w:val="en-US" w:eastAsia="zh-CN"/>
        </w:rPr>
        <w:t>2021年冷水滩区总工会整体支出情况：总支出160.9</w:t>
      </w:r>
      <w:bookmarkStart w:id="0" w:name="_GoBack"/>
      <w:bookmarkEnd w:id="0"/>
      <w:r>
        <w:rPr>
          <w:rFonts w:hint="eastAsia" w:eastAsia="仿宋_GB2312"/>
          <w:color w:val="000000"/>
          <w:kern w:val="0"/>
          <w:sz w:val="32"/>
          <w:szCs w:val="32"/>
          <w:lang w:val="en-US" w:eastAsia="zh-CN"/>
        </w:rPr>
        <w:t>7万元，基本支出160.97万元，比2020年增加100%，主要原因是纳入财政预算管理单位。</w:t>
      </w:r>
    </w:p>
    <w:p>
      <w:pPr>
        <w:ind w:firstLine="600" w:firstLineChars="200"/>
        <w:rPr>
          <w:rFonts w:hint="default" w:ascii="宋体" w:hAnsi="宋体" w:eastAsia="宋体"/>
          <w:sz w:val="30"/>
          <w:szCs w:val="30"/>
          <w:lang w:val="en-US" w:eastAsia="zh-CN"/>
        </w:rPr>
      </w:pPr>
      <w:r>
        <w:rPr>
          <w:rFonts w:ascii="宋体" w:hAnsi="宋体"/>
          <w:sz w:val="30"/>
          <w:szCs w:val="30"/>
        </w:rPr>
        <w:t>（二）项目支出情况。</w:t>
      </w:r>
      <w:r>
        <w:rPr>
          <w:rFonts w:hint="eastAsia" w:eastAsia="仿宋_GB2312"/>
          <w:color w:val="000000"/>
          <w:kern w:val="0"/>
          <w:sz w:val="32"/>
          <w:szCs w:val="32"/>
          <w:lang w:val="en-US" w:eastAsia="zh-CN"/>
        </w:rPr>
        <w:t>无。</w:t>
      </w:r>
    </w:p>
    <w:p>
      <w:pPr>
        <w:ind w:firstLine="600" w:firstLineChars="200"/>
        <w:rPr>
          <w:rFonts w:ascii="宋体" w:hAnsi="宋体"/>
          <w:sz w:val="30"/>
          <w:szCs w:val="30"/>
        </w:rPr>
      </w:pPr>
      <w:r>
        <w:rPr>
          <w:rFonts w:ascii="宋体" w:hAnsi="宋体"/>
          <w:sz w:val="30"/>
          <w:szCs w:val="30"/>
        </w:rPr>
        <w:t>（三）“三公”经费情况</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1．因公出国（境）费用；</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无。</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2．公务接待费；</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我会2021年公务接待费支出0元0人次。</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3．公务用车购置及运行费。</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无</w:t>
      </w:r>
    </w:p>
    <w:p>
      <w:pPr>
        <w:ind w:firstLine="602" w:firstLineChars="200"/>
        <w:rPr>
          <w:rFonts w:ascii="宋体" w:hAnsi="宋体"/>
          <w:b/>
          <w:sz w:val="30"/>
          <w:szCs w:val="30"/>
        </w:rPr>
      </w:pPr>
      <w:r>
        <w:rPr>
          <w:rFonts w:ascii="宋体" w:hAnsi="宋体"/>
          <w:b/>
          <w:sz w:val="30"/>
          <w:szCs w:val="30"/>
        </w:rPr>
        <w:t>三、部门整体支出绩效情况</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99分。部门整体支出绩效情况如下：</w:t>
      </w:r>
    </w:p>
    <w:p>
      <w:pPr>
        <w:numPr>
          <w:ilvl w:val="0"/>
          <w:numId w:val="2"/>
        </w:numPr>
        <w:ind w:firstLine="602" w:firstLineChars="200"/>
        <w:rPr>
          <w:rFonts w:hint="eastAsia" w:ascii="宋体" w:hAnsi="宋体"/>
          <w:b/>
          <w:sz w:val="30"/>
          <w:szCs w:val="30"/>
        </w:rPr>
      </w:pPr>
      <w:r>
        <w:rPr>
          <w:rFonts w:hint="eastAsia" w:ascii="宋体" w:hAnsi="宋体"/>
          <w:b/>
          <w:sz w:val="30"/>
          <w:szCs w:val="30"/>
        </w:rPr>
        <w:t>绩效自评得分情况及绩效等级。</w:t>
      </w:r>
    </w:p>
    <w:p>
      <w:pPr>
        <w:ind w:firstLine="640" w:firstLineChars="200"/>
      </w:pPr>
      <w:r>
        <w:rPr>
          <w:rFonts w:hint="eastAsia" w:eastAsia="仿宋_GB2312"/>
          <w:color w:val="000000"/>
          <w:kern w:val="0"/>
          <w:sz w:val="32"/>
          <w:szCs w:val="32"/>
          <w:lang w:val="en-US" w:eastAsia="zh-CN"/>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2021年度部门整体支出绩效自评综合得分99分，评价等级为“优”。</w:t>
      </w:r>
    </w:p>
    <w:p>
      <w:pPr>
        <w:numPr>
          <w:ilvl w:val="0"/>
          <w:numId w:val="2"/>
        </w:numPr>
        <w:ind w:left="0" w:leftChars="0" w:firstLine="602" w:firstLineChars="200"/>
        <w:rPr>
          <w:rFonts w:ascii="宋体" w:hAnsi="宋体"/>
          <w:b/>
          <w:sz w:val="30"/>
          <w:szCs w:val="30"/>
        </w:rPr>
      </w:pPr>
      <w:r>
        <w:rPr>
          <w:rFonts w:ascii="宋体" w:hAnsi="宋体"/>
          <w:b/>
          <w:sz w:val="30"/>
          <w:szCs w:val="30"/>
        </w:rPr>
        <w:t>存在的问题</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1、预算编制工作有待细化。预算编制不够明确和细化，预算编制的合理性需要提高，预算执行力度还要进一步加强。</w:t>
      </w:r>
    </w:p>
    <w:p>
      <w:pPr>
        <w:ind w:firstLine="640" w:firstLineChars="200"/>
      </w:pPr>
      <w:r>
        <w:rPr>
          <w:rFonts w:hint="eastAsia" w:eastAsia="仿宋_GB2312"/>
          <w:color w:val="000000"/>
          <w:kern w:val="0"/>
          <w:sz w:val="32"/>
          <w:szCs w:val="32"/>
          <w:lang w:val="en-US" w:eastAsia="zh-CN"/>
        </w:rPr>
        <w:t>2、在部门整体支出的资金安排和使用上仍有不可预见性，在实际工作中有资金延迟到位的情况。</w:t>
      </w:r>
    </w:p>
    <w:p>
      <w:pPr>
        <w:ind w:firstLine="602" w:firstLineChars="200"/>
        <w:rPr>
          <w:rFonts w:ascii="宋体" w:hAnsi="宋体"/>
          <w:sz w:val="30"/>
          <w:szCs w:val="30"/>
        </w:rPr>
      </w:pPr>
      <w:r>
        <w:rPr>
          <w:rFonts w:hint="eastAsia" w:ascii="宋体" w:hAnsi="宋体"/>
          <w:b/>
          <w:sz w:val="30"/>
          <w:szCs w:val="30"/>
        </w:rPr>
        <w:t>六</w:t>
      </w:r>
      <w:r>
        <w:rPr>
          <w:rFonts w:ascii="宋体" w:hAnsi="宋体"/>
          <w:b/>
          <w:sz w:val="30"/>
          <w:szCs w:val="30"/>
        </w:rPr>
        <w:t>、改进措施和有关建议</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针对上述存在的问题及对外整体支出管理工作的需要，拟实施的改进措施如下：</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3、完善资产管理，抓好“三公”经费控制。规范各类资产的购置审批制度、资、资产采购制度、使用管理制度、资产管理岗位职责制度等，加强单位内部的资产管理工作，严格控制“三公”经费的规模和比例。</w:t>
      </w:r>
    </w:p>
    <w:p>
      <w:pPr>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4、对相关人员加强培训，特别是针对《预算法》、《行政事业单位会计制度》等学习培训，规范部门预算收支核算，切实提高部门预算收支管理水平。</w:t>
      </w:r>
    </w:p>
    <w:p>
      <w:pPr>
        <w:ind w:firstLine="640" w:firstLineChars="200"/>
        <w:rPr>
          <w:rFonts w:hint="eastAsia" w:eastAsia="仿宋_GB2312"/>
          <w:color w:val="000000"/>
          <w:kern w:val="0"/>
          <w:sz w:val="32"/>
          <w:szCs w:val="32"/>
          <w:lang w:val="en-US" w:eastAsia="zh-CN"/>
        </w:rPr>
      </w:pPr>
    </w:p>
    <w:p/>
    <w:p>
      <w:pPr>
        <w:pStyle w:val="2"/>
        <w:rPr>
          <w:rFonts w:hint="eastAsia"/>
          <w:lang w:val="en-US" w:eastAsia="zh-CN"/>
        </w:rPr>
      </w:pPr>
      <w:r>
        <w:rPr>
          <w:rFonts w:hint="eastAsia"/>
          <w:lang w:val="en-US" w:eastAsia="zh-CN"/>
        </w:rPr>
        <w:t xml:space="preserve">                         永州市冷水滩区总工会</w:t>
      </w:r>
    </w:p>
    <w:p>
      <w:pPr>
        <w:pStyle w:val="2"/>
        <w:rPr>
          <w:rFonts w:hint="default"/>
          <w:lang w:val="en-US" w:eastAsia="zh-CN"/>
        </w:rPr>
      </w:pPr>
      <w:r>
        <w:rPr>
          <w:rFonts w:hint="eastAsia"/>
          <w:lang w:val="en-US" w:eastAsia="zh-CN"/>
        </w:rPr>
        <w:t xml:space="preserve">                           2021年9月4日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5981A"/>
    <w:multiLevelType w:val="singleLevel"/>
    <w:tmpl w:val="EDD5981A"/>
    <w:lvl w:ilvl="0" w:tentative="0">
      <w:start w:val="4"/>
      <w:numFmt w:val="chineseCounting"/>
      <w:suff w:val="nothing"/>
      <w:lvlText w:val="%1、"/>
      <w:lvlJc w:val="left"/>
      <w:rPr>
        <w:rFonts w:hint="eastAsia"/>
      </w:rPr>
    </w:lvl>
  </w:abstractNum>
  <w:abstractNum w:abstractNumId="1">
    <w:nsid w:val="230F2247"/>
    <w:multiLevelType w:val="singleLevel"/>
    <w:tmpl w:val="230F224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17C1400"/>
    <w:rsid w:val="017C1400"/>
    <w:rsid w:val="1D692069"/>
    <w:rsid w:val="611051CA"/>
    <w:rsid w:val="61DC6573"/>
    <w:rsid w:val="6E48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200" w:firstLine="420"/>
      <w:jc w:val="left"/>
    </w:pPr>
    <w:rPr>
      <w:rFonts w:eastAsia="宋体"/>
      <w:sz w:val="32"/>
      <w:szCs w:val="20"/>
    </w:r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1532</Words>
  <Characters>1600</Characters>
  <Lines>0</Lines>
  <Paragraphs>0</Paragraphs>
  <TotalTime>0</TotalTime>
  <ScaleCrop>false</ScaleCrop>
  <LinksUpToDate>false</LinksUpToDate>
  <CharactersWithSpaces>1652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2021-09-07T09:45:00Z</dcterms:created>
  <dc:creator>Seandivine</dc:creator>
  <cp:lastModifiedBy>Administrator</cp:lastModifiedBy>
  <dcterms:modified xsi:type="dcterms:W3CDTF">2023-09-22T12:36:29Z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CB4019D0C7114C7C931AC855FD4A9C69</vt:lpwstr>
  </property>
</Properties>
</file>