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center"/>
      </w:pPr>
      <w:r>
        <w:rPr>
          <w:rFonts w:ascii="宋体" w:hAnsi="宋体" w:eastAsia="宋体" w:cs="宋体"/>
          <w:color w:val="000000"/>
          <w:sz w:val="44"/>
          <w:szCs w:val="44"/>
        </w:rPr>
        <w:t>2021年度冷水滩区劳动保障监察大队部门决算</w:t>
      </w:r>
      <w:r>
        <w:rPr>
          <w:color w:val="000000"/>
        </w:rPr>
        <w:t xml:space="preserve"> </w:t>
      </w:r>
    </w:p>
    <w:p>
      <w:pPr>
        <w:spacing w:before="0" w:beforeAutospacing="0" w:after="2" w:afterAutospacing="0"/>
        <w:jc w:val="center"/>
        <w:rPr>
          <w:sz w:val="21"/>
          <w:szCs w:val="21"/>
        </w:rPr>
      </w:pPr>
      <w:r>
        <w:rPr>
          <w:color w:val="000000"/>
          <w:sz w:val="32"/>
          <w:szCs w:val="32"/>
        </w:rPr>
        <w:t> </w:t>
      </w:r>
      <w:r>
        <w:rPr>
          <w:color w:val="000000"/>
          <w:sz w:val="21"/>
          <w:szCs w:val="21"/>
        </w:rPr>
        <w:t xml:space="preserve"> </w:t>
      </w:r>
    </w:p>
    <w:p>
      <w:pPr>
        <w:spacing w:before="0" w:beforeAutospacing="0" w:after="2"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pPr>
        <w:spacing w:before="0" w:beforeAutospacing="0" w:after="2" w:afterAutospacing="0"/>
        <w:jc w:val="center"/>
        <w:rPr>
          <w:sz w:val="21"/>
          <w:szCs w:val="21"/>
        </w:rPr>
      </w:pP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第一部分 冷水滩区劳动保障监察大队概况</w:t>
      </w:r>
      <w:r>
        <w:rPr>
          <w:color w:val="000000"/>
          <w:sz w:val="27"/>
          <w:szCs w:val="27"/>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一、部门职责</w:t>
      </w:r>
      <w:r>
        <w:rPr>
          <w:color w:val="000000"/>
        </w:rPr>
        <w:t xml:space="preserve"> </w:t>
      </w:r>
      <w:bookmarkStart w:id="0" w:name="_GoBack"/>
      <w:bookmarkEnd w:id="0"/>
    </w:p>
    <w:p>
      <w:pPr>
        <w:pStyle w:val="14"/>
        <w:spacing w:before="0" w:beforeAutospacing="0" w:after="2" w:afterAutospacing="0"/>
        <w:ind w:left="0" w:firstLine="700"/>
      </w:pPr>
      <w:r>
        <w:rPr>
          <w:rFonts w:hint="eastAsia" w:ascii="宋体" w:hAnsi="宋体" w:eastAsia="宋体" w:cs="宋体"/>
          <w:color w:val="000000"/>
          <w:sz w:val="28"/>
          <w:szCs w:val="28"/>
        </w:rPr>
        <w:t>二、机构设置</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第二部分 2021年度部门决算表</w:t>
      </w:r>
      <w:r>
        <w:rPr>
          <w:color w:val="000000"/>
          <w:sz w:val="27"/>
          <w:szCs w:val="27"/>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一、收入支出决算总表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二、收入决算表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三、支出决算表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六、一般公共预算财政拨款基本支出决算明细表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八、政府性基金预算财政拨款收入支出决算表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九、国有资本经营预算财政拨款支出决算表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b/>
          <w:bCs/>
          <w:color w:val="000000"/>
          <w:sz w:val="32"/>
          <w:szCs w:val="32"/>
        </w:rPr>
        <w:t>第三部分 2021年度部门决算情况说明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二、收入决算情况说明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三、支出决算情况说明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八、政府性基金预算收入支出决算情况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九、关于机关运行经费支出说明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十、一般性支出情况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十一、关于政府采购支出说明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十二、关于国有资产占用情况说明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十三、关于2021年度预算绩效情况的说明</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p/>
    <w:p/>
    <w:p/>
    <w:p/>
    <w:p>
      <w:pPr>
        <w:spacing w:before="0" w:beforeAutospacing="0" w:after="2" w:afterAutospacing="0" w:line="600" w:lineRule="atLeast"/>
        <w:ind w:left="0" w:right="0"/>
        <w:jc w:val="center"/>
        <w:rPr>
          <w:sz w:val="21"/>
          <w:szCs w:val="21"/>
        </w:rPr>
      </w:pPr>
      <w:r>
        <w:rPr>
          <w:rFonts w:hint="eastAsia" w:ascii="宋体" w:hAnsi="宋体" w:eastAsia="宋体" w:cs="宋体"/>
          <w:b/>
          <w:bCs/>
          <w:color w:val="000000"/>
          <w:sz w:val="36"/>
          <w:szCs w:val="36"/>
        </w:rPr>
        <w:t>第一部分 冷水滩区劳动保障监察大队概况</w:t>
      </w:r>
      <w:r>
        <w:rPr>
          <w:b/>
          <w:bCs/>
          <w:color w:val="000000"/>
          <w:sz w:val="21"/>
          <w:szCs w:val="21"/>
        </w:rPr>
        <w:t xml:space="preserve"> </w:t>
      </w: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ind w:left="0" w:right="0" w:firstLine="0"/>
      </w:pPr>
      <w:r>
        <w:rPr>
          <w:rFonts w:hint="eastAsia" w:ascii="黑体" w:hAnsi="宋体" w:eastAsia="黑体" w:cs="黑体"/>
          <w:color w:val="000000"/>
          <w:sz w:val="32"/>
          <w:szCs w:val="32"/>
        </w:rPr>
        <w:t> </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（一）宣传国家方针政策和劳动法律、法规，督促用人单位和劳动者贯彻执行。</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（二）负责劳动保障监察行政执法管理工作，依法查处和纠正违反劳动法律、法规行为，维护劳动者和用人单位的合法权益。</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（三）负责劳动保障监察案件的审理工作，加强执法能力建设，积极推进劳动保障监察管理系统健康运行。</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（四）负责企业欠薪保障金的受理及审核工作，清理整顿劳动力市场秩序、劳务派遣、遵守劳动用工和社会保险法律法规情况为重点的专项执法检查。</w:t>
      </w:r>
      <w:r>
        <w:rPr>
          <w:color w:val="000000"/>
          <w:sz w:val="32"/>
          <w:szCs w:val="32"/>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（一）内设机构设置</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冷水滩区劳动保障监察大队内设机构包括：本部门共有编制人数17人，实有人数14人。内设股室2个，分别为办公室和中队室。</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（二）决算单位构成</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冷水滩区劳动保障监察大队为一级预算单位，无独立二级单位，因此本次决算公开单位为冷水滩区劳动保障监察大队本级。</w:t>
      </w:r>
      <w:r>
        <w:rPr>
          <w:color w:val="000000"/>
          <w:sz w:val="27"/>
          <w:szCs w:val="27"/>
        </w:rPr>
        <w:t xml:space="preserve"> </w:t>
      </w:r>
    </w:p>
    <w:p>
      <w:pPr>
        <w:rPr>
          <w:color w:val="000000"/>
          <w:sz w:val="32"/>
          <w:szCs w:val="32"/>
        </w:rPr>
        <w:sectPr>
          <w:pgSz w:w="11906" w:h="16838" w:orient="landscape"/>
          <w:pgMar w:top="1440" w:right="1080" w:bottom="1440" w:left="1080" w:header="851" w:footer="992" w:gutter="0"/>
          <w:paperSrc/>
          <w:cols w:space="720" w:num="1"/>
          <w:docGrid w:type="lines" w:linePitch="160" w:charSpace="0"/>
        </w:sectPr>
      </w:pPr>
    </w:p>
    <w:p>
      <w:pPr>
        <w:spacing w:before="0" w:beforeAutospacing="0" w:after="2" w:afterAutospacing="0"/>
        <w:ind w:left="0" w:firstLine="721"/>
        <w:jc w:val="center"/>
        <w:rPr>
          <w:sz w:val="21"/>
          <w:szCs w:val="21"/>
        </w:rPr>
      </w:pPr>
    </w:p>
    <w:p>
      <w:pPr>
        <w:spacing w:before="0" w:beforeAutospacing="0" w:after="2" w:afterAutospacing="0"/>
        <w:ind w:left="0" w:firstLine="721"/>
        <w:jc w:val="center"/>
        <w:rPr>
          <w:sz w:val="21"/>
          <w:szCs w:val="21"/>
        </w:rPr>
      </w:pPr>
      <w:r>
        <w:rPr>
          <w:rFonts w:hint="eastAsia" w:ascii="宋体" w:hAnsi="宋体" w:eastAsia="宋体" w:cs="宋体"/>
          <w:b/>
          <w:bCs/>
          <w:color w:val="000000"/>
          <w:sz w:val="36"/>
          <w:szCs w:val="36"/>
        </w:rPr>
        <w:t>第二部分 2021年度部门决算表</w:t>
      </w:r>
      <w:r>
        <w:rPr>
          <w:color w:val="000000"/>
          <w:sz w:val="21"/>
          <w:szCs w:val="21"/>
        </w:rPr>
        <w:t xml:space="preserve"> </w:t>
      </w:r>
    </w:p>
    <w:p>
      <w:pPr>
        <w:pStyle w:val="9"/>
        <w:keepNext w:val="0"/>
        <w:keepLines w:val="0"/>
        <w:widowControl/>
        <w:suppressLineNumbers w:val="0"/>
        <w:spacing w:before="0" w:beforeAutospacing="0" w:after="2" w:afterAutospacing="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648"/>
        <w:gridCol w:w="2569"/>
        <w:gridCol w:w="4802"/>
        <w:gridCol w:w="648"/>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noWrap w:val="0"/>
            <w:vAlign w:val="center"/>
          </w:tcPr>
          <w:p>
            <w:pPr>
              <w:pStyle w:val="9"/>
              <w:keepNext w:val="0"/>
              <w:keepLines w:val="0"/>
              <w:widowControl/>
              <w:suppressLineNumbers w:val="0"/>
              <w:jc w:val="center"/>
            </w:pPr>
            <w:r>
              <w:rPr>
                <w:b w:val="0"/>
                <w:bCs w:val="0"/>
                <w:sz w:val="40"/>
                <w:szCs w:val="40"/>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noWrap w:val="0"/>
            <w:vAlign w:val="center"/>
          </w:tcPr>
          <w:p>
            <w:pPr>
              <w:rPr>
                <w:rFonts w:hint="eastAsia" w:ascii="宋体"/>
                <w:b w:val="0"/>
                <w:bCs w:val="0"/>
                <w:sz w:val="22"/>
                <w:szCs w:val="22"/>
              </w:rPr>
            </w:pPr>
          </w:p>
        </w:tc>
        <w:tc>
          <w:tcPr>
            <w:tcW w:w="202" w:type="pct"/>
            <w:noWrap w:val="0"/>
            <w:vAlign w:val="center"/>
          </w:tcPr>
          <w:p>
            <w:pPr>
              <w:rPr>
                <w:rFonts w:hint="eastAsia" w:ascii="宋体"/>
                <w:b w:val="0"/>
                <w:bCs w:val="0"/>
                <w:sz w:val="22"/>
                <w:szCs w:val="22"/>
              </w:rPr>
            </w:pPr>
          </w:p>
        </w:tc>
        <w:tc>
          <w:tcPr>
            <w:tcW w:w="799" w:type="pct"/>
            <w:noWrap w:val="0"/>
            <w:vAlign w:val="center"/>
          </w:tcPr>
          <w:p>
            <w:pPr>
              <w:rPr>
                <w:rFonts w:hint="eastAsia" w:ascii="宋体"/>
                <w:b w:val="0"/>
                <w:bCs w:val="0"/>
                <w:sz w:val="22"/>
                <w:szCs w:val="22"/>
              </w:rPr>
            </w:pPr>
          </w:p>
        </w:tc>
        <w:tc>
          <w:tcPr>
            <w:tcW w:w="1497" w:type="pct"/>
            <w:noWrap w:val="0"/>
            <w:vAlign w:val="center"/>
          </w:tcPr>
          <w:p>
            <w:pPr>
              <w:rPr>
                <w:rFonts w:hint="eastAsia" w:ascii="宋体"/>
                <w:b w:val="0"/>
                <w:bCs w:val="0"/>
                <w:sz w:val="22"/>
                <w:szCs w:val="22"/>
              </w:rPr>
            </w:pPr>
          </w:p>
        </w:tc>
        <w:tc>
          <w:tcPr>
            <w:tcW w:w="1002" w:type="pct"/>
            <w:gridSpan w:val="2"/>
            <w:noWrap w:val="0"/>
            <w:vAlign w:val="center"/>
          </w:tcPr>
          <w:p>
            <w:pPr>
              <w:pStyle w:val="9"/>
              <w:keepNext w:val="0"/>
              <w:keepLines w:val="0"/>
              <w:widowControl/>
              <w:suppressLineNumbers w:val="0"/>
              <w:jc w:val="right"/>
            </w:pPr>
            <w:r>
              <w:rPr>
                <w:b w:val="0"/>
                <w:bCs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97" w:type="pct"/>
            <w:gridSpan w:val="4"/>
            <w:noWrap w:val="0"/>
            <w:vAlign w:val="center"/>
          </w:tcPr>
          <w:p>
            <w:pPr>
              <w:pStyle w:val="9"/>
              <w:keepNext w:val="0"/>
              <w:keepLines w:val="0"/>
              <w:widowControl/>
              <w:suppressLineNumbers w:val="0"/>
              <w:jc w:val="left"/>
            </w:pPr>
            <w:r>
              <w:rPr>
                <w:b w:val="0"/>
                <w:bCs w:val="0"/>
                <w:sz w:val="22"/>
                <w:szCs w:val="22"/>
              </w:rPr>
              <w:t>部门：永州市冷水滩区劳动保障监察大队</w:t>
            </w:r>
          </w:p>
        </w:tc>
        <w:tc>
          <w:tcPr>
            <w:tcW w:w="1002" w:type="pct"/>
            <w:gridSpan w:val="2"/>
            <w:noWrap w:val="0"/>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3"/>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收入</w:t>
            </w:r>
          </w:p>
        </w:tc>
        <w:tc>
          <w:tcPr>
            <w:tcW w:w="2500" w:type="pct"/>
            <w:gridSpan w:val="3"/>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项目</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行次</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金额</w:t>
            </w: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项目</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行次</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栏次</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w:t>
            </w: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栏次</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一、一般公共预算财政拨款收入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一、一般公共服务支出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二、政府性基金预算财政拨款收入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二、外交支出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33</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三、国有资本经营预算财政拨款收入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三、国防支出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34</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四、上级补助收入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四、公共安全支出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35</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五、事业收入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五、教育支出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36</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六、经营收入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6</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六、科学技术支出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37</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七、附属单位上缴收入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7</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七、文化旅游体育与传媒支出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38</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八、其他收入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8</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八、社会保障和就业支出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39</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9</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九、卫生健康支出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40</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10</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十、节能环保支出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十一、城乡社区支出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十二、农林水支出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43</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13</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十三、交通运输支出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44</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14</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十四、资源勘探工业信息等支出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45</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15</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十五、商业服务业等支出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46</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16</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十六、金融支出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47</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17</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十七、援助其他地区支出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48</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18</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十八、自然资源海洋气象等支出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49</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19</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十九、住房保障支出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50</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20</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二十、粮油物资储备支出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二十一、国有资本经营预算支出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二十二、灾害防治及应急管理支出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53</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23</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二十三、其他支出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54</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0"/>
                <w:szCs w:val="20"/>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0"/>
                <w:szCs w:val="20"/>
              </w:rPr>
              <w:t>24</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0"/>
                <w:szCs w:val="20"/>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二十四、债务还本支出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55</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0"/>
                <w:szCs w:val="20"/>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0"/>
                <w:szCs w:val="20"/>
              </w:rPr>
              <w:t>25</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0"/>
                <w:szCs w:val="20"/>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二十五、债务付息支出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56</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0"/>
                <w:szCs w:val="20"/>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0"/>
                <w:szCs w:val="20"/>
              </w:rPr>
              <w:t>26</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0"/>
                <w:szCs w:val="20"/>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二十六、抗疫特别国债安排的支出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57</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bCs/>
                <w:sz w:val="22"/>
                <w:szCs w:val="22"/>
              </w:rPr>
              <w:t>本年收入合计</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27</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252.84</w:t>
            </w: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bCs/>
                <w:sz w:val="22"/>
                <w:szCs w:val="22"/>
              </w:rPr>
              <w:t>本年支出合计</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58</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252.84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使用非财政拨款结余</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28</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结余分配</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59</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年初结转和结余</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29</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年末结转和结余</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60</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30</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61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bCs/>
                <w:sz w:val="22"/>
                <w:szCs w:val="22"/>
              </w:rPr>
              <w:t>总计</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252.84</w:t>
            </w:r>
          </w:p>
        </w:tc>
        <w:tc>
          <w:tcPr>
            <w:tcW w:w="1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bCs/>
                <w:sz w:val="22"/>
                <w:szCs w:val="22"/>
              </w:rPr>
              <w:t>总计</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62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252.84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noWrap w:val="0"/>
            <w:vAlign w:val="center"/>
          </w:tcPr>
          <w:p>
            <w:pPr>
              <w:pStyle w:val="9"/>
              <w:keepNext w:val="0"/>
              <w:keepLines w:val="0"/>
              <w:widowControl/>
              <w:suppressLineNumbers w:val="0"/>
              <w:jc w:val="left"/>
            </w:pPr>
            <w:r>
              <w:rPr>
                <w:b w:val="0"/>
                <w:bCs w:val="0"/>
                <w:sz w:val="22"/>
                <w:szCs w:val="22"/>
              </w:rPr>
              <w:t>注：本表反映部门本年度的总收支和年末结转结余情况。本表金额转换为万元时，因四舍五入可能存在尾数误差。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62"/>
        <w:gridCol w:w="362"/>
        <w:gridCol w:w="362"/>
        <w:gridCol w:w="3192"/>
        <w:gridCol w:w="2175"/>
        <w:gridCol w:w="1594"/>
        <w:gridCol w:w="1594"/>
        <w:gridCol w:w="1594"/>
        <w:gridCol w:w="1607"/>
        <w:gridCol w:w="1594"/>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1"/>
            <w:noWrap w:val="0"/>
            <w:vAlign w:val="center"/>
          </w:tcPr>
          <w:p>
            <w:pPr>
              <w:pStyle w:val="9"/>
              <w:keepNext w:val="0"/>
              <w:keepLines w:val="0"/>
              <w:widowControl/>
              <w:suppressLineNumbers w:val="0"/>
              <w:jc w:val="center"/>
            </w:pPr>
            <w:r>
              <w:rPr>
                <w:b w:val="0"/>
                <w:bCs w:val="0"/>
                <w:sz w:val="40"/>
                <w:szCs w:val="40"/>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3" w:type="pct"/>
            <w:noWrap w:val="0"/>
            <w:vAlign w:val="center"/>
          </w:tcPr>
          <w:p>
            <w:pPr>
              <w:rPr>
                <w:rFonts w:hint="eastAsia" w:ascii="宋体"/>
                <w:b w:val="0"/>
                <w:bCs w:val="0"/>
                <w:sz w:val="22"/>
                <w:szCs w:val="22"/>
              </w:rPr>
            </w:pPr>
          </w:p>
        </w:tc>
        <w:tc>
          <w:tcPr>
            <w:tcW w:w="113" w:type="pct"/>
            <w:noWrap w:val="0"/>
            <w:vAlign w:val="center"/>
          </w:tcPr>
          <w:p>
            <w:pPr>
              <w:rPr>
                <w:rFonts w:hint="eastAsia" w:ascii="宋体"/>
                <w:b w:val="0"/>
                <w:bCs w:val="0"/>
                <w:sz w:val="22"/>
                <w:szCs w:val="22"/>
              </w:rPr>
            </w:pPr>
          </w:p>
        </w:tc>
        <w:tc>
          <w:tcPr>
            <w:tcW w:w="113" w:type="pct"/>
            <w:noWrap w:val="0"/>
            <w:vAlign w:val="center"/>
          </w:tcPr>
          <w:p>
            <w:pPr>
              <w:rPr>
                <w:rFonts w:hint="eastAsia" w:ascii="宋体"/>
                <w:b w:val="0"/>
                <w:bCs w:val="0"/>
                <w:sz w:val="22"/>
                <w:szCs w:val="22"/>
              </w:rPr>
            </w:pPr>
          </w:p>
        </w:tc>
        <w:tc>
          <w:tcPr>
            <w:tcW w:w="995" w:type="pct"/>
            <w:noWrap w:val="0"/>
            <w:vAlign w:val="center"/>
          </w:tcPr>
          <w:p>
            <w:pPr>
              <w:rPr>
                <w:rFonts w:hint="eastAsia" w:ascii="宋体"/>
                <w:b w:val="0"/>
                <w:bCs w:val="0"/>
                <w:sz w:val="22"/>
                <w:szCs w:val="22"/>
              </w:rPr>
            </w:pPr>
          </w:p>
        </w:tc>
        <w:tc>
          <w:tcPr>
            <w:tcW w:w="678" w:type="pct"/>
            <w:noWrap w:val="0"/>
            <w:vAlign w:val="center"/>
          </w:tcPr>
          <w:p>
            <w:pPr>
              <w:rPr>
                <w:rFonts w:hint="eastAsia" w:ascii="宋体"/>
                <w:b w:val="0"/>
                <w:bCs w:val="0"/>
                <w:sz w:val="22"/>
                <w:szCs w:val="22"/>
              </w:rPr>
            </w:pPr>
          </w:p>
        </w:tc>
        <w:tc>
          <w:tcPr>
            <w:tcW w:w="497" w:type="pct"/>
            <w:noWrap w:val="0"/>
            <w:vAlign w:val="center"/>
          </w:tcPr>
          <w:p>
            <w:pPr>
              <w:rPr>
                <w:rFonts w:hint="eastAsia" w:ascii="宋体"/>
                <w:b w:val="0"/>
                <w:bCs w:val="0"/>
                <w:sz w:val="22"/>
                <w:szCs w:val="22"/>
              </w:rPr>
            </w:pPr>
          </w:p>
        </w:tc>
        <w:tc>
          <w:tcPr>
            <w:tcW w:w="497" w:type="pct"/>
            <w:noWrap w:val="0"/>
            <w:vAlign w:val="center"/>
          </w:tcPr>
          <w:p>
            <w:pPr>
              <w:rPr>
                <w:rFonts w:hint="eastAsia" w:ascii="宋体"/>
                <w:b w:val="0"/>
                <w:bCs w:val="0"/>
                <w:sz w:val="22"/>
                <w:szCs w:val="22"/>
              </w:rPr>
            </w:pPr>
          </w:p>
        </w:tc>
        <w:tc>
          <w:tcPr>
            <w:tcW w:w="497" w:type="pct"/>
            <w:noWrap w:val="0"/>
            <w:vAlign w:val="center"/>
          </w:tcPr>
          <w:p>
            <w:pPr>
              <w:rPr>
                <w:rFonts w:hint="eastAsia" w:ascii="宋体"/>
                <w:b w:val="0"/>
                <w:bCs w:val="0"/>
                <w:sz w:val="22"/>
                <w:szCs w:val="22"/>
              </w:rPr>
            </w:pPr>
          </w:p>
        </w:tc>
        <w:tc>
          <w:tcPr>
            <w:tcW w:w="497" w:type="pct"/>
            <w:noWrap w:val="0"/>
            <w:vAlign w:val="center"/>
          </w:tcPr>
          <w:p>
            <w:pPr>
              <w:rPr>
                <w:rFonts w:hint="eastAsia" w:ascii="宋体"/>
                <w:b w:val="0"/>
                <w:bCs w:val="0"/>
                <w:sz w:val="22"/>
                <w:szCs w:val="22"/>
              </w:rPr>
            </w:pPr>
          </w:p>
        </w:tc>
        <w:tc>
          <w:tcPr>
            <w:tcW w:w="995" w:type="pct"/>
            <w:gridSpan w:val="2"/>
            <w:noWrap w:val="0"/>
            <w:vAlign w:val="center"/>
          </w:tcPr>
          <w:p>
            <w:pPr>
              <w:pStyle w:val="9"/>
              <w:keepNext w:val="0"/>
              <w:keepLines w:val="0"/>
              <w:widowControl/>
              <w:suppressLineNumbers w:val="0"/>
              <w:jc w:val="right"/>
            </w:pPr>
            <w:r>
              <w:rPr>
                <w:b w:val="0"/>
                <w:bCs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04" w:type="pct"/>
            <w:gridSpan w:val="9"/>
            <w:noWrap w:val="0"/>
            <w:vAlign w:val="center"/>
          </w:tcPr>
          <w:p>
            <w:pPr>
              <w:pStyle w:val="9"/>
              <w:keepNext w:val="0"/>
              <w:keepLines w:val="0"/>
              <w:widowControl/>
              <w:suppressLineNumbers w:val="0"/>
              <w:jc w:val="left"/>
            </w:pPr>
            <w:r>
              <w:rPr>
                <w:b w:val="0"/>
                <w:bCs w:val="0"/>
                <w:sz w:val="22"/>
                <w:szCs w:val="22"/>
              </w:rPr>
              <w:t>部门：永州市冷水滩区劳动保障监察大队</w:t>
            </w:r>
          </w:p>
        </w:tc>
        <w:tc>
          <w:tcPr>
            <w:tcW w:w="995" w:type="pct"/>
            <w:gridSpan w:val="2"/>
            <w:noWrap w:val="0"/>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本年收入合计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财政拨款收入</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上级补助收入</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事业收入</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经营收入</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附属单位上缴收入</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科目名称</w:t>
            </w: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栏次</w:t>
            </w:r>
          </w:p>
        </w:tc>
        <w:tc>
          <w:tcPr>
            <w:tcW w:w="67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6</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合计</w:t>
            </w:r>
          </w:p>
        </w:tc>
        <w:tc>
          <w:tcPr>
            <w:tcW w:w="67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252.84</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252.84</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208</w:t>
            </w:r>
          </w:p>
        </w:tc>
        <w:tc>
          <w:tcPr>
            <w:tcW w:w="99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社会保障和就业支出</w:t>
            </w:r>
          </w:p>
        </w:tc>
        <w:tc>
          <w:tcPr>
            <w:tcW w:w="67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20801</w:t>
            </w:r>
          </w:p>
        </w:tc>
        <w:tc>
          <w:tcPr>
            <w:tcW w:w="99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人力资源和社会保障管理事务</w:t>
            </w:r>
          </w:p>
        </w:tc>
        <w:tc>
          <w:tcPr>
            <w:tcW w:w="67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2080105</w:t>
            </w:r>
          </w:p>
        </w:tc>
        <w:tc>
          <w:tcPr>
            <w:tcW w:w="99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劳动保障监察</w:t>
            </w:r>
          </w:p>
        </w:tc>
        <w:tc>
          <w:tcPr>
            <w:tcW w:w="67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95"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67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95"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67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95"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67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95"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67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95"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67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1"/>
            <w:noWrap w:val="0"/>
            <w:vAlign w:val="center"/>
          </w:tcPr>
          <w:p>
            <w:pPr>
              <w:pStyle w:val="9"/>
              <w:keepNext w:val="0"/>
              <w:keepLines w:val="0"/>
              <w:widowControl/>
              <w:suppressLineNumbers w:val="0"/>
              <w:jc w:val="left"/>
            </w:pPr>
            <w:r>
              <w:rPr>
                <w:b w:val="0"/>
                <w:bCs w:val="0"/>
                <w:sz w:val="22"/>
                <w:szCs w:val="22"/>
              </w:rPr>
              <w:t>注：本表反映部门本年度取得的各项收入情况。本表金额转换为万元时，因四舍五入可能存在尾数误差。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0"/>
        <w:gridCol w:w="401"/>
        <w:gridCol w:w="404"/>
        <w:gridCol w:w="3548"/>
        <w:gridCol w:w="2415"/>
        <w:gridCol w:w="1771"/>
        <w:gridCol w:w="1771"/>
        <w:gridCol w:w="1780"/>
        <w:gridCol w:w="1771"/>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noWrap w:val="0"/>
            <w:vAlign w:val="center"/>
          </w:tcPr>
          <w:p>
            <w:pPr>
              <w:pStyle w:val="9"/>
              <w:keepNext w:val="0"/>
              <w:keepLines w:val="0"/>
              <w:widowControl/>
              <w:suppressLineNumbers w:val="0"/>
              <w:jc w:val="center"/>
            </w:pPr>
            <w:r>
              <w:rPr>
                <w:b w:val="0"/>
                <w:bCs w:val="0"/>
                <w:sz w:val="40"/>
                <w:szCs w:val="40"/>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 w:type="pct"/>
            <w:noWrap w:val="0"/>
            <w:vAlign w:val="center"/>
          </w:tcPr>
          <w:p>
            <w:pPr>
              <w:rPr>
                <w:rFonts w:hint="eastAsia" w:ascii="宋体"/>
                <w:b w:val="0"/>
                <w:bCs w:val="0"/>
                <w:sz w:val="22"/>
                <w:szCs w:val="22"/>
              </w:rPr>
            </w:pPr>
          </w:p>
        </w:tc>
        <w:tc>
          <w:tcPr>
            <w:tcW w:w="125" w:type="pct"/>
            <w:noWrap w:val="0"/>
            <w:vAlign w:val="center"/>
          </w:tcPr>
          <w:p>
            <w:pPr>
              <w:rPr>
                <w:rFonts w:hint="eastAsia" w:ascii="宋体"/>
                <w:b w:val="0"/>
                <w:bCs w:val="0"/>
                <w:sz w:val="22"/>
                <w:szCs w:val="22"/>
              </w:rPr>
            </w:pPr>
          </w:p>
        </w:tc>
        <w:tc>
          <w:tcPr>
            <w:tcW w:w="125" w:type="pct"/>
            <w:noWrap w:val="0"/>
            <w:vAlign w:val="center"/>
          </w:tcPr>
          <w:p>
            <w:pPr>
              <w:rPr>
                <w:rFonts w:hint="eastAsia" w:ascii="宋体"/>
                <w:b w:val="0"/>
                <w:bCs w:val="0"/>
                <w:sz w:val="22"/>
                <w:szCs w:val="22"/>
              </w:rPr>
            </w:pPr>
          </w:p>
        </w:tc>
        <w:tc>
          <w:tcPr>
            <w:tcW w:w="1105" w:type="pct"/>
            <w:noWrap w:val="0"/>
            <w:vAlign w:val="center"/>
          </w:tcPr>
          <w:p>
            <w:pPr>
              <w:rPr>
                <w:rFonts w:hint="eastAsia" w:ascii="宋体"/>
                <w:b w:val="0"/>
                <w:bCs w:val="0"/>
                <w:sz w:val="22"/>
                <w:szCs w:val="22"/>
              </w:rPr>
            </w:pPr>
          </w:p>
        </w:tc>
        <w:tc>
          <w:tcPr>
            <w:tcW w:w="753" w:type="pct"/>
            <w:noWrap w:val="0"/>
            <w:vAlign w:val="center"/>
          </w:tcPr>
          <w:p>
            <w:pPr>
              <w:rPr>
                <w:rFonts w:hint="eastAsia" w:ascii="宋体"/>
                <w:b w:val="0"/>
                <w:bCs w:val="0"/>
                <w:sz w:val="22"/>
                <w:szCs w:val="22"/>
              </w:rPr>
            </w:pPr>
          </w:p>
        </w:tc>
        <w:tc>
          <w:tcPr>
            <w:tcW w:w="552" w:type="pct"/>
            <w:noWrap w:val="0"/>
            <w:vAlign w:val="center"/>
          </w:tcPr>
          <w:p>
            <w:pPr>
              <w:rPr>
                <w:rFonts w:hint="eastAsia" w:ascii="宋体"/>
                <w:b w:val="0"/>
                <w:bCs w:val="0"/>
                <w:sz w:val="22"/>
                <w:szCs w:val="22"/>
              </w:rPr>
            </w:pPr>
          </w:p>
        </w:tc>
        <w:tc>
          <w:tcPr>
            <w:tcW w:w="552" w:type="pct"/>
            <w:noWrap w:val="0"/>
            <w:vAlign w:val="center"/>
          </w:tcPr>
          <w:p>
            <w:pPr>
              <w:rPr>
                <w:rFonts w:hint="eastAsia" w:ascii="宋体"/>
                <w:b w:val="0"/>
                <w:bCs w:val="0"/>
                <w:sz w:val="22"/>
                <w:szCs w:val="22"/>
              </w:rPr>
            </w:pPr>
          </w:p>
        </w:tc>
        <w:tc>
          <w:tcPr>
            <w:tcW w:w="552" w:type="pct"/>
            <w:noWrap w:val="0"/>
            <w:vAlign w:val="center"/>
          </w:tcPr>
          <w:p>
            <w:pPr>
              <w:rPr>
                <w:rFonts w:hint="eastAsia" w:ascii="宋体"/>
                <w:b w:val="0"/>
                <w:bCs w:val="0"/>
                <w:sz w:val="22"/>
                <w:szCs w:val="22"/>
              </w:rPr>
            </w:pPr>
          </w:p>
        </w:tc>
        <w:tc>
          <w:tcPr>
            <w:tcW w:w="1105" w:type="pct"/>
            <w:gridSpan w:val="2"/>
            <w:noWrap w:val="0"/>
            <w:vAlign w:val="center"/>
          </w:tcPr>
          <w:p>
            <w:pPr>
              <w:pStyle w:val="9"/>
              <w:keepNext w:val="0"/>
              <w:keepLines w:val="0"/>
              <w:widowControl/>
              <w:suppressLineNumbers w:val="0"/>
              <w:jc w:val="right"/>
            </w:pPr>
            <w:r>
              <w:rPr>
                <w:b w:val="0"/>
                <w:bCs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94" w:type="pct"/>
            <w:gridSpan w:val="8"/>
            <w:noWrap w:val="0"/>
            <w:vAlign w:val="center"/>
          </w:tcPr>
          <w:p>
            <w:pPr>
              <w:pStyle w:val="9"/>
              <w:keepNext w:val="0"/>
              <w:keepLines w:val="0"/>
              <w:widowControl/>
              <w:suppressLineNumbers w:val="0"/>
              <w:jc w:val="left"/>
            </w:pPr>
            <w:r>
              <w:rPr>
                <w:b w:val="0"/>
                <w:bCs w:val="0"/>
                <w:sz w:val="22"/>
                <w:szCs w:val="22"/>
              </w:rPr>
              <w:t>部门：永州市冷水滩区劳动保障监察大队</w:t>
            </w:r>
          </w:p>
        </w:tc>
        <w:tc>
          <w:tcPr>
            <w:tcW w:w="1105" w:type="pct"/>
            <w:gridSpan w:val="2"/>
            <w:noWrap w:val="0"/>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本年支出合计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项目支出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上缴上级支出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经营支出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科目名称</w:t>
            </w: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栏次</w:t>
            </w:r>
          </w:p>
        </w:tc>
        <w:tc>
          <w:tcPr>
            <w:tcW w:w="7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合计</w:t>
            </w:r>
          </w:p>
        </w:tc>
        <w:tc>
          <w:tcPr>
            <w:tcW w:w="7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252.84</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252.84</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208</w:t>
            </w:r>
          </w:p>
        </w:tc>
        <w:tc>
          <w:tcPr>
            <w:tcW w:w="110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社会保障和就业支出</w:t>
            </w:r>
          </w:p>
        </w:tc>
        <w:tc>
          <w:tcPr>
            <w:tcW w:w="7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20801</w:t>
            </w:r>
          </w:p>
        </w:tc>
        <w:tc>
          <w:tcPr>
            <w:tcW w:w="110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人力资源和社会保障管理事务</w:t>
            </w:r>
          </w:p>
        </w:tc>
        <w:tc>
          <w:tcPr>
            <w:tcW w:w="7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2080105</w:t>
            </w:r>
          </w:p>
        </w:tc>
        <w:tc>
          <w:tcPr>
            <w:tcW w:w="110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劳动保障监察</w:t>
            </w:r>
          </w:p>
        </w:tc>
        <w:tc>
          <w:tcPr>
            <w:tcW w:w="7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05"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75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05"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75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05"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75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05"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75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05"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75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noWrap w:val="0"/>
            <w:vAlign w:val="center"/>
          </w:tcPr>
          <w:p>
            <w:pPr>
              <w:pStyle w:val="9"/>
              <w:keepNext w:val="0"/>
              <w:keepLines w:val="0"/>
              <w:widowControl/>
              <w:suppressLineNumbers w:val="0"/>
              <w:jc w:val="left"/>
            </w:pPr>
            <w:r>
              <w:rPr>
                <w:b w:val="0"/>
                <w:bCs w:val="0"/>
                <w:sz w:val="22"/>
                <w:szCs w:val="22"/>
              </w:rPr>
              <w:t>注：本表反映部门本年度各项支出情况。本表金额转换为万元时，因四舍五入可能存在尾数误差。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204"/>
        <w:gridCol w:w="529"/>
        <w:gridCol w:w="1559"/>
        <w:gridCol w:w="3692"/>
        <w:gridCol w:w="529"/>
        <w:gridCol w:w="2130"/>
        <w:gridCol w:w="1466"/>
        <w:gridCol w:w="1463"/>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noWrap w:val="0"/>
            <w:vAlign w:val="center"/>
          </w:tcPr>
          <w:p>
            <w:pPr>
              <w:pStyle w:val="9"/>
              <w:keepNext w:val="0"/>
              <w:keepLines w:val="0"/>
              <w:widowControl/>
              <w:suppressLineNumbers w:val="0"/>
              <w:jc w:val="center"/>
            </w:pPr>
            <w:r>
              <w:rPr>
                <w:b w:val="0"/>
                <w:bCs w:val="0"/>
                <w:sz w:val="40"/>
                <w:szCs w:val="40"/>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noWrap w:val="0"/>
            <w:vAlign w:val="center"/>
          </w:tcPr>
          <w:p>
            <w:pPr>
              <w:rPr>
                <w:rFonts w:hint="eastAsia" w:ascii="宋体"/>
                <w:b w:val="0"/>
                <w:bCs w:val="0"/>
                <w:sz w:val="22"/>
                <w:szCs w:val="22"/>
              </w:rPr>
            </w:pPr>
          </w:p>
        </w:tc>
        <w:tc>
          <w:tcPr>
            <w:tcW w:w="165" w:type="pct"/>
            <w:noWrap w:val="0"/>
            <w:vAlign w:val="center"/>
          </w:tcPr>
          <w:p>
            <w:pPr>
              <w:rPr>
                <w:rFonts w:hint="eastAsia" w:ascii="宋体"/>
                <w:b w:val="0"/>
                <w:bCs w:val="0"/>
                <w:sz w:val="22"/>
                <w:szCs w:val="22"/>
              </w:rPr>
            </w:pPr>
          </w:p>
        </w:tc>
        <w:tc>
          <w:tcPr>
            <w:tcW w:w="486" w:type="pct"/>
            <w:noWrap w:val="0"/>
            <w:vAlign w:val="center"/>
          </w:tcPr>
          <w:p>
            <w:pPr>
              <w:rPr>
                <w:rFonts w:hint="eastAsia" w:ascii="宋体"/>
                <w:b w:val="0"/>
                <w:bCs w:val="0"/>
                <w:sz w:val="22"/>
                <w:szCs w:val="22"/>
              </w:rPr>
            </w:pPr>
          </w:p>
        </w:tc>
        <w:tc>
          <w:tcPr>
            <w:tcW w:w="1151" w:type="pct"/>
            <w:noWrap w:val="0"/>
            <w:vAlign w:val="center"/>
          </w:tcPr>
          <w:p>
            <w:pPr>
              <w:rPr>
                <w:rFonts w:hint="eastAsia" w:ascii="宋体"/>
                <w:b w:val="0"/>
                <w:bCs w:val="0"/>
                <w:sz w:val="22"/>
                <w:szCs w:val="22"/>
              </w:rPr>
            </w:pPr>
          </w:p>
        </w:tc>
        <w:tc>
          <w:tcPr>
            <w:tcW w:w="165" w:type="pct"/>
            <w:noWrap w:val="0"/>
            <w:vAlign w:val="center"/>
          </w:tcPr>
          <w:p>
            <w:pPr>
              <w:rPr>
                <w:rFonts w:hint="eastAsia" w:ascii="宋体"/>
                <w:b w:val="0"/>
                <w:bCs w:val="0"/>
                <w:sz w:val="22"/>
                <w:szCs w:val="22"/>
              </w:rPr>
            </w:pPr>
          </w:p>
        </w:tc>
        <w:tc>
          <w:tcPr>
            <w:tcW w:w="664" w:type="pct"/>
            <w:noWrap w:val="0"/>
            <w:vAlign w:val="center"/>
          </w:tcPr>
          <w:p>
            <w:pPr>
              <w:rPr>
                <w:rFonts w:hint="eastAsia" w:ascii="宋体"/>
                <w:b w:val="0"/>
                <w:bCs w:val="0"/>
                <w:sz w:val="22"/>
                <w:szCs w:val="22"/>
              </w:rPr>
            </w:pPr>
          </w:p>
        </w:tc>
        <w:tc>
          <w:tcPr>
            <w:tcW w:w="456" w:type="pct"/>
            <w:noWrap w:val="0"/>
            <w:vAlign w:val="center"/>
          </w:tcPr>
          <w:p>
            <w:pPr>
              <w:rPr>
                <w:rFonts w:hint="eastAsia" w:ascii="宋体"/>
                <w:b w:val="0"/>
                <w:bCs w:val="0"/>
                <w:sz w:val="22"/>
                <w:szCs w:val="22"/>
              </w:rPr>
            </w:pPr>
          </w:p>
        </w:tc>
        <w:tc>
          <w:tcPr>
            <w:tcW w:w="912" w:type="pct"/>
            <w:gridSpan w:val="2"/>
            <w:noWrap w:val="0"/>
            <w:vAlign w:val="center"/>
          </w:tcPr>
          <w:p>
            <w:pPr>
              <w:pStyle w:val="9"/>
              <w:keepNext w:val="0"/>
              <w:keepLines w:val="0"/>
              <w:widowControl/>
              <w:suppressLineNumbers w:val="0"/>
              <w:jc w:val="right"/>
            </w:pPr>
            <w:r>
              <w:rPr>
                <w:b w:val="0"/>
                <w:bCs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87" w:type="pct"/>
            <w:gridSpan w:val="7"/>
            <w:noWrap w:val="0"/>
            <w:vAlign w:val="center"/>
          </w:tcPr>
          <w:p>
            <w:pPr>
              <w:pStyle w:val="9"/>
              <w:keepNext w:val="0"/>
              <w:keepLines w:val="0"/>
              <w:widowControl/>
              <w:suppressLineNumbers w:val="0"/>
              <w:jc w:val="left"/>
            </w:pPr>
            <w:r>
              <w:rPr>
                <w:b w:val="0"/>
                <w:bCs w:val="0"/>
                <w:sz w:val="22"/>
                <w:szCs w:val="22"/>
              </w:rPr>
              <w:t>部门：永州市冷水滩区劳动保障监察大队</w:t>
            </w:r>
          </w:p>
        </w:tc>
        <w:tc>
          <w:tcPr>
            <w:tcW w:w="912" w:type="pct"/>
            <w:gridSpan w:val="2"/>
            <w:noWrap w:val="0"/>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50" w:type="pct"/>
            <w:gridSpan w:val="3"/>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收 入</w:t>
            </w:r>
          </w:p>
        </w:tc>
        <w:tc>
          <w:tcPr>
            <w:tcW w:w="3349" w:type="pct"/>
            <w:gridSpan w:val="6"/>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行次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金额</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行次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一般公共预算财政拨款</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政府性基金预算财政拨款</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栏次</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w:t>
            </w: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栏次</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一、一般公共预算财政拨款</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一、一般公共服务支出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33</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二、政府性基金预算财政拨款</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二、外交支出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34</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三、国有资本经营财政拨款</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三、国防支出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35</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四、公共安全支出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36</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五、教育支出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37</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6</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六、科学技术支出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38</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7</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七、文化旅游体育与传媒支出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39</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8</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八、社会保障和就业支出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40</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9</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九、卫生健康支出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41</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10</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十、节能环保支出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42</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11</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十一、城乡社区支出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43</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12</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十二、农林水支出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44</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13</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十三、交通运输支出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45</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14</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十四、资源勘探工业信息等支出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46</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15</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十五、商业服务业等支出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47</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16</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十六、金融支出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48</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17</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十七、援助其他地区支出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49</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18</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十八、自然资源海洋气象等支出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50</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19</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十九、住房保障支出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51</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20</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二十、粮油物资储备支出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52</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21</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二十一、国有资本经营预算支出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53</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22</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二十二、灾害防治及应急管理支出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54</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23</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二十三、其他支出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55</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0"/>
                <w:szCs w:val="20"/>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24</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二十四、债务还本支出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56</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0"/>
                <w:szCs w:val="20"/>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25</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二十五、债务付息支出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57</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0"/>
                <w:szCs w:val="20"/>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26</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二十六、抗疫特别国债安排的支出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58</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bCs/>
                <w:sz w:val="22"/>
                <w:szCs w:val="22"/>
              </w:rPr>
              <w:t>本年收入合计</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27</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252.84</w:t>
            </w: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bCs/>
                <w:sz w:val="22"/>
                <w:szCs w:val="22"/>
              </w:rPr>
              <w:t>本年支出合计</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59</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252.84</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252.84</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年初财政拨款结转和结余</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28</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年末财政拨款结转和结余</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60</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一般公共预算财政拨款</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29</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61</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政府性基金预算财政拨款</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30</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62</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国有资本经营预算财政拨款</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31</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63</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bCs/>
                <w:sz w:val="22"/>
                <w:szCs w:val="22"/>
              </w:rPr>
              <w:t>总计</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32</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252.84</w:t>
            </w:r>
          </w:p>
        </w:tc>
        <w:tc>
          <w:tcPr>
            <w:tcW w:w="1151"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bCs/>
                <w:sz w:val="22"/>
                <w:szCs w:val="22"/>
              </w:rPr>
              <w:t>总计</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64</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252.84</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252.84</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noWrap w:val="0"/>
            <w:vAlign w:val="center"/>
          </w:tcPr>
          <w:p>
            <w:pPr>
              <w:pStyle w:val="9"/>
              <w:keepNext w:val="0"/>
              <w:keepLines w:val="0"/>
              <w:widowControl/>
              <w:suppressLineNumbers w:val="0"/>
              <w:jc w:val="left"/>
            </w:pPr>
            <w:r>
              <w:rPr>
                <w:b w:val="0"/>
                <w:bCs w:val="0"/>
                <w:sz w:val="22"/>
                <w:szCs w:val="22"/>
              </w:rPr>
              <w:t>注：本表反映部门本年度一般公共预算财政拨款、政府性基金预算财政拨款和国有资本经营预算财政拨款的总收支和年末结转结余情况。本表金额转换为万元时，因四舍五入可能存在尾数误差。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2"/>
        <w:gridCol w:w="452"/>
        <w:gridCol w:w="455"/>
        <w:gridCol w:w="5398"/>
        <w:gridCol w:w="3092"/>
        <w:gridCol w:w="3093"/>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noWrap w:val="0"/>
            <w:vAlign w:val="center"/>
          </w:tcPr>
          <w:p>
            <w:pPr>
              <w:pStyle w:val="9"/>
              <w:keepNext w:val="0"/>
              <w:keepLines w:val="0"/>
              <w:widowControl/>
              <w:suppressLineNumbers w:val="0"/>
              <w:jc w:val="center"/>
            </w:pPr>
            <w:r>
              <w:rPr>
                <w:b w:val="0"/>
                <w:bCs w:val="0"/>
                <w:sz w:val="40"/>
                <w:szCs w:val="40"/>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1" w:type="pct"/>
            <w:noWrap w:val="0"/>
            <w:vAlign w:val="center"/>
          </w:tcPr>
          <w:p>
            <w:pPr>
              <w:rPr>
                <w:rFonts w:hint="eastAsia" w:ascii="宋体"/>
                <w:b w:val="0"/>
                <w:bCs w:val="0"/>
                <w:sz w:val="22"/>
                <w:szCs w:val="22"/>
              </w:rPr>
            </w:pPr>
          </w:p>
        </w:tc>
        <w:tc>
          <w:tcPr>
            <w:tcW w:w="141" w:type="pct"/>
            <w:noWrap w:val="0"/>
            <w:vAlign w:val="center"/>
          </w:tcPr>
          <w:p>
            <w:pPr>
              <w:rPr>
                <w:rFonts w:hint="eastAsia" w:ascii="宋体"/>
                <w:b w:val="0"/>
                <w:bCs w:val="0"/>
                <w:sz w:val="22"/>
                <w:szCs w:val="22"/>
              </w:rPr>
            </w:pPr>
          </w:p>
        </w:tc>
        <w:tc>
          <w:tcPr>
            <w:tcW w:w="141" w:type="pct"/>
            <w:noWrap w:val="0"/>
            <w:vAlign w:val="center"/>
          </w:tcPr>
          <w:p>
            <w:pPr>
              <w:rPr>
                <w:rFonts w:hint="eastAsia" w:ascii="宋体"/>
                <w:b w:val="0"/>
                <w:bCs w:val="0"/>
                <w:sz w:val="22"/>
                <w:szCs w:val="22"/>
              </w:rPr>
            </w:pPr>
          </w:p>
        </w:tc>
        <w:tc>
          <w:tcPr>
            <w:tcW w:w="1683" w:type="pct"/>
            <w:noWrap w:val="0"/>
            <w:vAlign w:val="center"/>
          </w:tcPr>
          <w:p>
            <w:pPr>
              <w:rPr>
                <w:rFonts w:hint="eastAsia" w:ascii="宋体"/>
                <w:b w:val="0"/>
                <w:bCs w:val="0"/>
                <w:sz w:val="22"/>
                <w:szCs w:val="22"/>
              </w:rPr>
            </w:pPr>
          </w:p>
        </w:tc>
        <w:tc>
          <w:tcPr>
            <w:tcW w:w="964" w:type="pct"/>
            <w:noWrap w:val="0"/>
            <w:vAlign w:val="center"/>
          </w:tcPr>
          <w:p>
            <w:pPr>
              <w:rPr>
                <w:rFonts w:hint="eastAsia" w:ascii="宋体"/>
                <w:b w:val="0"/>
                <w:bCs w:val="0"/>
                <w:sz w:val="22"/>
                <w:szCs w:val="22"/>
              </w:rPr>
            </w:pPr>
          </w:p>
        </w:tc>
        <w:tc>
          <w:tcPr>
            <w:tcW w:w="1928" w:type="pct"/>
            <w:gridSpan w:val="2"/>
            <w:noWrap w:val="0"/>
            <w:vAlign w:val="center"/>
          </w:tcPr>
          <w:p>
            <w:pPr>
              <w:pStyle w:val="9"/>
              <w:keepNext w:val="0"/>
              <w:keepLines w:val="0"/>
              <w:widowControl/>
              <w:suppressLineNumbers w:val="0"/>
              <w:jc w:val="right"/>
            </w:pPr>
            <w:r>
              <w:rPr>
                <w:b w:val="0"/>
                <w:bCs w:val="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071" w:type="pct"/>
            <w:gridSpan w:val="5"/>
            <w:noWrap w:val="0"/>
            <w:vAlign w:val="center"/>
          </w:tcPr>
          <w:p>
            <w:pPr>
              <w:pStyle w:val="9"/>
              <w:keepNext w:val="0"/>
              <w:keepLines w:val="0"/>
              <w:widowControl/>
              <w:suppressLineNumbers w:val="0"/>
              <w:jc w:val="left"/>
            </w:pPr>
            <w:r>
              <w:rPr>
                <w:b w:val="0"/>
                <w:bCs w:val="0"/>
                <w:sz w:val="22"/>
                <w:szCs w:val="22"/>
              </w:rPr>
              <w:t>部门：永州市冷水滩区劳动保障监察大队</w:t>
            </w:r>
          </w:p>
        </w:tc>
        <w:tc>
          <w:tcPr>
            <w:tcW w:w="1928" w:type="pct"/>
            <w:gridSpan w:val="2"/>
            <w:noWrap w:val="0"/>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项目</w:t>
            </w:r>
          </w:p>
        </w:tc>
        <w:tc>
          <w:tcPr>
            <w:tcW w:w="2892" w:type="pct"/>
            <w:gridSpan w:val="3"/>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小计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栏次</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合计</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252.84</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252.84</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208</w:t>
            </w:r>
          </w:p>
        </w:tc>
        <w:tc>
          <w:tcPr>
            <w:tcW w:w="168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社会保障和就业支出</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20801</w:t>
            </w:r>
          </w:p>
        </w:tc>
        <w:tc>
          <w:tcPr>
            <w:tcW w:w="168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人力资源和社会保障管理事务</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2080105</w:t>
            </w:r>
          </w:p>
        </w:tc>
        <w:tc>
          <w:tcPr>
            <w:tcW w:w="168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劳动保障监察</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252.84</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8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8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8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8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68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noWrap w:val="0"/>
            <w:vAlign w:val="center"/>
          </w:tcPr>
          <w:p>
            <w:pPr>
              <w:pStyle w:val="9"/>
              <w:keepNext w:val="0"/>
              <w:keepLines w:val="0"/>
              <w:widowControl/>
              <w:suppressLineNumbers w:val="0"/>
              <w:jc w:val="left"/>
            </w:pPr>
            <w:r>
              <w:rPr>
                <w:b w:val="0"/>
                <w:bCs w:val="0"/>
                <w:sz w:val="22"/>
                <w:szCs w:val="22"/>
              </w:rPr>
              <w:t>注：本表反映部门本年度一般公共预算财政拨款支出情况。本表金额转换为万元时，因四舍五入可能存在尾数误差。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18"/>
        <w:gridCol w:w="3380"/>
        <w:gridCol w:w="1726"/>
        <w:gridCol w:w="719"/>
        <w:gridCol w:w="2659"/>
        <w:gridCol w:w="1726"/>
        <w:gridCol w:w="722"/>
        <w:gridCol w:w="26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noWrap w:val="0"/>
            <w:vAlign w:val="center"/>
          </w:tcPr>
          <w:p>
            <w:pPr>
              <w:pStyle w:val="9"/>
              <w:keepNext w:val="0"/>
              <w:keepLines w:val="0"/>
              <w:widowControl/>
              <w:suppressLineNumbers w:val="0"/>
              <w:jc w:val="center"/>
            </w:pPr>
            <w:r>
              <w:rPr>
                <w:b w:val="0"/>
                <w:bCs w:val="0"/>
                <w:sz w:val="40"/>
                <w:szCs w:val="40"/>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noWrap w:val="0"/>
            <w:vAlign w:val="center"/>
          </w:tcPr>
          <w:p>
            <w:pPr>
              <w:rPr>
                <w:rFonts w:hint="eastAsia" w:ascii="宋体"/>
                <w:b w:val="0"/>
                <w:bCs w:val="0"/>
                <w:sz w:val="22"/>
                <w:szCs w:val="22"/>
              </w:rPr>
            </w:pPr>
          </w:p>
        </w:tc>
        <w:tc>
          <w:tcPr>
            <w:tcW w:w="1053" w:type="pct"/>
            <w:noWrap w:val="0"/>
            <w:vAlign w:val="center"/>
          </w:tcPr>
          <w:p>
            <w:pPr>
              <w:rPr>
                <w:rFonts w:hint="eastAsia" w:ascii="宋体"/>
                <w:b w:val="0"/>
                <w:bCs w:val="0"/>
                <w:sz w:val="22"/>
                <w:szCs w:val="22"/>
              </w:rPr>
            </w:pPr>
          </w:p>
        </w:tc>
        <w:tc>
          <w:tcPr>
            <w:tcW w:w="538" w:type="pct"/>
            <w:noWrap w:val="0"/>
            <w:vAlign w:val="center"/>
          </w:tcPr>
          <w:p>
            <w:pPr>
              <w:rPr>
                <w:rFonts w:hint="eastAsia" w:ascii="宋体"/>
                <w:b w:val="0"/>
                <w:bCs w:val="0"/>
                <w:sz w:val="22"/>
                <w:szCs w:val="22"/>
              </w:rPr>
            </w:pPr>
          </w:p>
        </w:tc>
        <w:tc>
          <w:tcPr>
            <w:tcW w:w="224" w:type="pct"/>
            <w:noWrap w:val="0"/>
            <w:vAlign w:val="center"/>
          </w:tcPr>
          <w:p>
            <w:pPr>
              <w:rPr>
                <w:rFonts w:hint="eastAsia" w:ascii="宋体"/>
                <w:b w:val="0"/>
                <w:bCs w:val="0"/>
                <w:sz w:val="22"/>
                <w:szCs w:val="22"/>
              </w:rPr>
            </w:pPr>
          </w:p>
        </w:tc>
        <w:tc>
          <w:tcPr>
            <w:tcW w:w="829" w:type="pct"/>
            <w:noWrap w:val="0"/>
            <w:vAlign w:val="center"/>
          </w:tcPr>
          <w:p>
            <w:pPr>
              <w:rPr>
                <w:rFonts w:hint="eastAsia" w:ascii="宋体"/>
                <w:b w:val="0"/>
                <w:bCs w:val="0"/>
                <w:sz w:val="22"/>
                <w:szCs w:val="22"/>
              </w:rPr>
            </w:pPr>
          </w:p>
        </w:tc>
        <w:tc>
          <w:tcPr>
            <w:tcW w:w="538" w:type="pct"/>
            <w:noWrap w:val="0"/>
            <w:vAlign w:val="center"/>
          </w:tcPr>
          <w:p>
            <w:pPr>
              <w:rPr>
                <w:rFonts w:hint="eastAsia" w:ascii="宋体"/>
                <w:b w:val="0"/>
                <w:bCs w:val="0"/>
                <w:sz w:val="22"/>
                <w:szCs w:val="22"/>
              </w:rPr>
            </w:pPr>
          </w:p>
        </w:tc>
        <w:tc>
          <w:tcPr>
            <w:tcW w:w="224" w:type="pct"/>
            <w:noWrap w:val="0"/>
            <w:vAlign w:val="center"/>
          </w:tcPr>
          <w:p>
            <w:pPr>
              <w:rPr>
                <w:rFonts w:hint="eastAsia" w:ascii="宋体"/>
                <w:b w:val="0"/>
                <w:bCs w:val="0"/>
                <w:sz w:val="22"/>
                <w:szCs w:val="22"/>
              </w:rPr>
            </w:pPr>
          </w:p>
        </w:tc>
        <w:tc>
          <w:tcPr>
            <w:tcW w:w="1367" w:type="pct"/>
            <w:gridSpan w:val="2"/>
            <w:noWrap w:val="0"/>
            <w:vAlign w:val="center"/>
          </w:tcPr>
          <w:p>
            <w:pPr>
              <w:pStyle w:val="9"/>
              <w:keepNext w:val="0"/>
              <w:keepLines w:val="0"/>
              <w:widowControl/>
              <w:suppressLineNumbers w:val="0"/>
              <w:jc w:val="right"/>
            </w:pPr>
            <w:r>
              <w:rPr>
                <w:b w:val="0"/>
                <w:bCs w:val="0"/>
                <w:sz w:val="18"/>
                <w:szCs w:val="18"/>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632" w:type="pct"/>
            <w:gridSpan w:val="7"/>
            <w:noWrap w:val="0"/>
            <w:vAlign w:val="center"/>
          </w:tcPr>
          <w:p>
            <w:pPr>
              <w:pStyle w:val="9"/>
              <w:keepNext w:val="0"/>
              <w:keepLines w:val="0"/>
              <w:widowControl/>
              <w:suppressLineNumbers w:val="0"/>
              <w:jc w:val="left"/>
            </w:pPr>
            <w:r>
              <w:rPr>
                <w:b w:val="0"/>
                <w:bCs w:val="0"/>
                <w:sz w:val="22"/>
                <w:szCs w:val="22"/>
              </w:rPr>
              <w:t>部门：永州市冷水滩区劳动保障监察大队</w:t>
            </w:r>
          </w:p>
        </w:tc>
        <w:tc>
          <w:tcPr>
            <w:tcW w:w="1367" w:type="pct"/>
            <w:gridSpan w:val="2"/>
            <w:noWrap w:val="0"/>
            <w:vAlign w:val="center"/>
          </w:tcPr>
          <w:p>
            <w:pPr>
              <w:pStyle w:val="9"/>
              <w:keepNext w:val="0"/>
              <w:keepLines w:val="0"/>
              <w:widowControl/>
              <w:suppressLineNumbers w:val="0"/>
              <w:jc w:val="right"/>
            </w:pPr>
            <w:r>
              <w:rPr>
                <w:b w:val="0"/>
                <w:bCs w:val="0"/>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16" w:type="pct"/>
            <w:gridSpan w:val="3"/>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人员经费</w:t>
            </w:r>
          </w:p>
        </w:tc>
        <w:tc>
          <w:tcPr>
            <w:tcW w:w="3183" w:type="pct"/>
            <w:gridSpan w:val="6"/>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决算数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决算数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bCs/>
                <w:sz w:val="22"/>
                <w:szCs w:val="22"/>
              </w:rPr>
              <w:t>301</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bCs/>
                <w:sz w:val="22"/>
                <w:szCs w:val="22"/>
              </w:rPr>
              <w:t>工资福利支出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128.89</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bCs/>
                <w:sz w:val="22"/>
                <w:szCs w:val="22"/>
              </w:rPr>
              <w:t>302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bCs/>
                <w:sz w:val="22"/>
                <w:szCs w:val="22"/>
              </w:rPr>
              <w:t>商品和服务支出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123.12</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bCs/>
                <w:sz w:val="22"/>
                <w:szCs w:val="22"/>
              </w:rPr>
              <w:t>307</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bCs/>
                <w:sz w:val="22"/>
                <w:szCs w:val="22"/>
              </w:rPr>
              <w:t>债务利息及费用支出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30101</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基本工资</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54.46</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30201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办公费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18.77</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30701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国内债务付息</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30102</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津贴补贴</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31.34</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30202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印刷费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5.69</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30702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国外债务付息</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30103</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奖金</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9.20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30203</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咨询费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bCs/>
                <w:sz w:val="22"/>
                <w:szCs w:val="22"/>
              </w:rPr>
              <w:t>310</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bCs/>
                <w:sz w:val="22"/>
                <w:szCs w:val="22"/>
              </w:rPr>
              <w:t>资本性支出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30106</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伙食补助费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3.32</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30204</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手续费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31001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房屋建筑物购建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30107</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绩效工资</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0.97</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30205</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水费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0.16</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31002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办公设备购置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30108</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机关事业单位基本养老保险缴费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20.09</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30206</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电费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0.20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31003</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专用设备购置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30109</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职业年金缴费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0.21</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30207</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邮电费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0.17</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31005</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基础设施建设</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30110</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职工基本医疗保险缴费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8.96</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30208</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取暖费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31006</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大型修缮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30111</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公务员医疗补助缴费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30209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物业管理费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1.26</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31007</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信息网络及软件购置更新</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30112</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其他社会保障缴费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0.33</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30211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差旅费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2.05</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31008</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物资储备</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30113</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住房公积金</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30212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因公出国（境）费用</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31009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土地补偿</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30114</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医疗费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30213</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维修（护）费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3.66</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31010</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安置补助</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30199</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其他工资福利支出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30214</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租赁费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4.99</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31011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地上附着物和青苗补偿</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bCs/>
                <w:sz w:val="22"/>
                <w:szCs w:val="22"/>
              </w:rPr>
              <w:t>303</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bCs/>
                <w:sz w:val="22"/>
                <w:szCs w:val="22"/>
              </w:rPr>
              <w:t>对个人和家庭的补助</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0.83</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30215</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会议费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31012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拆迁补偿</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30301</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离休费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30216</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培训费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0.03</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31013</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公务用车购置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30302</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退休费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30217</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公务接待费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0.62</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31019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其他交通工具购置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30303</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退职（役）费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30218</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专用材料费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18.62</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31021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文物和陈列品购置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30304</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抚恤金</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30224</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被装购置费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31022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无形资产购置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30305</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生活补助</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0.83</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30225</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专用燃料费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31099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其他资本性支出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30306</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救济费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30226</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劳务费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5.69</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bCs/>
                <w:sz w:val="22"/>
                <w:szCs w:val="22"/>
              </w:rPr>
              <w:t>399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bCs/>
                <w:sz w:val="22"/>
                <w:szCs w:val="22"/>
              </w:rPr>
              <w:t>其他支出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30307</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医疗费补助</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30227</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委托业务费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35.97</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39906</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赠与</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30308</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助学金</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30228</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工会经费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4.53</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39907</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国家赔偿费用支出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30309</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奖励金</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30229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福利费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39908</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对民间非营利组织和群众性自治组织补贴</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30310</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个人农业生产补贴</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30231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公务用车运行维护费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39999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其他支出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30311</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代缴社会保险费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30239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其他交通费用</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30399</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其他对个人和家庭的补助</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30240</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税金及附加费用</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3.56</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05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30299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left"/>
            </w:pPr>
            <w:r>
              <w:rPr>
                <w:b w:val="0"/>
                <w:bCs w:val="0"/>
                <w:sz w:val="22"/>
                <w:szCs w:val="22"/>
              </w:rPr>
              <w:t>其他商品和服务支出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rPr>
                <w:rFonts w:hint="eastAsia" w:eastAsia="宋体"/>
                <w:lang w:val="en-US" w:eastAsia="zh-CN"/>
              </w:rPr>
            </w:pPr>
            <w:r>
              <w:rPr>
                <w:b w:val="0"/>
                <w:bCs w:val="0"/>
                <w:sz w:val="22"/>
                <w:szCs w:val="22"/>
              </w:rPr>
              <w:t>17.1</w:t>
            </w:r>
            <w:r>
              <w:rPr>
                <w:rFonts w:hint="eastAsia"/>
                <w:b w:val="0"/>
                <w:bCs w:val="0"/>
                <w:sz w:val="22"/>
                <w:szCs w:val="22"/>
                <w:lang w:val="en-US" w:eastAsia="zh-CN"/>
              </w:rPr>
              <w:t>8</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29"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78" w:type="pct"/>
            <w:gridSpan w:val="2"/>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bCs/>
                <w:sz w:val="22"/>
                <w:szCs w:val="22"/>
              </w:rPr>
              <w:t>人员经费合计</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bCs/>
                <w:sz w:val="22"/>
                <w:szCs w:val="22"/>
              </w:rPr>
              <w:t>129.71</w:t>
            </w:r>
          </w:p>
        </w:tc>
        <w:tc>
          <w:tcPr>
            <w:tcW w:w="2645" w:type="pct"/>
            <w:gridSpan w:val="5"/>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bCs/>
                <w:sz w:val="22"/>
                <w:szCs w:val="22"/>
              </w:rPr>
              <w:t>公用经费合计</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rPr>
                <w:rFonts w:hint="eastAsia" w:eastAsia="宋体"/>
                <w:lang w:val="en-US" w:eastAsia="zh-CN"/>
              </w:rPr>
            </w:pPr>
            <w:r>
              <w:rPr>
                <w:b/>
                <w:bCs/>
                <w:sz w:val="22"/>
                <w:szCs w:val="22"/>
              </w:rPr>
              <w:t>123.1</w:t>
            </w:r>
            <w:r>
              <w:rPr>
                <w:rFonts w:hint="eastAsia"/>
                <w:b/>
                <w:bCs/>
                <w:sz w:val="22"/>
                <w:szCs w:val="22"/>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noWrap w:val="0"/>
            <w:vAlign w:val="center"/>
          </w:tcPr>
          <w:p>
            <w:pPr>
              <w:pStyle w:val="9"/>
              <w:keepNext w:val="0"/>
              <w:keepLines w:val="0"/>
              <w:widowControl/>
              <w:suppressLineNumbers w:val="0"/>
              <w:jc w:val="left"/>
            </w:pPr>
            <w:r>
              <w:rPr>
                <w:b w:val="0"/>
                <w:bCs w:val="0"/>
                <w:sz w:val="22"/>
                <w:szCs w:val="22"/>
              </w:rPr>
              <w:t>注：本表反映部门本年度一般公共预算财政拨款基本支出明细情况。本表金额转换为万元时，因四舍五入可能存在尾数误差。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noWrap w:val="0"/>
            <w:vAlign w:val="center"/>
          </w:tcPr>
          <w:p>
            <w:pPr>
              <w:pStyle w:val="9"/>
              <w:keepNext w:val="0"/>
              <w:keepLines w:val="0"/>
              <w:widowControl/>
              <w:suppressLineNumbers w:val="0"/>
              <w:jc w:val="center"/>
            </w:pPr>
            <w:r>
              <w:rPr>
                <w:b w:val="0"/>
                <w:bCs w:val="0"/>
                <w:sz w:val="40"/>
                <w:szCs w:val="40"/>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noWrap w:val="0"/>
            <w:vAlign w:val="center"/>
          </w:tcPr>
          <w:p>
            <w:pPr>
              <w:rPr>
                <w:rFonts w:hint="eastAsia" w:ascii="宋体"/>
                <w:b w:val="0"/>
                <w:bCs w:val="0"/>
                <w:sz w:val="22"/>
                <w:szCs w:val="22"/>
              </w:rPr>
            </w:pPr>
          </w:p>
        </w:tc>
        <w:tc>
          <w:tcPr>
            <w:tcW w:w="416" w:type="pct"/>
            <w:noWrap w:val="0"/>
            <w:vAlign w:val="center"/>
          </w:tcPr>
          <w:p>
            <w:pPr>
              <w:rPr>
                <w:rFonts w:hint="eastAsia" w:ascii="宋体"/>
                <w:b w:val="0"/>
                <w:bCs w:val="0"/>
                <w:sz w:val="22"/>
                <w:szCs w:val="22"/>
              </w:rPr>
            </w:pPr>
          </w:p>
        </w:tc>
        <w:tc>
          <w:tcPr>
            <w:tcW w:w="416" w:type="pct"/>
            <w:noWrap w:val="0"/>
            <w:vAlign w:val="center"/>
          </w:tcPr>
          <w:p>
            <w:pPr>
              <w:rPr>
                <w:rFonts w:hint="eastAsia" w:ascii="宋体"/>
                <w:b w:val="0"/>
                <w:bCs w:val="0"/>
                <w:sz w:val="22"/>
                <w:szCs w:val="22"/>
              </w:rPr>
            </w:pPr>
          </w:p>
        </w:tc>
        <w:tc>
          <w:tcPr>
            <w:tcW w:w="416" w:type="pct"/>
            <w:noWrap w:val="0"/>
            <w:vAlign w:val="center"/>
          </w:tcPr>
          <w:p>
            <w:pPr>
              <w:rPr>
                <w:rFonts w:hint="eastAsia" w:ascii="宋体"/>
                <w:b w:val="0"/>
                <w:bCs w:val="0"/>
                <w:sz w:val="22"/>
                <w:szCs w:val="22"/>
              </w:rPr>
            </w:pPr>
          </w:p>
        </w:tc>
        <w:tc>
          <w:tcPr>
            <w:tcW w:w="416" w:type="pct"/>
            <w:noWrap w:val="0"/>
            <w:vAlign w:val="center"/>
          </w:tcPr>
          <w:p>
            <w:pPr>
              <w:rPr>
                <w:rFonts w:hint="eastAsia" w:ascii="宋体"/>
                <w:b w:val="0"/>
                <w:bCs w:val="0"/>
                <w:sz w:val="22"/>
                <w:szCs w:val="22"/>
              </w:rPr>
            </w:pPr>
          </w:p>
        </w:tc>
        <w:tc>
          <w:tcPr>
            <w:tcW w:w="416" w:type="pct"/>
            <w:noWrap w:val="0"/>
            <w:vAlign w:val="center"/>
          </w:tcPr>
          <w:p>
            <w:pPr>
              <w:rPr>
                <w:rFonts w:hint="eastAsia" w:ascii="宋体"/>
                <w:b w:val="0"/>
                <w:bCs w:val="0"/>
                <w:sz w:val="22"/>
                <w:szCs w:val="22"/>
              </w:rPr>
            </w:pPr>
          </w:p>
        </w:tc>
        <w:tc>
          <w:tcPr>
            <w:tcW w:w="416" w:type="pct"/>
            <w:noWrap w:val="0"/>
            <w:vAlign w:val="center"/>
          </w:tcPr>
          <w:p>
            <w:pPr>
              <w:rPr>
                <w:rFonts w:hint="eastAsia" w:ascii="宋体"/>
                <w:b w:val="0"/>
                <w:bCs w:val="0"/>
                <w:sz w:val="22"/>
                <w:szCs w:val="22"/>
              </w:rPr>
            </w:pPr>
          </w:p>
        </w:tc>
        <w:tc>
          <w:tcPr>
            <w:tcW w:w="416" w:type="pct"/>
            <w:noWrap w:val="0"/>
            <w:vAlign w:val="center"/>
          </w:tcPr>
          <w:p>
            <w:pPr>
              <w:rPr>
                <w:rFonts w:hint="eastAsia" w:ascii="宋体"/>
                <w:b w:val="0"/>
                <w:bCs w:val="0"/>
                <w:sz w:val="22"/>
                <w:szCs w:val="22"/>
              </w:rPr>
            </w:pPr>
          </w:p>
        </w:tc>
        <w:tc>
          <w:tcPr>
            <w:tcW w:w="416" w:type="pct"/>
            <w:noWrap w:val="0"/>
            <w:vAlign w:val="center"/>
          </w:tcPr>
          <w:p>
            <w:pPr>
              <w:rPr>
                <w:rFonts w:hint="eastAsia" w:ascii="宋体"/>
                <w:b w:val="0"/>
                <w:bCs w:val="0"/>
                <w:sz w:val="22"/>
                <w:szCs w:val="22"/>
              </w:rPr>
            </w:pPr>
          </w:p>
        </w:tc>
        <w:tc>
          <w:tcPr>
            <w:tcW w:w="416" w:type="pct"/>
            <w:noWrap w:val="0"/>
            <w:vAlign w:val="center"/>
          </w:tcPr>
          <w:p>
            <w:pPr>
              <w:rPr>
                <w:rFonts w:hint="eastAsia" w:ascii="宋体"/>
                <w:b w:val="0"/>
                <w:bCs w:val="0"/>
                <w:sz w:val="22"/>
                <w:szCs w:val="22"/>
              </w:rPr>
            </w:pPr>
          </w:p>
        </w:tc>
        <w:tc>
          <w:tcPr>
            <w:tcW w:w="833" w:type="pct"/>
            <w:gridSpan w:val="2"/>
            <w:noWrap w:val="0"/>
            <w:vAlign w:val="center"/>
          </w:tcPr>
          <w:p>
            <w:pPr>
              <w:pStyle w:val="9"/>
              <w:keepNext w:val="0"/>
              <w:keepLines w:val="0"/>
              <w:widowControl/>
              <w:suppressLineNumbers w:val="0"/>
              <w:jc w:val="right"/>
            </w:pPr>
            <w:r>
              <w:rPr>
                <w:b w:val="0"/>
                <w:bCs w:val="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6" w:type="pct"/>
            <w:gridSpan w:val="10"/>
            <w:noWrap w:val="0"/>
            <w:vAlign w:val="center"/>
          </w:tcPr>
          <w:p>
            <w:pPr>
              <w:pStyle w:val="9"/>
              <w:keepNext w:val="0"/>
              <w:keepLines w:val="0"/>
              <w:widowControl/>
              <w:suppressLineNumbers w:val="0"/>
              <w:jc w:val="left"/>
            </w:pPr>
            <w:r>
              <w:rPr>
                <w:b w:val="0"/>
                <w:bCs w:val="0"/>
                <w:sz w:val="22"/>
                <w:szCs w:val="22"/>
              </w:rPr>
              <w:t>部门：永州市冷水滩区劳动保障监察大队</w:t>
            </w:r>
          </w:p>
        </w:tc>
        <w:tc>
          <w:tcPr>
            <w:tcW w:w="833" w:type="pct"/>
            <w:gridSpan w:val="2"/>
            <w:noWrap w:val="0"/>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6"/>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预算数</w:t>
            </w:r>
          </w:p>
        </w:tc>
        <w:tc>
          <w:tcPr>
            <w:tcW w:w="2500" w:type="pct"/>
            <w:gridSpan w:val="6"/>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因公出国（境）费</w:t>
            </w:r>
          </w:p>
        </w:tc>
        <w:tc>
          <w:tcPr>
            <w:tcW w:w="1250" w:type="pct"/>
            <w:gridSpan w:val="3"/>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公务用车购置及运行费</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公务接待费</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因公出国（境）费</w:t>
            </w:r>
          </w:p>
        </w:tc>
        <w:tc>
          <w:tcPr>
            <w:tcW w:w="1250" w:type="pct"/>
            <w:gridSpan w:val="3"/>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公务用车购置及运行费</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小计</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公务用车购置费</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公务用车运行费</w:t>
            </w: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小计</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公务用车购置费</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公务用车运行费</w:t>
            </w: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6</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7</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8</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9</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11</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1.50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eastAsia="等线"/>
                <w:b w:val="0"/>
                <w:bCs w:val="0"/>
                <w:sz w:val="22"/>
                <w:szCs w:val="22"/>
                <w:lang w:val="en-US" w:eastAsia="zh-CN"/>
              </w:rPr>
            </w:pPr>
            <w:r>
              <w:rPr>
                <w:rFonts w:hint="eastAsia" w:ascii="宋体"/>
                <w:b w:val="0"/>
                <w:bCs w:val="0"/>
                <w:sz w:val="22"/>
                <w:szCs w:val="22"/>
                <w:lang w:val="en-US" w:eastAsia="zh-CN"/>
              </w:rPr>
              <w:t>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eastAsia="等线"/>
                <w:b w:val="0"/>
                <w:bCs w:val="0"/>
                <w:sz w:val="22"/>
                <w:szCs w:val="22"/>
                <w:lang w:val="en-US" w:eastAsia="zh-CN"/>
              </w:rPr>
            </w:pPr>
            <w:r>
              <w:rPr>
                <w:rFonts w:hint="eastAsia" w:ascii="宋体"/>
                <w:b w:val="0"/>
                <w:bCs w:val="0"/>
                <w:sz w:val="22"/>
                <w:szCs w:val="22"/>
                <w:lang w:val="en-US" w:eastAsia="zh-CN"/>
              </w:rPr>
              <w:t>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eastAsia="等线"/>
                <w:b w:val="0"/>
                <w:bCs w:val="0"/>
                <w:sz w:val="22"/>
                <w:szCs w:val="22"/>
                <w:lang w:val="en-US" w:eastAsia="zh-CN"/>
              </w:rPr>
            </w:pPr>
            <w:r>
              <w:rPr>
                <w:rFonts w:hint="eastAsia" w:ascii="宋体"/>
                <w:b w:val="0"/>
                <w:bCs w:val="0"/>
                <w:sz w:val="22"/>
                <w:szCs w:val="22"/>
                <w:lang w:val="en-US" w:eastAsia="zh-CN"/>
              </w:rPr>
              <w:t>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eastAsia="等线"/>
                <w:b w:val="0"/>
                <w:bCs w:val="0"/>
                <w:sz w:val="22"/>
                <w:szCs w:val="22"/>
                <w:lang w:val="en-US" w:eastAsia="zh-CN"/>
              </w:rPr>
            </w:pPr>
            <w:r>
              <w:rPr>
                <w:rFonts w:hint="eastAsia" w:ascii="宋体"/>
                <w:b w:val="0"/>
                <w:bCs w:val="0"/>
                <w:sz w:val="22"/>
                <w:szCs w:val="22"/>
                <w:lang w:val="en-US" w:eastAsia="zh-CN"/>
              </w:rPr>
              <w:t>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1.50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0.62</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eastAsia="等线"/>
                <w:b w:val="0"/>
                <w:bCs w:val="0"/>
                <w:sz w:val="22"/>
                <w:szCs w:val="22"/>
                <w:lang w:val="en-US" w:eastAsia="zh-CN"/>
              </w:rPr>
            </w:pPr>
            <w:r>
              <w:rPr>
                <w:rFonts w:hint="eastAsia" w:ascii="宋体"/>
                <w:b w:val="0"/>
                <w:bCs w:val="0"/>
                <w:sz w:val="22"/>
                <w:szCs w:val="22"/>
                <w:lang w:val="en-US" w:eastAsia="zh-CN"/>
              </w:rPr>
              <w:t>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eastAsia="等线"/>
                <w:b w:val="0"/>
                <w:bCs w:val="0"/>
                <w:sz w:val="22"/>
                <w:szCs w:val="22"/>
                <w:lang w:val="en-US" w:eastAsia="zh-CN"/>
              </w:rPr>
            </w:pPr>
            <w:r>
              <w:rPr>
                <w:rFonts w:hint="eastAsia" w:ascii="宋体"/>
                <w:b w:val="0"/>
                <w:bCs w:val="0"/>
                <w:sz w:val="22"/>
                <w:szCs w:val="22"/>
                <w:lang w:val="en-US" w:eastAsia="zh-CN"/>
              </w:rPr>
              <w:t>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eastAsia="等线"/>
                <w:b w:val="0"/>
                <w:bCs w:val="0"/>
                <w:sz w:val="22"/>
                <w:szCs w:val="22"/>
                <w:lang w:val="en-US" w:eastAsia="zh-CN"/>
              </w:rPr>
            </w:pPr>
            <w:r>
              <w:rPr>
                <w:rFonts w:hint="eastAsia" w:ascii="宋体"/>
                <w:b w:val="0"/>
                <w:bCs w:val="0"/>
                <w:sz w:val="22"/>
                <w:szCs w:val="22"/>
                <w:lang w:val="en-US" w:eastAsia="zh-CN"/>
              </w:rPr>
              <w:t>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eastAsia="等线"/>
                <w:b w:val="0"/>
                <w:bCs w:val="0"/>
                <w:sz w:val="22"/>
                <w:szCs w:val="22"/>
                <w:lang w:val="en-US" w:eastAsia="zh-CN"/>
              </w:rPr>
            </w:pPr>
            <w:r>
              <w:rPr>
                <w:rFonts w:hint="eastAsia" w:ascii="宋体"/>
                <w:b w:val="0"/>
                <w:bCs w:val="0"/>
                <w:sz w:val="22"/>
                <w:szCs w:val="22"/>
                <w:lang w:val="en-US" w:eastAsia="zh-CN"/>
              </w:rPr>
              <w:t>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right"/>
            </w:pPr>
            <w:r>
              <w:rPr>
                <w:b w:val="0"/>
                <w:bCs w:val="0"/>
                <w:sz w:val="22"/>
                <w:szCs w:val="22"/>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noWrap w:val="0"/>
            <w:vAlign w:val="center"/>
          </w:tcPr>
          <w:p>
            <w:pPr>
              <w:pStyle w:val="9"/>
              <w:keepNext w:val="0"/>
              <w:keepLines w:val="0"/>
              <w:widowControl/>
              <w:suppressLineNumbers w:val="0"/>
              <w:jc w:val="left"/>
            </w:pPr>
            <w:r>
              <w:rPr>
                <w:b w:val="0"/>
                <w:bCs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3"/>
        <w:gridCol w:w="334"/>
        <w:gridCol w:w="334"/>
        <w:gridCol w:w="3458"/>
        <w:gridCol w:w="1180"/>
        <w:gridCol w:w="1969"/>
        <w:gridCol w:w="1075"/>
        <w:gridCol w:w="1527"/>
        <w:gridCol w:w="1517"/>
        <w:gridCol w:w="4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noWrap w:val="0"/>
            <w:vAlign w:val="center"/>
          </w:tcPr>
          <w:p>
            <w:pPr>
              <w:pStyle w:val="9"/>
              <w:keepNext w:val="0"/>
              <w:keepLines w:val="0"/>
              <w:widowControl/>
              <w:suppressLineNumbers w:val="0"/>
              <w:jc w:val="center"/>
            </w:pPr>
            <w:r>
              <w:rPr>
                <w:b w:val="0"/>
                <w:bCs w:val="0"/>
                <w:sz w:val="40"/>
                <w:szCs w:val="40"/>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4" w:type="pct"/>
            <w:noWrap w:val="0"/>
            <w:vAlign w:val="center"/>
          </w:tcPr>
          <w:p>
            <w:pPr>
              <w:rPr>
                <w:rFonts w:hint="eastAsia" w:ascii="宋体"/>
                <w:b w:val="0"/>
                <w:bCs w:val="0"/>
                <w:sz w:val="22"/>
                <w:szCs w:val="22"/>
              </w:rPr>
            </w:pPr>
          </w:p>
        </w:tc>
        <w:tc>
          <w:tcPr>
            <w:tcW w:w="104" w:type="pct"/>
            <w:noWrap w:val="0"/>
            <w:vAlign w:val="center"/>
          </w:tcPr>
          <w:p>
            <w:pPr>
              <w:rPr>
                <w:rFonts w:hint="eastAsia" w:ascii="宋体"/>
                <w:b w:val="0"/>
                <w:bCs w:val="0"/>
                <w:sz w:val="22"/>
                <w:szCs w:val="22"/>
              </w:rPr>
            </w:pPr>
          </w:p>
        </w:tc>
        <w:tc>
          <w:tcPr>
            <w:tcW w:w="104" w:type="pct"/>
            <w:noWrap w:val="0"/>
            <w:vAlign w:val="center"/>
          </w:tcPr>
          <w:p>
            <w:pPr>
              <w:rPr>
                <w:rFonts w:hint="eastAsia" w:ascii="宋体"/>
                <w:b w:val="0"/>
                <w:bCs w:val="0"/>
                <w:sz w:val="22"/>
                <w:szCs w:val="22"/>
              </w:rPr>
            </w:pPr>
          </w:p>
        </w:tc>
        <w:tc>
          <w:tcPr>
            <w:tcW w:w="1078" w:type="pct"/>
            <w:noWrap w:val="0"/>
            <w:vAlign w:val="center"/>
          </w:tcPr>
          <w:p>
            <w:pPr>
              <w:rPr>
                <w:rFonts w:hint="eastAsia" w:ascii="宋体"/>
                <w:b w:val="0"/>
                <w:bCs w:val="0"/>
                <w:sz w:val="22"/>
                <w:szCs w:val="22"/>
              </w:rPr>
            </w:pPr>
          </w:p>
        </w:tc>
        <w:tc>
          <w:tcPr>
            <w:tcW w:w="368" w:type="pct"/>
            <w:noWrap w:val="0"/>
            <w:vAlign w:val="center"/>
          </w:tcPr>
          <w:p>
            <w:pPr>
              <w:rPr>
                <w:rFonts w:hint="eastAsia" w:ascii="宋体"/>
                <w:b w:val="0"/>
                <w:bCs w:val="0"/>
                <w:sz w:val="22"/>
                <w:szCs w:val="22"/>
              </w:rPr>
            </w:pPr>
          </w:p>
        </w:tc>
        <w:tc>
          <w:tcPr>
            <w:tcW w:w="614" w:type="pct"/>
            <w:noWrap w:val="0"/>
            <w:vAlign w:val="center"/>
          </w:tcPr>
          <w:p>
            <w:pPr>
              <w:rPr>
                <w:rFonts w:hint="eastAsia" w:ascii="宋体"/>
                <w:b w:val="0"/>
                <w:bCs w:val="0"/>
                <w:sz w:val="22"/>
                <w:szCs w:val="22"/>
              </w:rPr>
            </w:pPr>
          </w:p>
        </w:tc>
        <w:tc>
          <w:tcPr>
            <w:tcW w:w="335" w:type="pct"/>
            <w:noWrap w:val="0"/>
            <w:vAlign w:val="center"/>
          </w:tcPr>
          <w:p>
            <w:pPr>
              <w:rPr>
                <w:rFonts w:hint="eastAsia" w:ascii="宋体"/>
                <w:b w:val="0"/>
                <w:bCs w:val="0"/>
                <w:sz w:val="22"/>
                <w:szCs w:val="22"/>
              </w:rPr>
            </w:pPr>
          </w:p>
        </w:tc>
        <w:tc>
          <w:tcPr>
            <w:tcW w:w="473" w:type="pct"/>
            <w:noWrap w:val="0"/>
            <w:vAlign w:val="center"/>
          </w:tcPr>
          <w:p>
            <w:pPr>
              <w:rPr>
                <w:rFonts w:hint="eastAsia" w:ascii="宋体"/>
                <w:b w:val="0"/>
                <w:bCs w:val="0"/>
                <w:sz w:val="22"/>
                <w:szCs w:val="22"/>
              </w:rPr>
            </w:pPr>
          </w:p>
        </w:tc>
        <w:tc>
          <w:tcPr>
            <w:tcW w:w="1816" w:type="pct"/>
            <w:gridSpan w:val="2"/>
            <w:noWrap w:val="0"/>
            <w:vAlign w:val="center"/>
          </w:tcPr>
          <w:p>
            <w:pPr>
              <w:pStyle w:val="9"/>
              <w:keepNext w:val="0"/>
              <w:keepLines w:val="0"/>
              <w:widowControl/>
              <w:suppressLineNumbers w:val="0"/>
              <w:jc w:val="right"/>
            </w:pPr>
            <w:r>
              <w:rPr>
                <w:b w:val="0"/>
                <w:bCs w:val="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83" w:type="pct"/>
            <w:gridSpan w:val="8"/>
            <w:noWrap w:val="0"/>
            <w:vAlign w:val="center"/>
          </w:tcPr>
          <w:p>
            <w:pPr>
              <w:pStyle w:val="9"/>
              <w:keepNext w:val="0"/>
              <w:keepLines w:val="0"/>
              <w:widowControl/>
              <w:suppressLineNumbers w:val="0"/>
              <w:jc w:val="left"/>
            </w:pPr>
            <w:r>
              <w:rPr>
                <w:b w:val="0"/>
                <w:bCs w:val="0"/>
                <w:sz w:val="22"/>
                <w:szCs w:val="22"/>
              </w:rPr>
              <w:t>部门：永州市冷水滩区劳动保障监察大队</w:t>
            </w:r>
          </w:p>
        </w:tc>
        <w:tc>
          <w:tcPr>
            <w:tcW w:w="1816" w:type="pct"/>
            <w:gridSpan w:val="2"/>
            <w:noWrap w:val="0"/>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年初结转和结余</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本年收入</w:t>
            </w:r>
          </w:p>
        </w:tc>
        <w:tc>
          <w:tcPr>
            <w:tcW w:w="1281" w:type="pct"/>
            <w:gridSpan w:val="3"/>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本年支出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科目名称</w:t>
            </w: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小计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项目支出</w:t>
            </w: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栏次</w:t>
            </w:r>
          </w:p>
        </w:tc>
        <w:tc>
          <w:tcPr>
            <w:tcW w:w="368"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w:t>
            </w:r>
          </w:p>
        </w:tc>
        <w:tc>
          <w:tcPr>
            <w:tcW w:w="614"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w:t>
            </w:r>
          </w:p>
        </w:tc>
        <w:tc>
          <w:tcPr>
            <w:tcW w:w="335"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w:t>
            </w:r>
          </w:p>
        </w:tc>
        <w:tc>
          <w:tcPr>
            <w:tcW w:w="47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4</w:t>
            </w:r>
          </w:p>
        </w:tc>
        <w:tc>
          <w:tcPr>
            <w:tcW w:w="47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5</w:t>
            </w:r>
          </w:p>
        </w:tc>
        <w:tc>
          <w:tcPr>
            <w:tcW w:w="134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合计</w:t>
            </w:r>
          </w:p>
        </w:tc>
        <w:tc>
          <w:tcPr>
            <w:tcW w:w="36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c>
          <w:tcPr>
            <w:tcW w:w="61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c>
          <w:tcPr>
            <w:tcW w:w="335"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c>
          <w:tcPr>
            <w:tcW w:w="13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noWrap w:val="0"/>
            <w:vAlign w:val="center"/>
          </w:tcPr>
          <w:p>
            <w:pPr>
              <w:pStyle w:val="9"/>
              <w:keepNext w:val="0"/>
              <w:keepLines w:val="0"/>
              <w:widowControl/>
              <w:suppressLineNumbers w:val="0"/>
              <w:jc w:val="left"/>
            </w:pPr>
            <w:r>
              <w:rPr>
                <w:b w:val="0"/>
                <w:bCs w:val="0"/>
                <w:sz w:val="22"/>
                <w:szCs w:val="22"/>
              </w:rPr>
              <w:t>注：本表反映部门本年度政府性基金预算财政拨款收入、支出及结转和结余情况。本单位没有政府性基金收入，也没有使用政府性基金安排的支出，故本表无数据。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9"/>
        <w:gridCol w:w="529"/>
        <w:gridCol w:w="532"/>
        <w:gridCol w:w="6329"/>
        <w:gridCol w:w="2707"/>
        <w:gridCol w:w="2704"/>
        <w:gridCol w:w="2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noWrap w:val="0"/>
            <w:vAlign w:val="center"/>
          </w:tcPr>
          <w:p>
            <w:pPr>
              <w:pStyle w:val="9"/>
              <w:keepNext w:val="0"/>
              <w:keepLines w:val="0"/>
              <w:widowControl/>
              <w:suppressLineNumbers w:val="0"/>
              <w:jc w:val="center"/>
            </w:pPr>
            <w:r>
              <w:rPr>
                <w:b w:val="0"/>
                <w:bCs w:val="0"/>
                <w:sz w:val="40"/>
                <w:szCs w:val="40"/>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5" w:type="pct"/>
            <w:noWrap w:val="0"/>
            <w:vAlign w:val="center"/>
          </w:tcPr>
          <w:p>
            <w:pPr>
              <w:rPr>
                <w:rFonts w:hint="eastAsia" w:ascii="宋体"/>
                <w:b w:val="0"/>
                <w:bCs w:val="0"/>
                <w:sz w:val="22"/>
                <w:szCs w:val="22"/>
              </w:rPr>
            </w:pPr>
          </w:p>
        </w:tc>
        <w:tc>
          <w:tcPr>
            <w:tcW w:w="165" w:type="pct"/>
            <w:noWrap w:val="0"/>
            <w:vAlign w:val="center"/>
          </w:tcPr>
          <w:p>
            <w:pPr>
              <w:rPr>
                <w:rFonts w:hint="eastAsia" w:ascii="宋体"/>
                <w:b w:val="0"/>
                <w:bCs w:val="0"/>
                <w:sz w:val="22"/>
                <w:szCs w:val="22"/>
              </w:rPr>
            </w:pPr>
          </w:p>
        </w:tc>
        <w:tc>
          <w:tcPr>
            <w:tcW w:w="165" w:type="pct"/>
            <w:noWrap w:val="0"/>
            <w:vAlign w:val="center"/>
          </w:tcPr>
          <w:p>
            <w:pPr>
              <w:rPr>
                <w:rFonts w:hint="eastAsia" w:ascii="宋体"/>
                <w:b w:val="0"/>
                <w:bCs w:val="0"/>
                <w:sz w:val="22"/>
                <w:szCs w:val="22"/>
              </w:rPr>
            </w:pPr>
          </w:p>
        </w:tc>
        <w:tc>
          <w:tcPr>
            <w:tcW w:w="1972" w:type="pct"/>
            <w:noWrap w:val="0"/>
            <w:vAlign w:val="center"/>
          </w:tcPr>
          <w:p>
            <w:pPr>
              <w:rPr>
                <w:rFonts w:hint="eastAsia" w:ascii="宋体"/>
                <w:b w:val="0"/>
                <w:bCs w:val="0"/>
                <w:sz w:val="22"/>
                <w:szCs w:val="22"/>
              </w:rPr>
            </w:pPr>
          </w:p>
        </w:tc>
        <w:tc>
          <w:tcPr>
            <w:tcW w:w="843" w:type="pct"/>
            <w:noWrap w:val="0"/>
            <w:vAlign w:val="center"/>
          </w:tcPr>
          <w:p>
            <w:pPr>
              <w:rPr>
                <w:rFonts w:hint="eastAsia" w:ascii="宋体"/>
                <w:b w:val="0"/>
                <w:bCs w:val="0"/>
                <w:sz w:val="22"/>
                <w:szCs w:val="22"/>
              </w:rPr>
            </w:pPr>
          </w:p>
        </w:tc>
        <w:tc>
          <w:tcPr>
            <w:tcW w:w="1686" w:type="pct"/>
            <w:gridSpan w:val="2"/>
            <w:noWrap w:val="0"/>
            <w:vAlign w:val="center"/>
          </w:tcPr>
          <w:p>
            <w:pPr>
              <w:pStyle w:val="9"/>
              <w:keepNext w:val="0"/>
              <w:keepLines w:val="0"/>
              <w:widowControl/>
              <w:suppressLineNumbers w:val="0"/>
              <w:jc w:val="right"/>
            </w:pPr>
            <w:r>
              <w:rPr>
                <w:b w:val="0"/>
                <w:bCs w:val="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13" w:type="pct"/>
            <w:gridSpan w:val="5"/>
            <w:noWrap w:val="0"/>
            <w:vAlign w:val="center"/>
          </w:tcPr>
          <w:p>
            <w:pPr>
              <w:pStyle w:val="9"/>
              <w:keepNext w:val="0"/>
              <w:keepLines w:val="0"/>
              <w:widowControl/>
              <w:suppressLineNumbers w:val="0"/>
              <w:jc w:val="left"/>
            </w:pPr>
            <w:r>
              <w:rPr>
                <w:b w:val="0"/>
                <w:bCs w:val="0"/>
                <w:sz w:val="22"/>
                <w:szCs w:val="22"/>
              </w:rPr>
              <w:t>部门：永州市冷水滩区劳动保障监察大队</w:t>
            </w:r>
          </w:p>
        </w:tc>
        <w:tc>
          <w:tcPr>
            <w:tcW w:w="1686" w:type="pct"/>
            <w:gridSpan w:val="2"/>
            <w:noWrap w:val="0"/>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项目</w:t>
            </w:r>
          </w:p>
        </w:tc>
        <w:tc>
          <w:tcPr>
            <w:tcW w:w="2530" w:type="pct"/>
            <w:gridSpan w:val="3"/>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栏次</w:t>
            </w: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1</w:t>
            </w: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2</w:t>
            </w: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noWrap w:val="0"/>
            <w:vAlign w:val="center"/>
          </w:tcPr>
          <w:p>
            <w:pPr>
              <w:pStyle w:val="9"/>
              <w:keepNext w:val="0"/>
              <w:keepLines w:val="0"/>
              <w:widowControl/>
              <w:suppressLineNumbers w:val="0"/>
              <w:jc w:val="center"/>
            </w:pPr>
            <w:r>
              <w:rPr>
                <w:b w:val="0"/>
                <w:bCs w:val="0"/>
                <w:sz w:val="22"/>
                <w:szCs w:val="22"/>
              </w:rPr>
              <w:t>合计</w:t>
            </w: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noWrap w:val="0"/>
            <w:vAlign w:val="center"/>
          </w:tcPr>
          <w:p>
            <w:pPr>
              <w:pStyle w:val="9"/>
              <w:keepNext w:val="0"/>
              <w:keepLines w:val="0"/>
              <w:widowControl/>
              <w:suppressLineNumbers w:val="0"/>
              <w:jc w:val="left"/>
            </w:pPr>
            <w:r>
              <w:rPr>
                <w:b w:val="0"/>
                <w:bCs w:val="0"/>
                <w:sz w:val="22"/>
                <w:szCs w:val="22"/>
              </w:rPr>
              <w:t>注：本表反映部门本年度国有资本经营预算财政拨款支出情况。本单位没有国有资本经营预算财政拨款收入，也没有使用国有资本经营预算财政拨款安排的支出，故本表无数据。</w:t>
            </w:r>
          </w:p>
        </w:tc>
      </w:tr>
    </w:tbl>
    <w:p>
      <w:pPr>
        <w:rPr>
          <w:color w:val="000000"/>
          <w:sz w:val="32"/>
          <w:szCs w:val="32"/>
        </w:rPr>
        <w:sectPr>
          <w:pgSz w:w="16838" w:h="11906"/>
          <w:pgMar w:top="1080" w:right="400" w:bottom="1080" w:left="400" w:header="851" w:footer="992" w:gutter="0"/>
          <w:paperSrc/>
          <w:cols w:space="720" w:num="1"/>
          <w:docGrid w:type="linesAndChars" w:linePitch="160" w:charSpace="0"/>
        </w:sectPr>
      </w:pPr>
    </w:p>
    <w:p>
      <w:pPr>
        <w:spacing w:before="0" w:beforeAutospacing="0" w:after="2" w:afterAutospacing="0"/>
        <w:jc w:val="center"/>
        <w:rPr>
          <w:sz w:val="21"/>
          <w:szCs w:val="21"/>
        </w:rPr>
      </w:pPr>
      <w:r>
        <w:rPr>
          <w:rFonts w:hint="eastAsia" w:ascii="宋体" w:hAnsi="宋体" w:eastAsia="宋体" w:cs="宋体"/>
          <w:b/>
          <w:bCs/>
          <w:color w:val="000000"/>
          <w:sz w:val="36"/>
          <w:szCs w:val="36"/>
        </w:rPr>
        <w:t>第三部分 2021年度部门决算情况说明</w:t>
      </w:r>
      <w:r>
        <w:rPr>
          <w:color w:val="000000"/>
          <w:sz w:val="21"/>
          <w:szCs w:val="21"/>
        </w:rPr>
        <w:t xml:space="preserve"> </w:t>
      </w:r>
    </w:p>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2021年度收、支总计252.84万元。与上一年度相比，收、支总计各增加126.88万元，增长100.73%。主要是因为调增工资，社保缴费增加；“两网化”建设项目费用增加；开展相关法律法规宣传活动、制作宣传物品经费增加</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更换执法服装。</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2021年度收入合计252.84万元，其中：财政拨款收入252.84万元，占100%；上级补助收入0万元，占0%；事业收入0万元，占0%；经营收入0万元，占0%；附属单位上缴收入0万元，占0%；其他收入0万元，占0%。</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2021年度支出合计252.84万元，其中：基本支出252.84万元，占100%；项目支出0万元，占0%；上缴上级支出0万元，占0%；经营支出0万元，占0%；对附属单位补助支出0万元，占0%。</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收、支总计252.84万元。与上一年度相比，财政拨款收、支总计各增加126.88万元，增长100.73%。主要是因为调增工资，社保缴费增加；“两网化”建设项目费用增加；开展相关法律法规宣传活动、制作宣传物品经费增加；更换执法服装。</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（一）财政拨款支出决算总体情况</w:t>
      </w:r>
      <w:r>
        <w:rPr>
          <w:color w:val="000000"/>
          <w:sz w:val="27"/>
          <w:szCs w:val="27"/>
        </w:rPr>
        <w:t xml:space="preserve"> </w:t>
      </w:r>
    </w:p>
    <w:p>
      <w:pPr>
        <w:pStyle w:val="14"/>
        <w:spacing w:before="0" w:beforeAutospacing="0" w:after="2" w:afterAutospacing="0"/>
        <w:ind w:left="0" w:firstLine="855"/>
        <w:rPr>
          <w:sz w:val="27"/>
          <w:szCs w:val="27"/>
        </w:rPr>
      </w:pPr>
      <w:r>
        <w:rPr>
          <w:rFonts w:ascii="宋体" w:hAnsi="宋体" w:eastAsia="宋体" w:cs="宋体"/>
          <w:color w:val="000000"/>
          <w:sz w:val="32"/>
          <w:szCs w:val="32"/>
        </w:rPr>
        <w:t>2021年度财政拨款支出252.84万元，占本年支出合计的100%。与上一年度相比，财政拨款支出增加126.88万元，增长100.73%。主要是因为调增工资，社保缴费增加；“两网化”建设项目费用增加；开展相关法律法规宣传活动、制作宣传物品经费增加；更换执法服装。</w:t>
      </w:r>
      <w:r>
        <w:rPr>
          <w:rFonts w:hint="eastAsia" w:ascii="宋体" w:hAnsi="宋体" w:eastAsia="宋体" w:cs="宋体"/>
          <w:color w:val="000000"/>
          <w:sz w:val="32"/>
          <w:szCs w:val="32"/>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（二）财政拨款支出决算结构情况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2021年度财政拨款支出252.84万元，主要用于以下方面：社会保障和就业支出252.84万元，占100%。</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（三）财政拨款支出决算具体情况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2021年度财政拨款支出年初预算数为200.63万元，支出决算数为252.84万元，完成年初预算的126.02%，其中：</w:t>
      </w:r>
      <w:r>
        <w:rPr>
          <w:color w:val="000000"/>
          <w:sz w:val="27"/>
          <w:szCs w:val="27"/>
        </w:rPr>
        <w:t xml:space="preserve"> </w:t>
      </w:r>
    </w:p>
    <w:p>
      <w:pPr>
        <w:pStyle w:val="14"/>
        <w:spacing w:before="0" w:beforeAutospacing="0" w:after="2" w:afterAutospacing="0"/>
        <w:ind w:left="0" w:firstLine="641"/>
        <w:rPr>
          <w:sz w:val="27"/>
          <w:szCs w:val="27"/>
          <w:highlight w:val="none"/>
        </w:rPr>
      </w:pPr>
      <w:r>
        <w:rPr>
          <w:rStyle w:val="12"/>
          <w:rFonts w:hint="eastAsia" w:ascii="宋体" w:hAnsi="宋体" w:eastAsia="宋体" w:cs="宋体"/>
          <w:color w:val="000000"/>
          <w:sz w:val="32"/>
          <w:szCs w:val="32"/>
          <w:highlight w:val="none"/>
        </w:rPr>
        <w:t>1、社会保障和就业支出（类）人力资源和社会保障管理事务（款）劳动保障监察（项）</w:t>
      </w:r>
      <w:r>
        <w:rPr>
          <w:color w:val="000000"/>
          <w:sz w:val="27"/>
          <w:szCs w:val="27"/>
          <w:highlight w:val="none"/>
        </w:rPr>
        <w:t xml:space="preserve"> </w:t>
      </w:r>
    </w:p>
    <w:p>
      <w:pPr>
        <w:pStyle w:val="14"/>
        <w:spacing w:before="0" w:beforeAutospacing="0" w:after="2" w:afterAutospacing="0"/>
        <w:ind w:left="0" w:firstLine="641"/>
        <w:rPr>
          <w:sz w:val="27"/>
          <w:szCs w:val="27"/>
          <w:highlight w:val="none"/>
        </w:rPr>
      </w:pPr>
      <w:r>
        <w:rPr>
          <w:rFonts w:hint="eastAsia" w:ascii="宋体" w:hAnsi="宋体" w:eastAsia="宋体" w:cs="宋体"/>
          <w:color w:val="000000"/>
          <w:sz w:val="32"/>
          <w:szCs w:val="32"/>
          <w:highlight w:val="none"/>
        </w:rPr>
        <w:t>年初预算为190万元，支出决算为252.84万元，完成年初预算的133.07%。决算数大于年初预算数的主要原因是：调增工资，社保缴费增加；“两网化”建设项目费用增加；开展相关法律法规宣传活动、制作宣传物品经费增加；更换执法服装。</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2021年度财政拨款基本支出252.84万元，其中：人员经费129.71万元，占基本支出的51.31%，主要包括：基本工资、津贴补贴、奖金、伙食补助费、绩效工资、机关事业单位基本养老保险缴费、职业年金缴费、职工基本医疗保险缴费、其他社会保障缴费、生活补助。公用经费123.1</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万元，占基本支出的48.69%，主要包括：办公费、印刷费、水费、电费、邮电费、物业管理费、差旅费、维修（护）费、租赁费、培训费、公务接待费、专用材料费、劳务费、委托业务费、工会经费、税金及附加费用、其他商品和服务支出。</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七、一般公共预算财政拨款三公经费支出决算情况说明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2021年度“三公”经费财政拨款支出预算为1.5万元，支出决算为0.62万元，完成预算的41.33%，</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其中：</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公务接待费支出预算为1.5万元，支出决算为0.62万元，完成预算的41.33%，决算数小于预算数的主要原因是厉行节约 ，与上年相比增加0.13万元，增长26.53%，增长的主要原因是与各县区间的交流增多。</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公务用车购置费支出预算为0万元，支出决算为0万元，决算数与预算数一致，我单位严格按预算执行决算，公务用车购置费支出与上年持平。</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公务用车运行维护费支出预算为0万元，支出决算为0万元，决算数与预算数一致，我单位严格按预算执行决算，公务用车运行维护费支出与上年持平。</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2021年度“三公”经费财政拨款支出决算中，公务接待费支出决算0.62万元，占100%，因公出国（境）费支出决算0万元，占0%，公务用车购置费及运行维护费支出决算0万元，占0%。其中：</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1、因公出国（境）费支出决算为0万元，全年安排因公出国（境）团组0个，累计0人次，我单位2021年度无因公出国（境）费支出。</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2、公务接待费支出决算为0.62万元，全年共接待来访团组12个、来宾73人次，主要是与兄弟县区间的交流学习发生的接待支出。</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3、公务用车购置费及运行维护费支出决算为0万元，其中：公务用车购置费0万元。公务用车运行维护费0万元，截至2021年12月31日，我单位开支财政拨款的公务用车保有量为0辆。我单位2021年度无公务用车购置费及运行维护费支出。</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八、政府性基金预算收入支出决算情况</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冷水滩区劳动保障监察大队2021年度没有政府性基金收入，也没有使用政府性基金安排的支出，并已公开空表。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九、关于机关运行经费支出说明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冷水滩区劳动保障监察大队2021年度机关运行经费支出123.1</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 xml:space="preserve">万元，比年初预算数增加102.17万元，增长487.66%。主要原因是：调增工资，社保缴费增加；“两网化”建设项目费用增加；开展相关法律法规宣传活动、制作宣传物品经费增加；更换执法服装。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十、一般性支出情况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2021年度冷水滩区劳动保障监察大队开支会议费0万元，我单位2021年度无会议费支出；开支培训费0.03万元，为事业单位工作人员培训费；举办0场节庆、晚会、论坛、赛事活动，开支0万元，未举办相关活动。</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十一、关于政府采购支出说明</w:t>
      </w:r>
      <w:r>
        <w:rPr>
          <w:color w:val="000000"/>
          <w:sz w:val="27"/>
          <w:szCs w:val="27"/>
        </w:rPr>
        <w:t xml:space="preserve"> </w:t>
      </w:r>
    </w:p>
    <w:p>
      <w:pPr>
        <w:pStyle w:val="14"/>
        <w:spacing w:before="0" w:beforeAutospacing="0" w:after="2" w:afterAutospacing="0"/>
        <w:ind w:left="0" w:firstLine="640"/>
        <w:jc w:val="both"/>
        <w:rPr>
          <w:sz w:val="27"/>
          <w:szCs w:val="27"/>
        </w:rPr>
      </w:pPr>
      <w:r>
        <w:rPr>
          <w:rFonts w:hint="eastAsia" w:ascii="宋体" w:hAnsi="宋体" w:eastAsia="宋体" w:cs="宋体"/>
          <w:color w:val="000000"/>
          <w:sz w:val="32"/>
          <w:szCs w:val="32"/>
        </w:rPr>
        <w:t xml:space="preserve">冷水滩区劳动保障监察大队2021年度政府采购支出总额120万元，其中：政府采购货物支出120万元、政府采购工程支出0万元、政府采购服务支出0万元。授予中小企业合同金额0万元，占政府采购支出总额的0%，其中：授予小微企业合同金额0万元，占政府采购支出总额的0%。货物采购授予中小企业合同金额占货物支出金额的100%，工程采购授予中小企业合同金额占工程支出金额的0%，服务采购授予中小企业合同金额占服务支出金额的0%。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十二、关于国有资产占用情况说明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截至2021年12月31日，冷水滩区劳动保障监察大队共有车辆0辆（台），其中：机要通信用车0辆、应急保障用车0辆、执法执勤用车0辆、特种专业技术用车0辆、其他用车0辆；单价50万元（含）以上通用设备0台（套），单价100万元（含）以上专用设备0台（套）。</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十三、关于2021年度预算绩效情况说明</w:t>
      </w:r>
      <w:r>
        <w:rPr>
          <w:color w:val="000000"/>
          <w:sz w:val="27"/>
          <w:szCs w:val="27"/>
        </w:rPr>
        <w:t xml:space="preserve"> </w:t>
      </w:r>
    </w:p>
    <w:p>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（1）绩效管理评价工作开展情况。</w:t>
      </w:r>
    </w:p>
    <w:p>
      <w:pPr>
        <w:pStyle w:val="14"/>
        <w:keepNext w:val="0"/>
        <w:keepLines w:val="0"/>
        <w:pageBreakBefore w:val="0"/>
        <w:widowControl w:val="0"/>
        <w:kinsoku/>
        <w:wordWrap/>
        <w:overflowPunct/>
        <w:topLinePunct w:val="0"/>
        <w:autoSpaceDE/>
        <w:autoSpaceDN/>
        <w:bidi w:val="0"/>
        <w:adjustRightInd/>
        <w:snapToGrid/>
        <w:spacing w:before="0" w:beforeAutospacing="0" w:after="2" w:afterAutospacing="0"/>
        <w:ind w:left="0" w:firstLine="641"/>
        <w:jc w:val="left"/>
        <w:textAlignment w:val="auto"/>
        <w:rPr>
          <w:sz w:val="27"/>
          <w:szCs w:val="27"/>
        </w:rPr>
      </w:pPr>
      <w:r>
        <w:rPr>
          <w:rFonts w:ascii="宋体" w:hAnsi="宋体" w:eastAsia="宋体" w:cs="宋体"/>
          <w:color w:val="000000"/>
          <w:sz w:val="32"/>
          <w:szCs w:val="32"/>
        </w:rPr>
        <w:t>（一）绩效管理工作开展情况。一是建立健全工作机制。为了顺利推进预算绩效管理工作实施，单位内部建立了相应的工作机制和操作规程，财务室牵头，相关业务股室参与。二是加强完善制度建设。实施过程中严格按照有关制度执行，并结合当年预算绩效管理目标任务。（二）以部门为主体开展的重点绩效评价报告1、大力开展</w:t>
      </w:r>
      <w:r>
        <w:rPr>
          <w:rFonts w:hint="eastAsia" w:ascii="宋体" w:hAnsi="宋体" w:eastAsia="宋体" w:cs="宋体"/>
          <w:color w:val="000000"/>
          <w:sz w:val="32"/>
          <w:szCs w:val="32"/>
          <w:lang w:eastAsia="zh-CN"/>
        </w:rPr>
        <w:t>《保障农民工工资支付条例》</w:t>
      </w:r>
      <w:r>
        <w:rPr>
          <w:rFonts w:ascii="宋体" w:hAnsi="宋体" w:eastAsia="宋体" w:cs="宋体"/>
          <w:color w:val="000000"/>
          <w:sz w:val="32"/>
          <w:szCs w:val="32"/>
        </w:rPr>
        <w:t>宣传，使《条例》深入人心。2、努力提高欠薪案件的结案率。2021年欠薪案件结案率100%。 </w:t>
      </w:r>
      <w:r>
        <w:rPr>
          <w:color w:val="000000"/>
          <w:sz w:val="27"/>
          <w:szCs w:val="27"/>
        </w:rPr>
        <w:t xml:space="preserve"> </w:t>
      </w:r>
    </w:p>
    <w:p>
      <w:pPr>
        <w:pStyle w:val="14"/>
        <w:keepNext w:val="0"/>
        <w:keepLines w:val="0"/>
        <w:pageBreakBefore w:val="0"/>
        <w:widowControl w:val="0"/>
        <w:kinsoku/>
        <w:wordWrap/>
        <w:overflowPunct/>
        <w:topLinePunct w:val="0"/>
        <w:autoSpaceDE/>
        <w:autoSpaceDN/>
        <w:bidi w:val="0"/>
        <w:adjustRightInd/>
        <w:snapToGrid/>
        <w:spacing w:before="0" w:beforeAutospacing="0" w:after="2" w:afterAutospacing="0"/>
        <w:ind w:left="0" w:firstLine="641"/>
        <w:jc w:val="left"/>
        <w:textAlignment w:val="auto"/>
        <w:rPr>
          <w:sz w:val="27"/>
          <w:szCs w:val="27"/>
        </w:rPr>
      </w:pPr>
      <w:r>
        <w:rPr>
          <w:rStyle w:val="12"/>
          <w:rFonts w:ascii="宋体" w:hAnsi="宋体" w:eastAsia="宋体" w:cs="宋体"/>
          <w:color w:val="000000"/>
          <w:sz w:val="36"/>
          <w:szCs w:val="36"/>
        </w:rPr>
        <w:t>（2）部门决算中项目绩效自评结果（如有）。</w:t>
      </w:r>
      <w:r>
        <w:rPr>
          <w:color w:val="000000"/>
          <w:sz w:val="27"/>
          <w:szCs w:val="27"/>
        </w:rPr>
        <w:t xml:space="preserve"> </w:t>
      </w:r>
    </w:p>
    <w:p>
      <w:pPr>
        <w:pStyle w:val="14"/>
        <w:keepNext w:val="0"/>
        <w:keepLines w:val="0"/>
        <w:pageBreakBefore w:val="0"/>
        <w:widowControl w:val="0"/>
        <w:kinsoku/>
        <w:wordWrap/>
        <w:overflowPunct/>
        <w:topLinePunct w:val="0"/>
        <w:autoSpaceDE/>
        <w:autoSpaceDN/>
        <w:bidi w:val="0"/>
        <w:adjustRightInd/>
        <w:snapToGrid/>
        <w:spacing w:before="0" w:beforeAutospacing="0" w:after="2" w:afterAutospacing="0"/>
        <w:ind w:left="0" w:firstLine="641"/>
        <w:jc w:val="left"/>
        <w:textAlignment w:val="auto"/>
        <w:rPr>
          <w:rFonts w:hint="eastAsia" w:ascii="宋体" w:hAnsi="宋体" w:eastAsia="宋体" w:cs="宋体"/>
          <w:sz w:val="32"/>
          <w:szCs w:val="32"/>
        </w:rPr>
      </w:pPr>
      <w:r>
        <w:rPr>
          <w:rFonts w:hint="eastAsia" w:ascii="宋体" w:hAnsi="宋体" w:eastAsia="宋体" w:cs="宋体"/>
          <w:color w:val="000000"/>
          <w:sz w:val="32"/>
          <w:szCs w:val="32"/>
          <w:lang w:eastAsia="zh-CN"/>
        </w:rPr>
        <w:t>绩效评分为</w:t>
      </w:r>
      <w:r>
        <w:rPr>
          <w:rFonts w:hint="eastAsia" w:ascii="宋体" w:hAnsi="宋体" w:eastAsia="宋体" w:cs="宋体"/>
          <w:color w:val="000000"/>
          <w:sz w:val="32"/>
          <w:szCs w:val="32"/>
          <w:lang w:val="en-US" w:eastAsia="zh-CN"/>
        </w:rPr>
        <w:t>97分。</w:t>
      </w:r>
      <w:r>
        <w:rPr>
          <w:rFonts w:hint="eastAsia" w:ascii="宋体" w:hAnsi="宋体" w:eastAsia="宋体" w:cs="宋体"/>
          <w:color w:val="000000"/>
          <w:sz w:val="32"/>
          <w:szCs w:val="32"/>
        </w:rPr>
        <w:t xml:space="preserve"> </w:t>
      </w:r>
    </w:p>
    <w:p>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（3）部门评价项目绩效评价结果。</w:t>
      </w:r>
    </w:p>
    <w:p>
      <w:pPr>
        <w:pStyle w:val="14"/>
        <w:spacing w:before="0" w:beforeAutospacing="0" w:after="2" w:afterAutospacing="0"/>
        <w:ind w:left="0" w:firstLine="640"/>
        <w:rPr>
          <w:sz w:val="27"/>
          <w:szCs w:val="27"/>
        </w:rPr>
      </w:pPr>
      <w:r>
        <w:rPr>
          <w:rFonts w:ascii="宋体" w:hAnsi="宋体" w:eastAsia="宋体" w:cs="宋体"/>
          <w:color w:val="000000"/>
          <w:sz w:val="32"/>
          <w:szCs w:val="32"/>
        </w:rPr>
        <w:t>部门评价项目数量3个以内的，至少将1个部门评价报告向社会公开；部门评价项目数量大于3个的，至少将2个部门评价报告向社会公开。报告框架可参考《项目支出绩效评价办法》（财预〔2020〕10 号）中《项目支出绩效评价报告（参考提纲）》、《湖南省预算支出绩效评价管理办法》（湘财绩〔2020〕7号）。</w:t>
      </w:r>
      <w:r>
        <w:rPr>
          <w:color w:val="000000"/>
          <w:sz w:val="27"/>
          <w:szCs w:val="27"/>
        </w:rPr>
        <w:t xml:space="preserve"> </w:t>
      </w:r>
    </w:p>
    <w:p>
      <w:pPr>
        <w:pStyle w:val="9"/>
        <w:keepNext w:val="0"/>
        <w:keepLines w:val="0"/>
        <w:widowControl/>
        <w:suppressLineNumbers w:val="0"/>
        <w:spacing w:before="0" w:beforeAutospacing="0" w:after="2" w:afterAutospacing="0"/>
        <w:jc w:val="both"/>
      </w:pPr>
    </w:p>
    <w:p>
      <w:pPr>
        <w:pStyle w:val="9"/>
        <w:keepNext w:val="0"/>
        <w:keepLines w:val="0"/>
        <w:widowControl/>
        <w:suppressLineNumbers w:val="0"/>
        <w:spacing w:before="0" w:beforeAutospacing="0" w:after="2" w:afterAutospacing="0"/>
        <w:jc w:val="both"/>
      </w:pPr>
    </w:p>
    <w:p>
      <w:pPr>
        <w:pStyle w:val="9"/>
        <w:keepNext w:val="0"/>
        <w:keepLines w:val="0"/>
        <w:widowControl/>
        <w:suppressLineNumbers w:val="0"/>
        <w:spacing w:before="0" w:beforeAutospacing="0" w:after="2" w:afterAutospacing="0"/>
        <w:jc w:val="both"/>
      </w:pPr>
    </w:p>
    <w:p/>
    <w:p>
      <w:pPr>
        <w:spacing w:before="0" w:beforeAutospacing="0" w:after="2" w:afterAutospacing="0"/>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pPr>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p>
    <w:p>
      <w:pPr>
        <w:spacing w:before="0" w:beforeAutospacing="0" w:after="2" w:afterAutospacing="0"/>
        <w:jc w:val="center"/>
        <w:rPr>
          <w:sz w:val="21"/>
          <w:szCs w:val="21"/>
        </w:rPr>
      </w:pPr>
      <w:r>
        <w:rPr>
          <w:rFonts w:ascii="宋体" w:hAnsi="宋体" w:eastAsia="宋体" w:cs="宋体"/>
          <w:b/>
          <w:bCs/>
          <w:color w:val="000000"/>
          <w:sz w:val="36"/>
          <w:szCs w:val="36"/>
        </w:rPr>
        <w:t>第五部分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附件</w:t>
      </w:r>
      <w:r>
        <w:rPr>
          <w:color w:val="000000"/>
          <w:sz w:val="21"/>
          <w:szCs w:val="21"/>
        </w:rPr>
        <w:t xml:space="preserve"> </w:t>
      </w:r>
    </w:p>
    <w:p>
      <w:pPr>
        <w:spacing w:before="0" w:beforeAutospacing="0" w:after="2" w:afterAutospacing="0"/>
        <w:jc w:val="center"/>
        <w:rPr>
          <w:sz w:val="21"/>
          <w:szCs w:val="21"/>
        </w:rPr>
      </w:pPr>
      <w:r>
        <w:rPr>
          <w:rFonts w:ascii="宋体" w:hAnsi="宋体" w:eastAsia="宋体" w:cs="宋体"/>
          <w:sz w:val="28"/>
          <w:szCs w:val="28"/>
          <w:shd w:val="clear" w:color="auto" w:fill="FFFFFF"/>
        </w:rPr>
        <w:fldChar w:fldCharType="begin"/>
      </w:r>
      <w:r>
        <w:rPr>
          <w:rFonts w:ascii="宋体" w:hAnsi="宋体" w:eastAsia="宋体" w:cs="宋体"/>
          <w:sz w:val="28"/>
          <w:szCs w:val="28"/>
          <w:shd w:val="clear" w:color="auto" w:fill="FFFFFF"/>
        </w:rPr>
        <w:instrText xml:space="preserve"> HYPERLINK "http://10.105.181.49/home/downloadAttachment?attachGUID=ff751b2d6d864d68b06da52179af1257" \t "_blank" </w:instrText>
      </w:r>
      <w:r>
        <w:rPr>
          <w:rFonts w:ascii="宋体" w:hAnsi="宋体" w:eastAsia="宋体" w:cs="宋体"/>
          <w:sz w:val="28"/>
          <w:szCs w:val="28"/>
          <w:shd w:val="clear" w:color="auto" w:fill="FFFFFF"/>
        </w:rPr>
        <w:fldChar w:fldCharType="separate"/>
      </w:r>
      <w:r>
        <w:rPr>
          <w:rStyle w:val="13"/>
          <w:rFonts w:ascii="宋体" w:hAnsi="宋体" w:eastAsia="宋体" w:cs="宋体"/>
          <w:sz w:val="28"/>
          <w:szCs w:val="28"/>
          <w:shd w:val="clear" w:color="auto" w:fill="FFFFFF"/>
        </w:rPr>
        <w:t>监察大队-2021年度部门整体支出绩效自评报告附件3.docx</w:t>
      </w:r>
      <w:r>
        <w:rPr>
          <w:rFonts w:ascii="宋体" w:hAnsi="宋体" w:eastAsia="宋体" w:cs="宋体"/>
          <w:sz w:val="28"/>
          <w:szCs w:val="28"/>
          <w:shd w:val="clear" w:color="auto" w:fill="FFFFFF"/>
        </w:rPr>
        <w:fldChar w:fldCharType="end"/>
      </w:r>
    </w:p>
    <w:p>
      <w:pPr>
        <w:spacing w:before="0" w:beforeAutospacing="0" w:after="2" w:afterAutospacing="0"/>
        <w:jc w:val="center"/>
        <w:rPr>
          <w:sz w:val="21"/>
          <w:szCs w:val="21"/>
        </w:rPr>
      </w:pPr>
    </w:p>
    <w:p>
      <w:pPr>
        <w:spacing w:before="0" w:beforeAutospacing="0" w:after="2" w:afterAutospacing="0"/>
        <w:jc w:val="center"/>
        <w:rPr>
          <w:sz w:val="21"/>
          <w:szCs w:val="21"/>
        </w:rPr>
      </w:pPr>
    </w:p>
    <w:sectPr>
      <w:pgSz w:w="11906" w:h="16838" w:orient="landscape"/>
      <w:pgMar w:top="1440" w:right="1080" w:bottom="1440" w:left="1080" w:header="851" w:footer="992" w:gutter="0"/>
      <w:paperSrc/>
      <w:cols w:space="72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80"/>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doNotCompress"/>
  <w:footnotePr>
    <w:footnote w:id="0"/>
    <w:footnote w:id="1"/>
  </w:foot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ZTIzODQ2ZmM1MmVlNDc2YTU3Zjc3MzgxNGIyYzYifQ=="/>
  </w:docVars>
  <w:rsids>
    <w:rsidRoot w:val="00000000"/>
    <w:rsid w:val="07AD2313"/>
    <w:rsid w:val="0E1A380F"/>
    <w:rsid w:val="0F135152"/>
    <w:rsid w:val="1CBA7896"/>
    <w:rsid w:val="1F3233D2"/>
    <w:rsid w:val="26CD4BC0"/>
    <w:rsid w:val="28940C5A"/>
    <w:rsid w:val="3AB46F3A"/>
    <w:rsid w:val="3B131EB2"/>
    <w:rsid w:val="444A4598"/>
    <w:rsid w:val="44E43047"/>
    <w:rsid w:val="461977AF"/>
    <w:rsid w:val="48885BA9"/>
    <w:rsid w:val="508204A3"/>
    <w:rsid w:val="5C842B35"/>
    <w:rsid w:val="62195750"/>
    <w:rsid w:val="65A17F37"/>
    <w:rsid w:val="6E521BA9"/>
    <w:rsid w:val="6F8C57B4"/>
    <w:rsid w:val="7CEB4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widowControl/>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widowControl/>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widowControl/>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unhideWhenUsed/>
    <w:qFormat/>
    <w:uiPriority w:val="0"/>
    <w:pPr>
      <w:widowControl/>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unhideWhenUsed/>
    <w:qFormat/>
    <w:uiPriority w:val="0"/>
    <w:pPr>
      <w:widowControl/>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100" w:beforeAutospacing="1" w:after="10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7614</Words>
  <Characters>8730</Characters>
  <TotalTime>9</TotalTime>
  <ScaleCrop>false</ScaleCrop>
  <LinksUpToDate>false</LinksUpToDate>
  <CharactersWithSpaces>8855</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2023-08-31T02:46:47Z</dcterms:created>
  <dc:creator>Administrator</dc:creator>
  <cp:lastModifiedBy>东来</cp:lastModifiedBy>
  <dcterms:modified xsi:type="dcterms:W3CDTF">2023-11-08T01:47:51Z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FA59B88C5A6E4F66875B53B38FE1AB80</vt:lpwstr>
  </property>
</Properties>
</file>