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eastAsia="方正小标宋简体"/>
          <w:color w:val="000000"/>
          <w:kern w:val="0"/>
          <w:sz w:val="36"/>
          <w:szCs w:val="36"/>
        </w:rPr>
      </w:pPr>
      <w:r>
        <w:rPr>
          <w:rFonts w:hint="eastAsia" w:ascii="方正小标宋简体" w:eastAsia="方正小标宋简体"/>
          <w:color w:val="000000"/>
          <w:kern w:val="0"/>
          <w:sz w:val="36"/>
          <w:szCs w:val="36"/>
        </w:rPr>
        <w:t>2021年度</w:t>
      </w:r>
      <w:r>
        <w:rPr>
          <w:rFonts w:hint="eastAsia" w:ascii="方正小标宋简体" w:eastAsia="方正小标宋简体"/>
          <w:color w:val="000000"/>
          <w:sz w:val="36"/>
          <w:szCs w:val="36"/>
          <w:lang w:eastAsia="zh-CN"/>
        </w:rPr>
        <w:t>永州市冷水滩区旅游发展服务中心</w:t>
      </w:r>
      <w:bookmarkStart w:id="0" w:name="_GoBack"/>
      <w:bookmarkEnd w:id="0"/>
    </w:p>
    <w:p>
      <w:pPr>
        <w:spacing w:line="620" w:lineRule="exact"/>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rPr>
        <w:t>专项（项目）资金绩效自评报告</w:t>
      </w:r>
    </w:p>
    <w:p>
      <w:pPr>
        <w:spacing w:line="620" w:lineRule="exact"/>
        <w:ind w:firstLine="640" w:firstLineChars="200"/>
        <w:rPr>
          <w:rFonts w:hint="eastAsia" w:ascii="黑体" w:eastAsia="黑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黑体" w:eastAsia="黑体"/>
          <w:color w:val="000000"/>
          <w:kern w:val="0"/>
          <w:sz w:val="32"/>
          <w:szCs w:val="32"/>
        </w:rPr>
      </w:pPr>
      <w:r>
        <w:rPr>
          <w:rFonts w:hint="eastAsia" w:ascii="黑体" w:eastAsia="黑体"/>
          <w:color w:val="000000"/>
          <w:kern w:val="0"/>
          <w:sz w:val="32"/>
          <w:szCs w:val="32"/>
        </w:rPr>
        <w:t>一、项目概况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eastAsia="仿宋_GB2312"/>
          <w:b/>
          <w:bCs/>
          <w:color w:val="000000"/>
          <w:kern w:val="0"/>
          <w:sz w:val="32"/>
          <w:szCs w:val="32"/>
        </w:rPr>
      </w:pPr>
      <w:r>
        <w:rPr>
          <w:rFonts w:eastAsia="仿宋_GB2312"/>
          <w:b/>
          <w:bCs/>
          <w:color w:val="000000"/>
          <w:kern w:val="0"/>
          <w:sz w:val="32"/>
          <w:szCs w:val="32"/>
        </w:rPr>
        <w:t>（一）项目单位基本情况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仿宋_GB2312"/>
          <w:color w:val="000000"/>
          <w:kern w:val="0"/>
          <w:sz w:val="32"/>
          <w:szCs w:val="32"/>
        </w:rPr>
      </w:pPr>
      <w:r>
        <w:rPr>
          <w:rFonts w:hint="eastAsia" w:ascii="仿宋" w:hAnsi="仿宋" w:eastAsia="仿宋" w:cs="仿宋"/>
          <w:sz w:val="32"/>
          <w:szCs w:val="32"/>
          <w:lang w:eastAsia="zh-CN"/>
        </w:rPr>
        <w:t>本单位</w:t>
      </w:r>
      <w:r>
        <w:rPr>
          <w:rFonts w:hint="eastAsia" w:ascii="仿宋" w:hAnsi="仿宋" w:eastAsia="仿宋" w:cs="仿宋"/>
          <w:sz w:val="32"/>
          <w:szCs w:val="32"/>
        </w:rPr>
        <w:t>于2018年3月成立，核定全额拨款事业编制10名，领导职数设主任1名，副主任2名，为区文化旅游体育局管理的正科级全额拨款公益一类事业单位，</w:t>
      </w:r>
      <w:r>
        <w:rPr>
          <w:rFonts w:hint="eastAsia" w:ascii="仿宋" w:hAnsi="仿宋" w:eastAsia="仿宋" w:cs="仿宋"/>
          <w:sz w:val="32"/>
          <w:szCs w:val="32"/>
          <w:lang w:val="en-US" w:eastAsia="zh-CN"/>
        </w:rPr>
        <w:t>2021年年末实有</w:t>
      </w:r>
      <w:r>
        <w:rPr>
          <w:rFonts w:hint="eastAsia" w:ascii="仿宋" w:hAnsi="仿宋" w:eastAsia="仿宋" w:cs="仿宋"/>
          <w:sz w:val="32"/>
          <w:szCs w:val="32"/>
        </w:rPr>
        <w:t>正式人员</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rPr>
        <w:t>人。</w:t>
      </w:r>
      <w:r>
        <w:rPr>
          <w:rFonts w:hint="eastAsia" w:ascii="仿宋" w:hAnsi="仿宋" w:eastAsia="仿宋" w:cs="仿宋"/>
          <w:sz w:val="32"/>
          <w:szCs w:val="32"/>
          <w:highlight w:val="none"/>
        </w:rPr>
        <w:t>内设综合部、行业规范部</w:t>
      </w:r>
      <w:r>
        <w:rPr>
          <w:rFonts w:hint="eastAsia" w:ascii="仿宋" w:hAnsi="仿宋" w:eastAsia="仿宋" w:cs="仿宋"/>
          <w:sz w:val="32"/>
          <w:szCs w:val="32"/>
          <w:highlight w:val="none"/>
          <w:lang w:eastAsia="zh-CN"/>
        </w:rPr>
        <w:t>、市场营销部</w:t>
      </w:r>
      <w:r>
        <w:rPr>
          <w:rFonts w:hint="eastAsia" w:ascii="仿宋" w:hAnsi="仿宋" w:eastAsia="仿宋" w:cs="仿宋"/>
          <w:sz w:val="32"/>
          <w:szCs w:val="32"/>
          <w:highlight w:val="none"/>
        </w:rPr>
        <w:t>。</w:t>
      </w:r>
      <w:r>
        <w:rPr>
          <w:rFonts w:hint="eastAsia" w:ascii="仿宋" w:hAnsi="仿宋" w:eastAsia="仿宋" w:cs="仿宋"/>
          <w:sz w:val="32"/>
          <w:szCs w:val="32"/>
        </w:rPr>
        <w:t>服务全区旅游，促进旅游有序健康发展</w:t>
      </w:r>
      <w:r>
        <w:rPr>
          <w:rFonts w:hint="eastAsia" w:ascii="仿宋" w:hAnsi="仿宋" w:eastAsia="仿宋" w:cs="仿宋"/>
          <w:sz w:val="32"/>
          <w:szCs w:val="32"/>
          <w:lang w:eastAsia="zh-CN"/>
        </w:rPr>
        <w:t>，具体</w:t>
      </w:r>
      <w:r>
        <w:rPr>
          <w:rFonts w:hint="eastAsia" w:ascii="仿宋" w:hAnsi="仿宋" w:eastAsia="仿宋" w:cs="仿宋"/>
          <w:sz w:val="32"/>
          <w:szCs w:val="32"/>
        </w:rPr>
        <w:t>承担旅游发展事务方面的公益性职责。</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eastAsia="仿宋_GB2312"/>
          <w:b/>
          <w:bCs/>
          <w:color w:val="000000"/>
          <w:kern w:val="0"/>
          <w:sz w:val="32"/>
          <w:szCs w:val="32"/>
        </w:rPr>
      </w:pPr>
      <w:r>
        <w:rPr>
          <w:rFonts w:eastAsia="仿宋_GB2312"/>
          <w:b/>
          <w:bCs/>
          <w:color w:val="000000"/>
          <w:kern w:val="0"/>
          <w:sz w:val="32"/>
          <w:szCs w:val="32"/>
        </w:rPr>
        <w:t>（二）项目</w:t>
      </w:r>
      <w:r>
        <w:rPr>
          <w:rFonts w:hint="eastAsia" w:eastAsia="仿宋_GB2312"/>
          <w:b/>
          <w:bCs/>
          <w:color w:val="000000"/>
          <w:kern w:val="0"/>
          <w:sz w:val="32"/>
          <w:szCs w:val="32"/>
        </w:rPr>
        <w:t>预算和绩效目标</w:t>
      </w:r>
      <w:r>
        <w:rPr>
          <w:rFonts w:eastAsia="仿宋_GB2312"/>
          <w:b/>
          <w:bCs/>
          <w:color w:val="000000"/>
          <w:kern w:val="0"/>
          <w:sz w:val="32"/>
          <w:szCs w:val="32"/>
        </w:rPr>
        <w:t>情况简介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000000"/>
          <w:sz w:val="32"/>
          <w:szCs w:val="32"/>
        </w:rPr>
      </w:pPr>
      <w:r>
        <w:rPr>
          <w:rFonts w:hint="eastAsia" w:eastAsia="仿宋_GB2312"/>
          <w:color w:val="000000"/>
          <w:kern w:val="0"/>
          <w:sz w:val="32"/>
          <w:szCs w:val="32"/>
          <w:lang w:eastAsia="zh-CN"/>
        </w:rPr>
        <w:t>项目支出</w:t>
      </w:r>
      <w:r>
        <w:rPr>
          <w:rFonts w:hint="eastAsia" w:ascii="仿宋" w:hAnsi="仿宋" w:eastAsia="仿宋" w:cs="仿宋"/>
          <w:color w:val="000000"/>
          <w:kern w:val="0"/>
          <w:sz w:val="32"/>
          <w:szCs w:val="32"/>
          <w:lang w:eastAsia="zh-CN"/>
        </w:rPr>
        <w:t>215.97</w:t>
      </w:r>
      <w:r>
        <w:rPr>
          <w:rFonts w:hint="eastAsia" w:eastAsia="仿宋_GB2312"/>
          <w:color w:val="000000"/>
          <w:kern w:val="0"/>
          <w:sz w:val="32"/>
          <w:szCs w:val="32"/>
          <w:lang w:eastAsia="zh-CN"/>
        </w:rPr>
        <w:t>万元，主要用于挂靠在本单位的对接粤港澳指挥部账务支出。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eastAsia="黑体"/>
          <w:color w:val="000000"/>
          <w:kern w:val="0"/>
          <w:sz w:val="32"/>
          <w:szCs w:val="32"/>
        </w:rPr>
      </w:pPr>
      <w:r>
        <w:rPr>
          <w:rFonts w:hint="eastAsia" w:ascii="黑体" w:eastAsia="黑体"/>
          <w:color w:val="000000"/>
          <w:kern w:val="0"/>
          <w:sz w:val="32"/>
          <w:szCs w:val="32"/>
        </w:rPr>
        <w:t>二、项目组织实施情况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eastAsia="仿宋_GB2312"/>
          <w:b/>
          <w:bCs/>
          <w:color w:val="000000"/>
          <w:kern w:val="0"/>
          <w:sz w:val="32"/>
          <w:szCs w:val="32"/>
        </w:rPr>
      </w:pPr>
      <w:r>
        <w:rPr>
          <w:rFonts w:hint="eastAsia" w:eastAsia="仿宋_GB2312"/>
          <w:b/>
          <w:bCs/>
          <w:color w:val="000000"/>
          <w:kern w:val="0"/>
          <w:sz w:val="32"/>
          <w:szCs w:val="32"/>
        </w:rPr>
        <w:t>（一）项目组织情况分析</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仿宋_GB2312"/>
          <w:sz w:val="32"/>
          <w:szCs w:val="32"/>
          <w:lang w:eastAsia="zh-CN"/>
        </w:rPr>
      </w:pPr>
      <w:r>
        <w:rPr>
          <w:rFonts w:hint="eastAsia"/>
          <w:sz w:val="32"/>
          <w:szCs w:val="32"/>
          <w:lang w:eastAsia="zh-CN"/>
        </w:rPr>
        <w:t>主要用于仁山湖美田园综合体建设，发展高效农业、创意农业、休闲农业、体验农业，创建绿色宜居、度假宜游、休闲宜生为一体的田园综合示范区。严格按照规章制度去办理项目招标、工程验收。</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eastAsia="仿宋_GB2312"/>
          <w:b/>
          <w:bCs/>
          <w:color w:val="000000"/>
          <w:kern w:val="0"/>
          <w:sz w:val="32"/>
          <w:szCs w:val="32"/>
        </w:rPr>
      </w:pPr>
      <w:r>
        <w:rPr>
          <w:rFonts w:hint="eastAsia" w:eastAsia="仿宋_GB2312"/>
          <w:b/>
          <w:bCs/>
          <w:color w:val="000000"/>
          <w:kern w:val="0"/>
          <w:sz w:val="32"/>
          <w:szCs w:val="32"/>
        </w:rPr>
        <w:t>（二）项目管理情况分析</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sz w:val="32"/>
          <w:szCs w:val="32"/>
          <w:lang w:eastAsia="zh-CN"/>
        </w:rPr>
      </w:pPr>
      <w:r>
        <w:rPr>
          <w:rFonts w:hint="eastAsia"/>
          <w:sz w:val="32"/>
          <w:szCs w:val="32"/>
          <w:lang w:eastAsia="zh-CN"/>
        </w:rPr>
        <w:t>项目资金实现专户管理，专款专用，完善日常监督检查，确保项目实施安全到位。</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黑体" w:eastAsia="黑体"/>
          <w:color w:val="000000"/>
          <w:kern w:val="0"/>
          <w:sz w:val="32"/>
          <w:szCs w:val="32"/>
        </w:rPr>
      </w:pPr>
      <w:r>
        <w:rPr>
          <w:rFonts w:hint="eastAsia" w:ascii="黑体" w:eastAsia="黑体"/>
          <w:color w:val="000000"/>
          <w:kern w:val="0"/>
          <w:sz w:val="32"/>
          <w:szCs w:val="32"/>
        </w:rPr>
        <w:t>三、项目资金使用及管理情况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eastAsia="仿宋_GB2312"/>
          <w:b/>
          <w:bCs/>
          <w:color w:val="000000"/>
          <w:kern w:val="0"/>
          <w:sz w:val="32"/>
          <w:szCs w:val="32"/>
        </w:rPr>
      </w:pPr>
      <w:r>
        <w:rPr>
          <w:rFonts w:hint="eastAsia" w:eastAsia="仿宋_GB2312"/>
          <w:b/>
          <w:bCs/>
          <w:color w:val="000000"/>
          <w:kern w:val="0"/>
          <w:sz w:val="32"/>
          <w:szCs w:val="32"/>
        </w:rPr>
        <w:t>（一）项目资金安排落实、总投入等情况分析</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仿宋_GB2312"/>
          <w:sz w:val="32"/>
          <w:szCs w:val="32"/>
          <w:lang w:eastAsia="zh-CN"/>
        </w:rPr>
      </w:pPr>
      <w:r>
        <w:rPr>
          <w:rFonts w:hint="eastAsia"/>
          <w:sz w:val="32"/>
          <w:szCs w:val="32"/>
        </w:rPr>
        <w:t>2021年度</w:t>
      </w:r>
      <w:r>
        <w:rPr>
          <w:rFonts w:hint="eastAsia"/>
          <w:sz w:val="32"/>
          <w:szCs w:val="32"/>
          <w:lang w:eastAsia="zh-CN"/>
        </w:rPr>
        <w:t>本单位</w:t>
      </w:r>
      <w:r>
        <w:rPr>
          <w:rFonts w:hint="eastAsia"/>
          <w:sz w:val="32"/>
          <w:szCs w:val="32"/>
        </w:rPr>
        <w:t>项目开支</w:t>
      </w:r>
      <w:r>
        <w:rPr>
          <w:rFonts w:hint="eastAsia"/>
          <w:sz w:val="32"/>
          <w:szCs w:val="32"/>
          <w:lang w:val="en-US" w:eastAsia="zh-CN"/>
        </w:rPr>
        <w:t>215.97</w:t>
      </w:r>
      <w:r>
        <w:rPr>
          <w:rFonts w:hint="eastAsia"/>
          <w:sz w:val="32"/>
          <w:szCs w:val="32"/>
        </w:rPr>
        <w:t>万元，全部由区财政拨款，到位资金</w:t>
      </w:r>
      <w:r>
        <w:rPr>
          <w:rFonts w:hint="eastAsia"/>
          <w:sz w:val="32"/>
          <w:szCs w:val="32"/>
          <w:lang w:val="en-US" w:eastAsia="zh-CN"/>
        </w:rPr>
        <w:t>215.97</w:t>
      </w:r>
      <w:r>
        <w:rPr>
          <w:rFonts w:hint="eastAsia"/>
          <w:sz w:val="32"/>
          <w:szCs w:val="32"/>
        </w:rPr>
        <w:t>万元</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eastAsia="仿宋_GB2312"/>
          <w:b/>
          <w:bCs/>
          <w:color w:val="000000"/>
          <w:kern w:val="0"/>
          <w:sz w:val="32"/>
          <w:szCs w:val="32"/>
        </w:rPr>
      </w:pPr>
      <w:r>
        <w:rPr>
          <w:rFonts w:hint="eastAsia" w:eastAsia="仿宋_GB2312"/>
          <w:b/>
          <w:bCs/>
          <w:color w:val="000000"/>
          <w:kern w:val="0"/>
          <w:sz w:val="32"/>
          <w:szCs w:val="32"/>
        </w:rPr>
        <w:t>（二）项目资金实际使用情况分析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仿宋_GB2312"/>
          <w:color w:val="000000"/>
          <w:kern w:val="0"/>
          <w:sz w:val="32"/>
          <w:szCs w:val="32"/>
          <w:lang w:eastAsia="zh-CN"/>
        </w:rPr>
      </w:pPr>
      <w:r>
        <w:rPr>
          <w:rFonts w:hint="eastAsia" w:eastAsia="仿宋_GB2312"/>
          <w:color w:val="000000"/>
          <w:kern w:val="0"/>
          <w:sz w:val="32"/>
          <w:szCs w:val="32"/>
          <w:lang w:eastAsia="zh-CN"/>
        </w:rPr>
        <w:t>用于挂靠在本单位的对接粤港澳指挥部的相关支出。</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eastAsia="仿宋_GB2312"/>
          <w:b/>
          <w:bCs/>
          <w:color w:val="000000"/>
          <w:kern w:val="0"/>
          <w:sz w:val="32"/>
          <w:szCs w:val="32"/>
          <w:lang w:eastAsia="zh-CN"/>
        </w:rPr>
      </w:pPr>
      <w:r>
        <w:rPr>
          <w:rFonts w:hint="eastAsia" w:eastAsia="仿宋_GB2312"/>
          <w:b/>
          <w:bCs/>
          <w:color w:val="000000"/>
          <w:kern w:val="0"/>
          <w:sz w:val="32"/>
          <w:szCs w:val="32"/>
        </w:rPr>
        <w:t>（三）项目资金管理情况分析</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仿宋_GB2312"/>
          <w:sz w:val="32"/>
          <w:szCs w:val="32"/>
          <w:lang w:eastAsia="zh-CN"/>
        </w:rPr>
      </w:pPr>
      <w:r>
        <w:rPr>
          <w:rFonts w:hint="eastAsia"/>
          <w:sz w:val="32"/>
          <w:szCs w:val="32"/>
        </w:rPr>
        <w:t>严格按照有关规定，遵守国家有关法律法规和财会制度，确保专款专用</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黑体" w:eastAsia="黑体"/>
          <w:color w:val="000000"/>
          <w:kern w:val="0"/>
          <w:sz w:val="32"/>
          <w:szCs w:val="32"/>
        </w:rPr>
      </w:pPr>
      <w:r>
        <w:rPr>
          <w:rFonts w:hint="eastAsia" w:ascii="黑体" w:eastAsia="黑体"/>
          <w:color w:val="000000"/>
          <w:kern w:val="0"/>
          <w:sz w:val="32"/>
          <w:szCs w:val="32"/>
        </w:rPr>
        <w:t>四、项目绩效指标完成情况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仿宋_GB2312"/>
          <w:color w:val="000000"/>
          <w:kern w:val="0"/>
          <w:sz w:val="32"/>
          <w:szCs w:val="32"/>
          <w:lang w:eastAsia="zh-CN"/>
        </w:rPr>
      </w:pPr>
      <w:r>
        <w:rPr>
          <w:rFonts w:hint="eastAsia" w:eastAsia="仿宋_GB2312"/>
          <w:color w:val="000000"/>
          <w:kern w:val="0"/>
          <w:sz w:val="32"/>
          <w:szCs w:val="32"/>
        </w:rPr>
        <w:t>从项目的经济性、效率性、有效性和可持续性等方面进行量化、具体分析</w:t>
      </w:r>
      <w:r>
        <w:rPr>
          <w:rFonts w:hint="eastAsia" w:eastAsia="仿宋_GB2312"/>
          <w:color w:val="000000"/>
          <w:kern w:val="0"/>
          <w:sz w:val="32"/>
          <w:szCs w:val="32"/>
          <w:lang w:eastAsia="zh-CN"/>
        </w:rPr>
        <w:t>，</w:t>
      </w:r>
      <w:r>
        <w:rPr>
          <w:rFonts w:hint="eastAsia" w:ascii="Calibri" w:hAnsi="Calibri" w:eastAsia="仿宋_GB2312"/>
          <w:color w:val="000000"/>
          <w:kern w:val="0"/>
          <w:sz w:val="32"/>
          <w:szCs w:val="32"/>
        </w:rPr>
        <w:t>均达到了优秀。对预算可控范围进行了把控，</w:t>
      </w:r>
      <w:r>
        <w:rPr>
          <w:rFonts w:hint="eastAsia" w:ascii="仿宋" w:hAnsi="仿宋" w:eastAsia="仿宋" w:cs="仿宋"/>
          <w:sz w:val="32"/>
          <w:szCs w:val="32"/>
        </w:rPr>
        <w:t>致力打造精品、作品、尚品“三品齐创”</w:t>
      </w:r>
      <w:r>
        <w:rPr>
          <w:rFonts w:hint="eastAsia" w:ascii="仿宋" w:hAnsi="仿宋" w:eastAsia="仿宋" w:cs="仿宋"/>
          <w:sz w:val="32"/>
          <w:szCs w:val="32"/>
          <w:lang w:eastAsia="zh-CN"/>
        </w:rPr>
        <w:t>的</w:t>
      </w:r>
      <w:r>
        <w:rPr>
          <w:rFonts w:hint="eastAsia" w:ascii="仿宋" w:hAnsi="仿宋" w:eastAsia="仿宋" w:cs="仿宋"/>
          <w:sz w:val="32"/>
          <w:szCs w:val="32"/>
        </w:rPr>
        <w:t>田园综合体项目。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绩效自评得分等级结果及拟应用和公开情况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 w:val="32"/>
          <w:szCs w:val="32"/>
        </w:rPr>
      </w:pPr>
      <w:r>
        <w:rPr>
          <w:rFonts w:hint="eastAsia" w:ascii="仿宋" w:hAnsi="仿宋" w:eastAsia="仿宋" w:cs="仿宋"/>
          <w:color w:val="000000"/>
          <w:spacing w:val="0"/>
          <w:w w:val="100"/>
          <w:position w:val="0"/>
          <w:sz w:val="32"/>
          <w:szCs w:val="32"/>
          <w:lang w:val="en-US" w:eastAsia="zh-CN"/>
        </w:rPr>
        <w:t>通过分析，2021年自评综合</w:t>
      </w:r>
      <w:r>
        <w:rPr>
          <w:rFonts w:hint="eastAsia" w:ascii="仿宋" w:hAnsi="仿宋" w:eastAsia="仿宋" w:cs="仿宋"/>
          <w:color w:val="000000"/>
          <w:spacing w:val="0"/>
          <w:w w:val="100"/>
          <w:position w:val="0"/>
          <w:sz w:val="32"/>
          <w:szCs w:val="32"/>
          <w:highlight w:val="none"/>
          <w:lang w:val="en-US" w:eastAsia="zh-CN"/>
        </w:rPr>
        <w:t>得分</w:t>
      </w:r>
      <w:r>
        <w:rPr>
          <w:rFonts w:hint="eastAsia" w:ascii="仿宋" w:hAnsi="仿宋" w:eastAsia="仿宋" w:cs="仿宋"/>
          <w:color w:val="000000"/>
          <w:spacing w:val="0"/>
          <w:w w:val="100"/>
          <w:position w:val="0"/>
          <w:sz w:val="32"/>
          <w:szCs w:val="32"/>
          <w:highlight w:val="none"/>
          <w:u w:val="none"/>
          <w:lang w:val="en-US" w:eastAsia="zh-CN"/>
        </w:rPr>
        <w:t>95</w:t>
      </w:r>
      <w:r>
        <w:rPr>
          <w:rFonts w:hint="eastAsia" w:ascii="仿宋" w:hAnsi="仿宋" w:eastAsia="仿宋" w:cs="仿宋"/>
          <w:color w:val="000000"/>
          <w:spacing w:val="0"/>
          <w:w w:val="100"/>
          <w:position w:val="0"/>
          <w:sz w:val="32"/>
          <w:szCs w:val="32"/>
          <w:highlight w:val="none"/>
          <w:lang w:val="en-US" w:eastAsia="zh-CN"/>
        </w:rPr>
        <w:t>分</w:t>
      </w:r>
      <w:r>
        <w:rPr>
          <w:rFonts w:hint="eastAsia" w:ascii="仿宋" w:hAnsi="仿宋" w:eastAsia="仿宋" w:cs="仿宋"/>
          <w:color w:val="000000"/>
          <w:spacing w:val="0"/>
          <w:w w:val="100"/>
          <w:position w:val="0"/>
          <w:sz w:val="32"/>
          <w:szCs w:val="32"/>
          <w:lang w:val="en-US" w:eastAsia="zh-CN"/>
        </w:rPr>
        <w:t>，绩效评价等级为优。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b w:val="0"/>
          <w:bCs w:val="0"/>
          <w:kern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、绩效自评工作的经验、问题和建议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Calibri"/>
          <w:color w:val="000000"/>
          <w:kern w:val="0"/>
          <w:sz w:val="32"/>
          <w:szCs w:val="32"/>
        </w:rPr>
      </w:pPr>
      <w:r>
        <w:rPr>
          <w:rFonts w:hint="eastAsia" w:ascii="仿宋" w:hAnsi="仿宋" w:eastAsia="仿宋" w:cs="Calibri"/>
          <w:color w:val="000000"/>
          <w:kern w:val="0"/>
          <w:sz w:val="32"/>
          <w:szCs w:val="32"/>
          <w:lang w:val="en-US" w:eastAsia="zh-CN"/>
        </w:rPr>
        <w:t>1.</w:t>
      </w:r>
      <w:r>
        <w:rPr>
          <w:rFonts w:hint="eastAsia" w:ascii="仿宋" w:hAnsi="仿宋" w:eastAsia="仿宋" w:cs="Calibri"/>
          <w:color w:val="000000"/>
          <w:kern w:val="0"/>
          <w:sz w:val="32"/>
          <w:szCs w:val="32"/>
        </w:rPr>
        <w:t>进一步加强资金的使用管理，</w:t>
      </w:r>
      <w:r>
        <w:rPr>
          <w:rFonts w:hint="eastAsia" w:ascii="仿宋" w:hAnsi="仿宋" w:eastAsia="仿宋" w:cs="仿宋"/>
          <w:color w:val="000000"/>
          <w:spacing w:val="0"/>
          <w:w w:val="100"/>
          <w:kern w:val="2"/>
          <w:position w:val="0"/>
          <w:sz w:val="32"/>
          <w:szCs w:val="32"/>
          <w:u w:val="none"/>
          <w:shd w:val="clear" w:color="auto" w:fill="auto"/>
          <w:lang w:val="zh-TW" w:eastAsia="zh-CN" w:bidi="zh-TW"/>
        </w:rPr>
        <w:t>完善财务管理机制，充分发挥绩效管理工作效果，</w:t>
      </w:r>
      <w:r>
        <w:rPr>
          <w:rFonts w:hint="eastAsia" w:ascii="仿宋" w:hAnsi="仿宋" w:eastAsia="仿宋" w:cs="Calibri"/>
          <w:color w:val="000000"/>
          <w:kern w:val="0"/>
          <w:sz w:val="32"/>
          <w:szCs w:val="32"/>
          <w:lang w:eastAsia="zh-CN"/>
        </w:rPr>
        <w:t>保证</w:t>
      </w:r>
      <w:r>
        <w:rPr>
          <w:rFonts w:hint="eastAsia" w:ascii="仿宋" w:hAnsi="仿宋" w:eastAsia="仿宋" w:cs="Calibri"/>
          <w:color w:val="000000"/>
          <w:kern w:val="0"/>
          <w:sz w:val="32"/>
          <w:szCs w:val="32"/>
        </w:rPr>
        <w:t>专项资金的使用落实到实处，产生社会、经济效益。</w:t>
      </w:r>
    </w:p>
    <w:p>
      <w:pPr>
        <w:pStyle w:val="2"/>
        <w:rPr>
          <w:rFonts w:hint="default" w:eastAsia="仿宋"/>
          <w:lang w:val="en-US" w:eastAsia="zh-CN"/>
        </w:rPr>
      </w:pPr>
      <w:r>
        <w:rPr>
          <w:rFonts w:hint="eastAsia" w:ascii="仿宋" w:hAnsi="仿宋" w:eastAsia="仿宋" w:cs="Calibri"/>
          <w:color w:val="000000"/>
          <w:kern w:val="0"/>
          <w:sz w:val="32"/>
          <w:szCs w:val="32"/>
          <w:lang w:val="en-US" w:eastAsia="zh-CN"/>
        </w:rPr>
        <w:t xml:space="preserve">   2.</w:t>
      </w:r>
      <w:r>
        <w:rPr>
          <w:rFonts w:hint="eastAsia" w:ascii="仿宋" w:hAnsi="仿宋" w:eastAsia="仿宋" w:cs="仿宋"/>
          <w:color w:val="000000"/>
          <w:spacing w:val="0"/>
          <w:w w:val="100"/>
          <w:kern w:val="2"/>
          <w:position w:val="0"/>
          <w:sz w:val="32"/>
          <w:szCs w:val="32"/>
          <w:u w:val="none"/>
          <w:shd w:val="clear" w:color="auto" w:fill="auto"/>
          <w:lang w:val="zh-TW" w:eastAsia="zh-CN" w:bidi="zh-TW"/>
        </w:rPr>
        <w:t>加强预算管理意识，实时关注预算管理制度动向，学习如何科学合理制定绩效目标及考核体系，及时整合各方资源。</w:t>
      </w:r>
    </w:p>
    <w:p>
      <w:pPr>
        <w:spacing w:line="560" w:lineRule="exact"/>
        <w:jc w:val="right"/>
        <w:rPr>
          <w:rFonts w:hint="eastAsia" w:ascii="仿宋" w:hAnsi="仿宋" w:eastAsia="仿宋" w:cs="仿宋"/>
          <w:color w:val="000000"/>
          <w:sz w:val="32"/>
          <w:lang w:eastAsia="zh-CN"/>
        </w:rPr>
      </w:pPr>
    </w:p>
    <w:p>
      <w:pPr>
        <w:spacing w:line="560" w:lineRule="exact"/>
        <w:jc w:val="right"/>
        <w:rPr>
          <w:rFonts w:hint="eastAsia" w:ascii="仿宋" w:hAnsi="仿宋" w:eastAsia="仿宋" w:cs="仿宋"/>
          <w:color w:val="000000"/>
          <w:sz w:val="32"/>
          <w:lang w:eastAsia="zh-CN"/>
        </w:rPr>
      </w:pPr>
      <w:r>
        <w:rPr>
          <w:rFonts w:hint="eastAsia" w:ascii="仿宋" w:hAnsi="仿宋" w:eastAsia="仿宋" w:cs="仿宋"/>
          <w:color w:val="000000"/>
          <w:sz w:val="32"/>
          <w:lang w:eastAsia="zh-CN"/>
        </w:rPr>
        <w:t>永州市</w:t>
      </w:r>
      <w:r>
        <w:rPr>
          <w:rFonts w:hint="eastAsia" w:ascii="仿宋" w:hAnsi="仿宋" w:eastAsia="仿宋" w:cs="仿宋"/>
          <w:color w:val="000000"/>
          <w:sz w:val="32"/>
        </w:rPr>
        <w:t>冷水滩区</w:t>
      </w:r>
      <w:r>
        <w:rPr>
          <w:rFonts w:hint="eastAsia" w:ascii="仿宋" w:hAnsi="仿宋" w:eastAsia="仿宋" w:cs="仿宋"/>
          <w:color w:val="000000"/>
          <w:sz w:val="32"/>
          <w:lang w:eastAsia="zh-CN"/>
        </w:rPr>
        <w:t>旅游发展服务中心</w:t>
      </w:r>
    </w:p>
    <w:p>
      <w:pPr>
        <w:spacing w:line="560" w:lineRule="exact"/>
        <w:ind w:right="480"/>
        <w:jc w:val="center"/>
        <w:rPr>
          <w:rFonts w:hint="eastAsia" w:ascii="仿宋" w:hAnsi="仿宋" w:eastAsia="仿宋" w:cs="仿宋"/>
          <w:color w:val="000000"/>
          <w:sz w:val="32"/>
        </w:rPr>
      </w:pPr>
      <w:r>
        <w:rPr>
          <w:rFonts w:hint="eastAsia" w:ascii="仿宋" w:hAnsi="仿宋" w:eastAsia="仿宋" w:cs="仿宋"/>
          <w:color w:val="000000"/>
          <w:sz w:val="32"/>
          <w:lang w:val="en-US" w:eastAsia="zh-CN"/>
        </w:rPr>
        <w:t xml:space="preserve">                         </w:t>
      </w:r>
      <w:r>
        <w:rPr>
          <w:rFonts w:hint="eastAsia" w:ascii="仿宋" w:hAnsi="仿宋" w:eastAsia="仿宋" w:cs="仿宋"/>
          <w:color w:val="000000"/>
          <w:sz w:val="32"/>
        </w:rPr>
        <w:t>202</w:t>
      </w:r>
      <w:r>
        <w:rPr>
          <w:rFonts w:hint="eastAsia" w:ascii="仿宋" w:hAnsi="仿宋" w:eastAsia="仿宋" w:cs="仿宋"/>
          <w:color w:val="000000"/>
          <w:sz w:val="32"/>
          <w:lang w:val="en-US" w:eastAsia="zh-CN"/>
        </w:rPr>
        <w:t>2</w:t>
      </w:r>
      <w:r>
        <w:rPr>
          <w:rFonts w:hint="eastAsia" w:ascii="仿宋" w:hAnsi="仿宋" w:eastAsia="仿宋" w:cs="仿宋"/>
          <w:color w:val="000000"/>
          <w:sz w:val="32"/>
        </w:rPr>
        <w:t>年</w:t>
      </w:r>
      <w:r>
        <w:rPr>
          <w:rFonts w:hint="eastAsia" w:ascii="仿宋" w:hAnsi="仿宋" w:eastAsia="仿宋" w:cs="仿宋"/>
          <w:color w:val="000000"/>
          <w:sz w:val="32"/>
          <w:lang w:val="en-US" w:eastAsia="zh-CN"/>
        </w:rPr>
        <w:t>8</w:t>
      </w:r>
      <w:r>
        <w:rPr>
          <w:rFonts w:hint="eastAsia" w:ascii="仿宋" w:hAnsi="仿宋" w:eastAsia="仿宋" w:cs="仿宋"/>
          <w:color w:val="000000"/>
          <w:sz w:val="32"/>
        </w:rPr>
        <w:t>月</w:t>
      </w:r>
      <w:r>
        <w:rPr>
          <w:rFonts w:hint="eastAsia" w:ascii="仿宋" w:hAnsi="仿宋" w:eastAsia="仿宋" w:cs="仿宋"/>
          <w:color w:val="000000"/>
          <w:sz w:val="32"/>
          <w:lang w:val="en-US" w:eastAsia="zh-CN"/>
        </w:rPr>
        <w:t>23</w:t>
      </w:r>
      <w:r>
        <w:rPr>
          <w:rFonts w:hint="eastAsia" w:ascii="仿宋" w:hAnsi="仿宋" w:eastAsia="仿宋" w:cs="仿宋"/>
          <w:color w:val="000000"/>
          <w:sz w:val="32"/>
        </w:rPr>
        <w:t>日</w:t>
      </w:r>
    </w:p>
    <w:p>
      <w:pPr>
        <w:widowControl/>
        <w:jc w:val="both"/>
        <w:rPr>
          <w:rFonts w:hint="eastAsia" w:ascii="方正小标宋简体" w:hAnsi="方正小标宋简体" w:eastAsia="方正小标宋简体" w:cs="方正小标宋简体"/>
          <w:kern w:val="0"/>
          <w:sz w:val="36"/>
          <w:szCs w:val="36"/>
        </w:rPr>
      </w:pPr>
    </w:p>
    <w:p>
      <w:pPr>
        <w:widowControl/>
        <w:jc w:val="center"/>
        <w:rPr>
          <w:rFonts w:hint="eastAsia" w:ascii="方正小标宋简体" w:hAnsi="方正小标宋简体" w:eastAsia="方正小标宋简体" w:cs="方正小标宋简体"/>
          <w:kern w:val="0"/>
          <w:sz w:val="36"/>
          <w:szCs w:val="36"/>
        </w:rPr>
      </w:pPr>
    </w:p>
    <w:p>
      <w:pPr>
        <w:widowControl/>
        <w:jc w:val="center"/>
        <w:rPr>
          <w:rFonts w:hint="eastAsia" w:ascii="方正小标宋简体" w:hAnsi="方正小标宋简体" w:eastAsia="方正小标宋简体" w:cs="方正小标宋简体"/>
          <w:kern w:val="0"/>
          <w:sz w:val="36"/>
          <w:szCs w:val="36"/>
        </w:rPr>
      </w:pPr>
    </w:p>
    <w:p>
      <w:pPr>
        <w:widowControl/>
        <w:jc w:val="center"/>
        <w:rPr>
          <w:rFonts w:hint="eastAsia" w:ascii="方正小标宋简体" w:hAnsi="方正小标宋简体" w:eastAsia="方正小标宋简体" w:cs="方正小标宋简体"/>
          <w:kern w:val="0"/>
          <w:sz w:val="36"/>
          <w:szCs w:val="36"/>
        </w:rPr>
      </w:pPr>
    </w:p>
    <w:p>
      <w:pPr>
        <w:widowControl/>
        <w:jc w:val="center"/>
        <w:rPr>
          <w:rFonts w:hint="eastAsia" w:ascii="方正小标宋简体" w:hAnsi="方正小标宋简体" w:eastAsia="方正小标宋简体" w:cs="方正小标宋简体"/>
          <w:kern w:val="0"/>
          <w:sz w:val="36"/>
          <w:szCs w:val="36"/>
        </w:rPr>
      </w:pPr>
    </w:p>
    <w:p>
      <w:pPr>
        <w:widowControl/>
        <w:jc w:val="center"/>
        <w:rPr>
          <w:rFonts w:hint="eastAsia" w:ascii="方正小标宋简体" w:hAnsi="方正小标宋简体" w:eastAsia="方正小标宋简体" w:cs="方正小标宋简体"/>
          <w:kern w:val="0"/>
          <w:sz w:val="36"/>
          <w:szCs w:val="36"/>
        </w:rPr>
      </w:pPr>
    </w:p>
    <w:p>
      <w:pPr>
        <w:widowControl/>
        <w:jc w:val="center"/>
        <w:rPr>
          <w:rFonts w:hint="eastAsia" w:ascii="方正小标宋简体" w:hAnsi="方正小标宋简体" w:eastAsia="方正小标宋简体" w:cs="方正小标宋简体"/>
          <w:kern w:val="0"/>
          <w:sz w:val="36"/>
          <w:szCs w:val="36"/>
        </w:rPr>
      </w:pPr>
    </w:p>
    <w:p>
      <w:pPr>
        <w:widowControl/>
        <w:jc w:val="center"/>
        <w:rPr>
          <w:rFonts w:hint="eastAsia" w:ascii="方正小标宋简体" w:hAnsi="方正小标宋简体" w:eastAsia="方正小标宋简体" w:cs="方正小标宋简体"/>
          <w:kern w:val="0"/>
          <w:sz w:val="36"/>
          <w:szCs w:val="36"/>
        </w:rPr>
      </w:pPr>
    </w:p>
    <w:p>
      <w:pPr>
        <w:widowControl/>
        <w:jc w:val="center"/>
        <w:rPr>
          <w:rFonts w:hint="eastAsia" w:ascii="方正小标宋简体" w:hAnsi="方正小标宋简体" w:eastAsia="方正小标宋简体" w:cs="方正小标宋简体"/>
          <w:kern w:val="0"/>
          <w:sz w:val="36"/>
          <w:szCs w:val="36"/>
        </w:rPr>
      </w:pPr>
    </w:p>
    <w:p>
      <w:pPr>
        <w:widowControl/>
        <w:jc w:val="center"/>
        <w:rPr>
          <w:rFonts w:hint="eastAsia" w:ascii="方正小标宋简体" w:hAnsi="方正小标宋简体" w:eastAsia="方正小标宋简体" w:cs="方正小标宋简体"/>
          <w:kern w:val="0"/>
          <w:sz w:val="36"/>
          <w:szCs w:val="36"/>
        </w:rPr>
      </w:pPr>
    </w:p>
    <w:p>
      <w:pPr>
        <w:widowControl/>
        <w:jc w:val="center"/>
        <w:rPr>
          <w:rFonts w:hint="eastAsia" w:ascii="方正小标宋简体" w:hAnsi="方正小标宋简体" w:eastAsia="方正小标宋简体" w:cs="方正小标宋简体"/>
          <w:kern w:val="0"/>
          <w:sz w:val="36"/>
          <w:szCs w:val="36"/>
        </w:rPr>
      </w:pPr>
    </w:p>
    <w:p>
      <w:pPr>
        <w:widowControl/>
        <w:jc w:val="center"/>
        <w:rPr>
          <w:rFonts w:hint="eastAsia" w:ascii="方正小标宋简体" w:hAnsi="方正小标宋简体" w:eastAsia="方正小标宋简体" w:cs="方正小标宋简体"/>
          <w:kern w:val="0"/>
          <w:sz w:val="36"/>
          <w:szCs w:val="36"/>
        </w:rPr>
      </w:pPr>
    </w:p>
    <w:p>
      <w:pPr>
        <w:widowControl/>
        <w:jc w:val="center"/>
        <w:rPr>
          <w:rFonts w:hint="eastAsia" w:ascii="方正小标宋简体" w:hAnsi="方正小标宋简体" w:eastAsia="方正小标宋简体" w:cs="方正小标宋简体"/>
          <w:kern w:val="0"/>
          <w:sz w:val="36"/>
          <w:szCs w:val="36"/>
        </w:rPr>
      </w:pPr>
    </w:p>
    <w:p>
      <w:pPr>
        <w:widowControl/>
        <w:jc w:val="center"/>
        <w:rPr>
          <w:rFonts w:hint="eastAsia" w:ascii="方正小标宋简体" w:hAnsi="方正小标宋简体" w:eastAsia="方正小标宋简体" w:cs="方正小标宋简体"/>
          <w:kern w:val="0"/>
          <w:sz w:val="36"/>
          <w:szCs w:val="36"/>
        </w:rPr>
      </w:pPr>
    </w:p>
    <w:p>
      <w:pPr>
        <w:widowControl/>
        <w:jc w:val="center"/>
        <w:rPr>
          <w:rFonts w:hint="eastAsia" w:ascii="方正小标宋简体" w:hAnsi="方正小标宋简体" w:eastAsia="方正小标宋简体" w:cs="方正小标宋简体"/>
          <w:kern w:val="0"/>
          <w:sz w:val="36"/>
          <w:szCs w:val="36"/>
        </w:rPr>
      </w:pPr>
    </w:p>
    <w:p>
      <w:pPr>
        <w:widowControl/>
        <w:jc w:val="center"/>
        <w:rPr>
          <w:rFonts w:hint="eastAsia" w:ascii="方正小标宋简体" w:hAnsi="方正小标宋简体" w:eastAsia="方正小标宋简体" w:cs="方正小标宋简体"/>
          <w:kern w:val="0"/>
          <w:sz w:val="36"/>
          <w:szCs w:val="36"/>
        </w:rPr>
      </w:pPr>
    </w:p>
    <w:p>
      <w:pPr>
        <w:pStyle w:val="2"/>
        <w:ind w:left="0" w:leftChars="0" w:firstLine="0" w:firstLineChars="0"/>
        <w:rPr>
          <w:rFonts w:hint="eastAsia" w:ascii="方正小标宋简体" w:hAnsi="方正小标宋简体" w:eastAsia="方正小标宋简体" w:cs="方正小标宋简体"/>
          <w:kern w:val="0"/>
          <w:sz w:val="36"/>
          <w:szCs w:val="36"/>
        </w:rPr>
      </w:pPr>
    </w:p>
    <w:p>
      <w:pPr>
        <w:pStyle w:val="2"/>
        <w:ind w:left="0" w:leftChars="0" w:firstLine="0" w:firstLineChars="0"/>
        <w:rPr>
          <w:rFonts w:hint="eastAsia" w:ascii="方正小标宋简体" w:hAnsi="方正小标宋简体" w:eastAsia="方正小标宋简体" w:cs="方正小标宋简体"/>
          <w:kern w:val="0"/>
          <w:sz w:val="36"/>
          <w:szCs w:val="36"/>
          <w:lang w:eastAsia="zh-CN"/>
        </w:rPr>
      </w:pPr>
      <w:r>
        <w:rPr>
          <w:rFonts w:hint="eastAsia" w:ascii="方正小标宋简体" w:hAnsi="方正小标宋简体" w:eastAsia="方正小标宋简体" w:cs="方正小标宋简体"/>
          <w:kern w:val="0"/>
          <w:sz w:val="36"/>
          <w:szCs w:val="36"/>
          <w:lang w:eastAsia="zh-CN"/>
        </w:rPr>
        <w:t>附件</w:t>
      </w:r>
    </w:p>
    <w:p>
      <w:pPr>
        <w:widowControl/>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2021年度财政专项（项目）资金绩效评价表</w:t>
      </w:r>
    </w:p>
    <w:p>
      <w:pPr>
        <w:widowControl/>
        <w:ind w:left="93"/>
        <w:jc w:val="center"/>
        <w:rPr>
          <w:rFonts w:ascii="方正小标宋简体" w:hAnsi="方正小标宋简体" w:eastAsia="方正小标宋简体" w:cs="方正小标宋简体"/>
          <w:kern w:val="0"/>
          <w:sz w:val="36"/>
          <w:szCs w:val="36"/>
        </w:rPr>
      </w:pPr>
    </w:p>
    <w:tbl>
      <w:tblPr>
        <w:tblStyle w:val="6"/>
        <w:tblW w:w="10697" w:type="dxa"/>
        <w:jc w:val="center"/>
        <w:tblLayout w:type="fixed"/>
        <w:tblCellMar>
          <w:top w:w="0" w:type="dxa"/>
          <w:left w:w="108" w:type="dxa"/>
          <w:bottom w:w="0" w:type="dxa"/>
          <w:right w:w="108" w:type="dxa"/>
        </w:tblCellMar>
      </w:tblPr>
      <w:tblGrid>
        <w:gridCol w:w="656"/>
        <w:gridCol w:w="710"/>
        <w:gridCol w:w="1275"/>
        <w:gridCol w:w="3080"/>
        <w:gridCol w:w="4502"/>
        <w:gridCol w:w="474"/>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474"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74"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74" w:type="dxa"/>
            <w:vMerge w:val="restart"/>
            <w:tcBorders>
              <w:top w:val="nil"/>
              <w:left w:val="nil"/>
              <w:right w:val="single" w:color="auto" w:sz="4" w:space="0"/>
            </w:tcBorders>
          </w:tcPr>
          <w:p>
            <w:pPr>
              <w:widowControl/>
              <w:spacing w:line="240" w:lineRule="auto"/>
              <w:rPr>
                <w:rFonts w:hint="eastAsia" w:ascii="宋体"/>
                <w:color w:val="000000"/>
                <w:kern w:val="0"/>
                <w:sz w:val="24"/>
                <w:lang w:val="en-US" w:eastAsia="zh-CN"/>
              </w:rPr>
            </w:pPr>
          </w:p>
          <w:p>
            <w:pPr>
              <w:widowControl/>
              <w:spacing w:line="240" w:lineRule="auto"/>
              <w:rPr>
                <w:rFonts w:hint="eastAsia" w:ascii="宋体"/>
                <w:color w:val="000000"/>
                <w:kern w:val="0"/>
                <w:sz w:val="24"/>
                <w:lang w:val="en-US" w:eastAsia="zh-CN"/>
              </w:rPr>
            </w:pPr>
          </w:p>
          <w:p>
            <w:pPr>
              <w:widowControl/>
              <w:spacing w:line="240" w:lineRule="auto"/>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474" w:type="dxa"/>
            <w:vMerge w:val="continue"/>
            <w:tcBorders>
              <w:left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474" w:type="dxa"/>
            <w:vMerge w:val="continue"/>
            <w:tcBorders>
              <w:left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474" w:type="dxa"/>
            <w:vMerge w:val="continue"/>
            <w:tcBorders>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74" w:type="dxa"/>
            <w:vMerge w:val="restart"/>
            <w:tcBorders>
              <w:top w:val="nil"/>
              <w:left w:val="nil"/>
              <w:right w:val="single" w:color="auto" w:sz="4" w:space="0"/>
            </w:tcBorders>
          </w:tcPr>
          <w:p>
            <w:pPr>
              <w:widowControl/>
              <w:spacing w:line="280" w:lineRule="exact"/>
              <w:rPr>
                <w:rFonts w:hint="eastAsia" w:ascii="宋体"/>
                <w:color w:val="000000"/>
                <w:kern w:val="0"/>
                <w:sz w:val="24"/>
                <w:lang w:val="en-US" w:eastAsia="zh-CN"/>
              </w:rPr>
            </w:pPr>
          </w:p>
          <w:p>
            <w:pPr>
              <w:widowControl/>
              <w:spacing w:line="280" w:lineRule="exact"/>
              <w:rPr>
                <w:rFonts w:hint="eastAsia" w:ascii="宋体"/>
                <w:color w:val="000000"/>
                <w:kern w:val="0"/>
                <w:sz w:val="24"/>
                <w:lang w:val="en-US" w:eastAsia="zh-CN"/>
              </w:rPr>
            </w:pPr>
          </w:p>
          <w:p>
            <w:pPr>
              <w:widowControl/>
              <w:spacing w:line="280" w:lineRule="exact"/>
              <w:rPr>
                <w:rFonts w:hint="eastAsia" w:ascii="宋体"/>
                <w:color w:val="000000"/>
                <w:kern w:val="0"/>
                <w:sz w:val="24"/>
                <w:lang w:val="en-US" w:eastAsia="zh-CN"/>
              </w:rPr>
            </w:pPr>
          </w:p>
          <w:p>
            <w:pPr>
              <w:widowControl/>
              <w:spacing w:line="280" w:lineRule="exact"/>
              <w:rPr>
                <w:rFonts w:hint="eastAsia" w:ascii="宋体"/>
                <w:color w:val="000000"/>
                <w:kern w:val="0"/>
                <w:sz w:val="24"/>
                <w:lang w:val="en-US" w:eastAsia="zh-CN"/>
              </w:rPr>
            </w:pPr>
          </w:p>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474" w:type="dxa"/>
            <w:vMerge w:val="continue"/>
            <w:tcBorders>
              <w:left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474" w:type="dxa"/>
            <w:vMerge w:val="continue"/>
            <w:tcBorders>
              <w:left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474" w:type="dxa"/>
            <w:vMerge w:val="continue"/>
            <w:tcBorders>
              <w:left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474" w:type="dxa"/>
            <w:vMerge w:val="continue"/>
            <w:tcBorders>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74" w:type="dxa"/>
            <w:vMerge w:val="restart"/>
            <w:tcBorders>
              <w:top w:val="nil"/>
              <w:left w:val="nil"/>
              <w:right w:val="single" w:color="auto" w:sz="4" w:space="0"/>
            </w:tcBorders>
          </w:tcPr>
          <w:p>
            <w:pPr>
              <w:widowControl/>
              <w:spacing w:line="280" w:lineRule="exact"/>
              <w:rPr>
                <w:rFonts w:hint="eastAsia" w:ascii="宋体"/>
                <w:color w:val="000000"/>
                <w:kern w:val="0"/>
                <w:sz w:val="24"/>
                <w:lang w:val="en-US" w:eastAsia="zh-CN"/>
              </w:rPr>
            </w:pPr>
          </w:p>
          <w:p>
            <w:pPr>
              <w:widowControl/>
              <w:spacing w:line="280" w:lineRule="exact"/>
              <w:rPr>
                <w:rFonts w:hint="eastAsia" w:ascii="宋体"/>
                <w:color w:val="000000"/>
                <w:kern w:val="0"/>
                <w:sz w:val="24"/>
                <w:lang w:val="en-US" w:eastAsia="zh-CN"/>
              </w:rPr>
            </w:pPr>
          </w:p>
          <w:p>
            <w:pPr>
              <w:widowControl/>
              <w:spacing w:line="280" w:lineRule="exact"/>
              <w:rPr>
                <w:rFonts w:hint="eastAsia" w:ascii="宋体"/>
                <w:color w:val="000000"/>
                <w:kern w:val="0"/>
                <w:sz w:val="24"/>
                <w:lang w:val="en-US" w:eastAsia="zh-CN"/>
              </w:rPr>
            </w:pPr>
          </w:p>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474" w:type="dxa"/>
            <w:vMerge w:val="continue"/>
            <w:tcBorders>
              <w:left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474" w:type="dxa"/>
            <w:vMerge w:val="continue"/>
            <w:tcBorders>
              <w:left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474" w:type="dxa"/>
            <w:vMerge w:val="continue"/>
            <w:tcBorders>
              <w:left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474" w:type="dxa"/>
            <w:vMerge w:val="continue"/>
            <w:tcBorders>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74" w:type="dxa"/>
            <w:vMerge w:val="restart"/>
            <w:tcBorders>
              <w:top w:val="nil"/>
              <w:left w:val="nil"/>
              <w:right w:val="single" w:color="auto" w:sz="4" w:space="0"/>
            </w:tcBorders>
          </w:tcPr>
          <w:p>
            <w:pPr>
              <w:widowControl/>
              <w:spacing w:line="280" w:lineRule="exact"/>
              <w:rPr>
                <w:rFonts w:hint="eastAsia" w:ascii="宋体"/>
                <w:color w:val="000000"/>
                <w:kern w:val="0"/>
                <w:sz w:val="24"/>
                <w:lang w:val="en-US" w:eastAsia="zh-CN"/>
              </w:rPr>
            </w:pPr>
          </w:p>
          <w:p>
            <w:pPr>
              <w:widowControl/>
              <w:spacing w:line="280" w:lineRule="exact"/>
              <w:rPr>
                <w:rFonts w:hint="eastAsia" w:ascii="宋体"/>
                <w:color w:val="000000"/>
                <w:kern w:val="0"/>
                <w:sz w:val="24"/>
                <w:lang w:val="en-US" w:eastAsia="zh-CN"/>
              </w:rPr>
            </w:pPr>
          </w:p>
          <w:p>
            <w:pPr>
              <w:widowControl/>
              <w:spacing w:line="280" w:lineRule="exact"/>
              <w:rPr>
                <w:rFonts w:hint="eastAsia" w:ascii="宋体"/>
                <w:color w:val="000000"/>
                <w:kern w:val="0"/>
                <w:sz w:val="24"/>
                <w:lang w:val="en-US" w:eastAsia="zh-CN"/>
              </w:rPr>
            </w:pPr>
          </w:p>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474" w:type="dxa"/>
            <w:vMerge w:val="continue"/>
            <w:tcBorders>
              <w:left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474" w:type="dxa"/>
            <w:vMerge w:val="continue"/>
            <w:tcBorders>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74" w:type="dxa"/>
            <w:vMerge w:val="restart"/>
            <w:tcBorders>
              <w:top w:val="nil"/>
              <w:left w:val="nil"/>
              <w:right w:val="single" w:color="auto" w:sz="4" w:space="0"/>
            </w:tcBorders>
          </w:tcPr>
          <w:p>
            <w:pPr>
              <w:widowControl/>
              <w:spacing w:line="280" w:lineRule="exact"/>
              <w:rPr>
                <w:rFonts w:hint="eastAsia" w:ascii="宋体"/>
                <w:color w:val="000000"/>
                <w:kern w:val="0"/>
                <w:sz w:val="24"/>
                <w:lang w:val="en-US" w:eastAsia="zh-CN"/>
              </w:rPr>
            </w:pPr>
          </w:p>
          <w:p>
            <w:pPr>
              <w:widowControl/>
              <w:spacing w:line="280" w:lineRule="exact"/>
              <w:rPr>
                <w:rFonts w:hint="eastAsia" w:ascii="宋体"/>
                <w:color w:val="000000"/>
                <w:kern w:val="0"/>
                <w:sz w:val="24"/>
                <w:lang w:val="en-US" w:eastAsia="zh-CN"/>
              </w:rPr>
            </w:pPr>
          </w:p>
          <w:p>
            <w:pPr>
              <w:widowControl/>
              <w:spacing w:line="280" w:lineRule="exact"/>
              <w:rPr>
                <w:rFonts w:hint="eastAsia" w:ascii="宋体"/>
                <w:color w:val="000000"/>
                <w:kern w:val="0"/>
                <w:sz w:val="24"/>
                <w:lang w:val="en-US" w:eastAsia="zh-CN"/>
              </w:rPr>
            </w:pPr>
          </w:p>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474" w:type="dxa"/>
            <w:vMerge w:val="continue"/>
            <w:tcBorders>
              <w:left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474" w:type="dxa"/>
            <w:vMerge w:val="continue"/>
            <w:tcBorders>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74" w:type="dxa"/>
            <w:vMerge w:val="restart"/>
            <w:tcBorders>
              <w:top w:val="nil"/>
              <w:left w:val="nil"/>
              <w:right w:val="single" w:color="auto" w:sz="4" w:space="0"/>
            </w:tcBorders>
          </w:tcPr>
          <w:p>
            <w:pPr>
              <w:widowControl/>
              <w:spacing w:line="280" w:lineRule="exact"/>
              <w:rPr>
                <w:rFonts w:hint="eastAsia" w:ascii="宋体"/>
                <w:color w:val="000000"/>
                <w:kern w:val="0"/>
                <w:sz w:val="24"/>
                <w:lang w:val="en-US" w:eastAsia="zh-CN"/>
              </w:rPr>
            </w:pPr>
          </w:p>
          <w:p>
            <w:pPr>
              <w:widowControl/>
              <w:spacing w:line="280" w:lineRule="exact"/>
              <w:rPr>
                <w:rFonts w:hint="eastAsia" w:ascii="宋体"/>
                <w:color w:val="000000"/>
                <w:kern w:val="0"/>
                <w:sz w:val="24"/>
                <w:lang w:val="en-US" w:eastAsia="zh-CN"/>
              </w:rPr>
            </w:pPr>
          </w:p>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474" w:type="dxa"/>
            <w:vMerge w:val="continue"/>
            <w:tcBorders>
              <w:left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474" w:type="dxa"/>
            <w:vMerge w:val="continue"/>
            <w:tcBorders>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74" w:type="dxa"/>
            <w:vMerge w:val="restart"/>
            <w:tcBorders>
              <w:top w:val="nil"/>
              <w:left w:val="nil"/>
              <w:right w:val="single" w:color="auto" w:sz="4" w:space="0"/>
            </w:tcBorders>
          </w:tcPr>
          <w:p>
            <w:pPr>
              <w:widowControl/>
              <w:spacing w:line="280" w:lineRule="exact"/>
              <w:rPr>
                <w:rFonts w:hint="eastAsia" w:ascii="宋体"/>
                <w:color w:val="000000"/>
                <w:kern w:val="0"/>
                <w:sz w:val="24"/>
                <w:lang w:val="en-US" w:eastAsia="zh-CN"/>
              </w:rPr>
            </w:pPr>
          </w:p>
          <w:p>
            <w:pPr>
              <w:widowControl/>
              <w:spacing w:line="280" w:lineRule="exact"/>
              <w:rPr>
                <w:rFonts w:hint="eastAsia" w:ascii="宋体"/>
                <w:color w:val="000000"/>
                <w:kern w:val="0"/>
                <w:sz w:val="24"/>
                <w:lang w:val="en-US" w:eastAsia="zh-CN"/>
              </w:rPr>
            </w:pPr>
          </w:p>
          <w:p>
            <w:pPr>
              <w:widowControl/>
              <w:spacing w:line="280" w:lineRule="exact"/>
              <w:rPr>
                <w:rFonts w:hint="eastAsia" w:ascii="宋体"/>
                <w:color w:val="000000"/>
                <w:kern w:val="0"/>
                <w:sz w:val="24"/>
                <w:lang w:val="en-US" w:eastAsia="zh-CN"/>
              </w:rPr>
            </w:pPr>
          </w:p>
          <w:p>
            <w:pPr>
              <w:widowControl/>
              <w:spacing w:line="280" w:lineRule="exact"/>
              <w:rPr>
                <w:rFonts w:hint="eastAsia" w:ascii="宋体"/>
                <w:color w:val="000000"/>
                <w:kern w:val="0"/>
                <w:sz w:val="24"/>
                <w:lang w:val="en-US" w:eastAsia="zh-CN"/>
              </w:rPr>
            </w:pPr>
          </w:p>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2</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474" w:type="dxa"/>
            <w:vMerge w:val="continue"/>
            <w:tcBorders>
              <w:left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474" w:type="dxa"/>
            <w:vMerge w:val="continue"/>
            <w:tcBorders>
              <w:left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474" w:type="dxa"/>
            <w:vMerge w:val="continue"/>
            <w:tcBorders>
              <w:left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474" w:type="dxa"/>
            <w:vMerge w:val="continue"/>
            <w:tcBorders>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74" w:type="dxa"/>
            <w:vMerge w:val="restart"/>
            <w:tcBorders>
              <w:top w:val="nil"/>
              <w:left w:val="nil"/>
              <w:right w:val="single" w:color="auto" w:sz="4" w:space="0"/>
            </w:tcBorders>
          </w:tcPr>
          <w:p>
            <w:pPr>
              <w:widowControl/>
              <w:rPr>
                <w:rFonts w:hint="eastAsia" w:ascii="宋体"/>
                <w:color w:val="000000"/>
                <w:kern w:val="0"/>
                <w:sz w:val="24"/>
                <w:lang w:val="en-US" w:eastAsia="zh-CN"/>
              </w:rPr>
            </w:pPr>
          </w:p>
          <w:p>
            <w:pPr>
              <w:widowControl/>
              <w:rPr>
                <w:rFonts w:hint="eastAsia" w:ascii="宋体"/>
                <w:color w:val="000000"/>
                <w:kern w:val="0"/>
                <w:sz w:val="24"/>
                <w:lang w:val="en-US" w:eastAsia="zh-CN"/>
              </w:rPr>
            </w:pPr>
          </w:p>
          <w:p>
            <w:pPr>
              <w:widowControl/>
              <w:rPr>
                <w:rFonts w:hint="eastAsia" w:ascii="宋体"/>
                <w:color w:val="000000"/>
                <w:kern w:val="0"/>
                <w:sz w:val="24"/>
                <w:lang w:val="en-US" w:eastAsia="zh-CN"/>
              </w:rPr>
            </w:pPr>
          </w:p>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474" w:type="dxa"/>
            <w:vMerge w:val="continue"/>
            <w:tcBorders>
              <w:left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474"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74" w:type="dxa"/>
            <w:vMerge w:val="restart"/>
            <w:tcBorders>
              <w:top w:val="nil"/>
              <w:left w:val="nil"/>
              <w:right w:val="single" w:color="auto" w:sz="4" w:space="0"/>
            </w:tcBorders>
          </w:tcPr>
          <w:p>
            <w:pPr>
              <w:widowControl/>
              <w:jc w:val="left"/>
              <w:rPr>
                <w:rFonts w:hint="eastAsia" w:ascii="宋体"/>
                <w:color w:val="000000"/>
                <w:kern w:val="0"/>
                <w:sz w:val="24"/>
                <w:lang w:val="en-US" w:eastAsia="zh-CN"/>
              </w:rPr>
            </w:pPr>
          </w:p>
          <w:p>
            <w:pPr>
              <w:widowControl/>
              <w:jc w:val="left"/>
              <w:rPr>
                <w:rFonts w:hint="eastAsia" w:ascii="宋体"/>
                <w:color w:val="000000"/>
                <w:kern w:val="0"/>
                <w:sz w:val="24"/>
                <w:lang w:val="en-US" w:eastAsia="zh-CN"/>
              </w:rPr>
            </w:pPr>
          </w:p>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474" w:type="dxa"/>
            <w:vMerge w:val="continue"/>
            <w:tcBorders>
              <w:left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474"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74" w:type="dxa"/>
            <w:vMerge w:val="restart"/>
            <w:tcBorders>
              <w:top w:val="nil"/>
              <w:left w:val="nil"/>
              <w:right w:val="single" w:color="auto" w:sz="4" w:space="0"/>
            </w:tcBorders>
          </w:tcPr>
          <w:p>
            <w:pPr>
              <w:widowControl/>
              <w:rPr>
                <w:rFonts w:hint="eastAsia" w:ascii="宋体"/>
                <w:color w:val="000000"/>
                <w:kern w:val="0"/>
                <w:sz w:val="24"/>
                <w:lang w:val="en-US" w:eastAsia="zh-CN"/>
              </w:rPr>
            </w:pPr>
          </w:p>
          <w:p>
            <w:pPr>
              <w:widowControl/>
              <w:rPr>
                <w:rFonts w:hint="eastAsia" w:ascii="宋体"/>
                <w:color w:val="000000"/>
                <w:kern w:val="0"/>
                <w:sz w:val="24"/>
                <w:lang w:val="en-US" w:eastAsia="zh-CN"/>
              </w:rPr>
            </w:pPr>
          </w:p>
          <w:p>
            <w:pPr>
              <w:widowControl/>
              <w:rPr>
                <w:rFonts w:hint="eastAsia" w:ascii="宋体"/>
                <w:color w:val="000000"/>
                <w:kern w:val="0"/>
                <w:sz w:val="24"/>
                <w:lang w:val="en-US" w:eastAsia="zh-CN"/>
              </w:rPr>
            </w:pPr>
          </w:p>
          <w:p>
            <w:pPr>
              <w:widowControl/>
              <w:rPr>
                <w:rFonts w:hint="eastAsia" w:ascii="宋体"/>
                <w:color w:val="000000"/>
                <w:kern w:val="0"/>
                <w:sz w:val="24"/>
                <w:lang w:val="en-US" w:eastAsia="zh-CN"/>
              </w:rPr>
            </w:pPr>
          </w:p>
          <w:p>
            <w:pPr>
              <w:widowControl/>
              <w:rPr>
                <w:rFonts w:hint="eastAsia" w:ascii="宋体"/>
                <w:color w:val="000000"/>
                <w:kern w:val="0"/>
                <w:sz w:val="24"/>
                <w:lang w:val="en-US" w:eastAsia="zh-CN"/>
              </w:rPr>
            </w:pPr>
          </w:p>
          <w:p>
            <w:pPr>
              <w:widowControl/>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474" w:type="dxa"/>
            <w:vMerge w:val="continue"/>
            <w:tcBorders>
              <w:left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474" w:type="dxa"/>
            <w:vMerge w:val="continue"/>
            <w:tcBorders>
              <w:left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474" w:type="dxa"/>
            <w:vMerge w:val="continue"/>
            <w:tcBorders>
              <w:left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474" w:type="dxa"/>
            <w:vMerge w:val="continue"/>
            <w:tcBorders>
              <w:left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474"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74" w:type="dxa"/>
            <w:vMerge w:val="restart"/>
            <w:tcBorders>
              <w:top w:val="nil"/>
              <w:left w:val="nil"/>
              <w:right w:val="single" w:color="auto" w:sz="4" w:space="0"/>
            </w:tcBorders>
          </w:tcPr>
          <w:p>
            <w:pPr>
              <w:widowControl/>
              <w:jc w:val="left"/>
              <w:rPr>
                <w:rFonts w:hint="eastAsia" w:ascii="宋体"/>
                <w:color w:val="000000"/>
                <w:kern w:val="0"/>
                <w:sz w:val="24"/>
                <w:lang w:val="en-US" w:eastAsia="zh-CN"/>
              </w:rPr>
            </w:pPr>
          </w:p>
          <w:p>
            <w:pPr>
              <w:widowControl/>
              <w:jc w:val="left"/>
              <w:rPr>
                <w:rFonts w:hint="eastAsia" w:ascii="宋体"/>
                <w:color w:val="000000"/>
                <w:kern w:val="0"/>
                <w:sz w:val="24"/>
                <w:lang w:val="en-US" w:eastAsia="zh-CN"/>
              </w:rPr>
            </w:pPr>
          </w:p>
          <w:p>
            <w:pPr>
              <w:widowControl/>
              <w:jc w:val="left"/>
              <w:rPr>
                <w:rFonts w:hint="eastAsia" w:ascii="宋体"/>
                <w:color w:val="000000"/>
                <w:kern w:val="0"/>
                <w:sz w:val="24"/>
                <w:lang w:val="en-US" w:eastAsia="zh-CN"/>
              </w:rPr>
            </w:pPr>
          </w:p>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474" w:type="dxa"/>
            <w:vMerge w:val="continue"/>
            <w:tcBorders>
              <w:left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474"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74" w:type="dxa"/>
            <w:vMerge w:val="restart"/>
            <w:tcBorders>
              <w:top w:val="nil"/>
              <w:left w:val="nil"/>
              <w:right w:val="single" w:color="auto" w:sz="4" w:space="0"/>
            </w:tcBorders>
          </w:tcPr>
          <w:p>
            <w:pPr>
              <w:widowControl/>
              <w:jc w:val="left"/>
              <w:rPr>
                <w:rFonts w:hint="eastAsia" w:ascii="宋体"/>
                <w:color w:val="000000"/>
                <w:kern w:val="0"/>
                <w:sz w:val="24"/>
                <w:lang w:val="en-US" w:eastAsia="zh-CN"/>
              </w:rPr>
            </w:pPr>
          </w:p>
          <w:p>
            <w:pPr>
              <w:widowControl/>
              <w:jc w:val="left"/>
              <w:rPr>
                <w:rFonts w:hint="eastAsia" w:ascii="宋体"/>
                <w:color w:val="000000"/>
                <w:kern w:val="0"/>
                <w:sz w:val="24"/>
                <w:lang w:val="en-US" w:eastAsia="zh-CN"/>
              </w:rPr>
            </w:pPr>
          </w:p>
          <w:p>
            <w:pPr>
              <w:widowControl/>
              <w:jc w:val="left"/>
              <w:rPr>
                <w:rFonts w:hint="eastAsia" w:ascii="宋体"/>
                <w:color w:val="000000"/>
                <w:kern w:val="0"/>
                <w:sz w:val="24"/>
                <w:lang w:val="en-US" w:eastAsia="zh-CN"/>
              </w:rPr>
            </w:pPr>
          </w:p>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474" w:type="dxa"/>
            <w:vMerge w:val="continue"/>
            <w:tcBorders>
              <w:left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474"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74" w:type="dxa"/>
            <w:vMerge w:val="restart"/>
            <w:tcBorders>
              <w:top w:val="nil"/>
              <w:left w:val="nil"/>
              <w:right w:val="single" w:color="auto" w:sz="4" w:space="0"/>
            </w:tcBorders>
          </w:tcPr>
          <w:p>
            <w:pPr>
              <w:widowControl/>
              <w:jc w:val="left"/>
              <w:rPr>
                <w:rFonts w:hint="eastAsia" w:ascii="宋体"/>
                <w:color w:val="000000"/>
                <w:kern w:val="0"/>
                <w:sz w:val="24"/>
                <w:lang w:val="en-US" w:eastAsia="zh-CN"/>
              </w:rPr>
            </w:pPr>
          </w:p>
          <w:p>
            <w:pPr>
              <w:widowControl/>
              <w:jc w:val="left"/>
              <w:rPr>
                <w:rFonts w:hint="eastAsia" w:ascii="宋体"/>
                <w:color w:val="000000"/>
                <w:kern w:val="0"/>
                <w:sz w:val="24"/>
                <w:lang w:val="en-US" w:eastAsia="zh-CN"/>
              </w:rPr>
            </w:pPr>
          </w:p>
          <w:p>
            <w:pPr>
              <w:widowControl/>
              <w:jc w:val="left"/>
              <w:rPr>
                <w:rFonts w:hint="eastAsia" w:ascii="宋体"/>
                <w:color w:val="000000"/>
                <w:kern w:val="0"/>
                <w:sz w:val="24"/>
                <w:lang w:val="en-US" w:eastAsia="zh-CN"/>
              </w:rPr>
            </w:pPr>
          </w:p>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6</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474" w:type="dxa"/>
            <w:vMerge w:val="continue"/>
            <w:tcBorders>
              <w:left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474"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74" w:type="dxa"/>
            <w:vMerge w:val="restart"/>
            <w:tcBorders>
              <w:top w:val="nil"/>
              <w:left w:val="nil"/>
              <w:right w:val="single" w:color="auto" w:sz="4" w:space="0"/>
            </w:tcBorders>
          </w:tcPr>
          <w:p>
            <w:pPr>
              <w:widowControl/>
              <w:jc w:val="left"/>
              <w:rPr>
                <w:rFonts w:hint="eastAsia" w:ascii="宋体"/>
                <w:color w:val="000000"/>
                <w:kern w:val="0"/>
                <w:sz w:val="24"/>
                <w:lang w:val="en-US" w:eastAsia="zh-CN"/>
              </w:rPr>
            </w:pPr>
          </w:p>
          <w:p>
            <w:pPr>
              <w:widowControl/>
              <w:jc w:val="left"/>
              <w:rPr>
                <w:rFonts w:hint="eastAsia" w:ascii="宋体"/>
                <w:color w:val="000000"/>
                <w:kern w:val="0"/>
                <w:sz w:val="24"/>
                <w:lang w:val="en-US" w:eastAsia="zh-CN"/>
              </w:rPr>
            </w:pPr>
          </w:p>
          <w:p>
            <w:pPr>
              <w:widowControl/>
              <w:jc w:val="left"/>
              <w:rPr>
                <w:rFonts w:hint="eastAsia" w:ascii="宋体"/>
                <w:color w:val="000000"/>
                <w:kern w:val="0"/>
                <w:sz w:val="24"/>
                <w:lang w:val="en-US" w:eastAsia="zh-CN"/>
              </w:rPr>
            </w:pPr>
          </w:p>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474" w:type="dxa"/>
            <w:vMerge w:val="continue"/>
            <w:tcBorders>
              <w:left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474"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74" w:type="dxa"/>
            <w:vMerge w:val="restart"/>
            <w:tcBorders>
              <w:top w:val="nil"/>
              <w:left w:val="nil"/>
              <w:right w:val="single" w:color="auto" w:sz="4" w:space="0"/>
            </w:tcBorders>
          </w:tcPr>
          <w:p>
            <w:pPr>
              <w:widowControl/>
              <w:jc w:val="left"/>
              <w:rPr>
                <w:rFonts w:hint="eastAsia" w:ascii="宋体"/>
                <w:color w:val="000000"/>
                <w:kern w:val="0"/>
                <w:sz w:val="24"/>
                <w:lang w:val="en-US" w:eastAsia="zh-CN"/>
              </w:rPr>
            </w:pPr>
          </w:p>
          <w:p>
            <w:pPr>
              <w:widowControl/>
              <w:jc w:val="left"/>
              <w:rPr>
                <w:rFonts w:hint="eastAsia" w:ascii="宋体"/>
                <w:color w:val="000000"/>
                <w:kern w:val="0"/>
                <w:sz w:val="24"/>
                <w:lang w:val="en-US" w:eastAsia="zh-CN"/>
              </w:rPr>
            </w:pPr>
          </w:p>
          <w:p>
            <w:pPr>
              <w:widowControl/>
              <w:jc w:val="left"/>
              <w:rPr>
                <w:rFonts w:hint="eastAsia" w:ascii="宋体"/>
                <w:color w:val="000000"/>
                <w:kern w:val="0"/>
                <w:sz w:val="24"/>
                <w:lang w:val="en-US" w:eastAsia="zh-CN"/>
              </w:rPr>
            </w:pPr>
          </w:p>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474" w:type="dxa"/>
            <w:vMerge w:val="continue"/>
            <w:tcBorders>
              <w:left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474" w:type="dxa"/>
            <w:vMerge w:val="continue"/>
            <w:tcBorders>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474" w:type="dxa"/>
            <w:tcBorders>
              <w:top w:val="single" w:color="auto" w:sz="4" w:space="0"/>
              <w:left w:val="single" w:color="auto" w:sz="4" w:space="0"/>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74"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color w:val="000000"/>
                <w:kern w:val="0"/>
                <w:sz w:val="24"/>
                <w:lang w:val="en-US" w:eastAsia="zh-CN"/>
              </w:rPr>
            </w:pPr>
          </w:p>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74"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color w:val="000000"/>
                <w:kern w:val="0"/>
                <w:sz w:val="24"/>
                <w:lang w:val="en-US" w:eastAsia="zh-CN"/>
              </w:rPr>
            </w:pPr>
          </w:p>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474"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474" w:type="dxa"/>
            <w:tcBorders>
              <w:top w:val="single" w:color="auto" w:sz="4" w:space="0"/>
              <w:left w:val="single" w:color="auto" w:sz="4" w:space="0"/>
              <w:bottom w:val="single" w:color="auto" w:sz="4" w:space="0"/>
              <w:right w:val="single" w:color="auto" w:sz="4" w:space="0"/>
            </w:tcBorders>
          </w:tcPr>
          <w:p>
            <w:pPr>
              <w:widowControl/>
              <w:rPr>
                <w:rFonts w:hint="eastAsia" w:ascii="宋体"/>
                <w:color w:val="000000"/>
                <w:kern w:val="0"/>
                <w:sz w:val="24"/>
                <w:lang w:val="en-US" w:eastAsia="zh-CN"/>
              </w:rPr>
            </w:pPr>
          </w:p>
          <w:p>
            <w:pPr>
              <w:widowControl/>
              <w:rPr>
                <w:rFonts w:hint="eastAsia" w:ascii="宋体" w:eastAsia="宋体"/>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474" w:type="dxa"/>
            <w:tcBorders>
              <w:top w:val="single" w:color="auto" w:sz="4" w:space="0"/>
              <w:left w:val="single" w:color="auto" w:sz="4" w:space="0"/>
              <w:bottom w:val="single" w:color="auto" w:sz="4" w:space="0"/>
              <w:right w:val="single" w:color="auto" w:sz="4" w:space="0"/>
            </w:tcBorders>
          </w:tcPr>
          <w:p>
            <w:pPr>
              <w:widowControl/>
              <w:rPr>
                <w:rFonts w:hint="default" w:ascii="宋体" w:eastAsia="宋体"/>
                <w:color w:val="000000"/>
                <w:kern w:val="0"/>
                <w:sz w:val="24"/>
                <w:lang w:val="en-US" w:eastAsia="zh-CN"/>
              </w:rPr>
            </w:pPr>
            <w:r>
              <w:rPr>
                <w:rFonts w:hint="eastAsia" w:ascii="宋体"/>
                <w:color w:val="000000"/>
                <w:kern w:val="0"/>
                <w:sz w:val="24"/>
                <w:lang w:val="en-US" w:eastAsia="zh-CN"/>
              </w:rPr>
              <w:t>95</w:t>
            </w:r>
          </w:p>
        </w:tc>
      </w:tr>
    </w:tbl>
    <w:p>
      <w:pPr>
        <w:spacing w:line="240" w:lineRule="auto"/>
        <w:ind w:right="0"/>
        <w:rPr>
          <w:rFonts w:ascii="仿宋" w:hAnsi="仿宋" w:eastAsia="仿宋" w:cs="Times New Roman"/>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oNotHyphenateCaps/>
  <w:drawingGridVerticalSpacing w:val="159"/>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YzdiY2MwMTIzMmIxMjhkZGM3N2I1ZWQ5M2FmN2FkODMifQ=="/>
  </w:docVars>
  <w:rsids>
    <w:rsidRoot w:val="785137E4"/>
    <w:rsid w:val="0014190B"/>
    <w:rsid w:val="002C488B"/>
    <w:rsid w:val="004314D7"/>
    <w:rsid w:val="00443E67"/>
    <w:rsid w:val="00444869"/>
    <w:rsid w:val="00495A04"/>
    <w:rsid w:val="004B3E04"/>
    <w:rsid w:val="004D00CF"/>
    <w:rsid w:val="004F0B2D"/>
    <w:rsid w:val="00587685"/>
    <w:rsid w:val="005B549D"/>
    <w:rsid w:val="005F6FF9"/>
    <w:rsid w:val="005F7E7F"/>
    <w:rsid w:val="00612026"/>
    <w:rsid w:val="006A04A0"/>
    <w:rsid w:val="006A7D8E"/>
    <w:rsid w:val="00785427"/>
    <w:rsid w:val="00833239"/>
    <w:rsid w:val="008F5953"/>
    <w:rsid w:val="009D4482"/>
    <w:rsid w:val="00A106DA"/>
    <w:rsid w:val="00A5026F"/>
    <w:rsid w:val="00A736E6"/>
    <w:rsid w:val="00B72CBB"/>
    <w:rsid w:val="00BA0CDC"/>
    <w:rsid w:val="00BD0B8D"/>
    <w:rsid w:val="00BD2F3F"/>
    <w:rsid w:val="00C4025D"/>
    <w:rsid w:val="00D72963"/>
    <w:rsid w:val="00E410D0"/>
    <w:rsid w:val="00EC6119"/>
    <w:rsid w:val="00F17319"/>
    <w:rsid w:val="01540DA8"/>
    <w:rsid w:val="03AE7CEF"/>
    <w:rsid w:val="051D30EA"/>
    <w:rsid w:val="06AC0092"/>
    <w:rsid w:val="07CE4C09"/>
    <w:rsid w:val="09C31645"/>
    <w:rsid w:val="0A193011"/>
    <w:rsid w:val="0C1D6C41"/>
    <w:rsid w:val="0D3419B4"/>
    <w:rsid w:val="0DC650AE"/>
    <w:rsid w:val="104A59B1"/>
    <w:rsid w:val="108A2FEB"/>
    <w:rsid w:val="109D248C"/>
    <w:rsid w:val="114C59C8"/>
    <w:rsid w:val="12426120"/>
    <w:rsid w:val="12840FF1"/>
    <w:rsid w:val="14996F59"/>
    <w:rsid w:val="14A8424C"/>
    <w:rsid w:val="17AC50E1"/>
    <w:rsid w:val="17E31494"/>
    <w:rsid w:val="17F71488"/>
    <w:rsid w:val="185D692E"/>
    <w:rsid w:val="198F6483"/>
    <w:rsid w:val="19DD25E4"/>
    <w:rsid w:val="1A304F0B"/>
    <w:rsid w:val="1C7C6CF9"/>
    <w:rsid w:val="1D5132B3"/>
    <w:rsid w:val="1D6B0BB6"/>
    <w:rsid w:val="21D267A7"/>
    <w:rsid w:val="22D740B8"/>
    <w:rsid w:val="22E90356"/>
    <w:rsid w:val="23243032"/>
    <w:rsid w:val="23655AD1"/>
    <w:rsid w:val="23943EF5"/>
    <w:rsid w:val="240B63D5"/>
    <w:rsid w:val="24793C83"/>
    <w:rsid w:val="258018C0"/>
    <w:rsid w:val="259D3570"/>
    <w:rsid w:val="2659509A"/>
    <w:rsid w:val="26B11A3A"/>
    <w:rsid w:val="2791110F"/>
    <w:rsid w:val="29EC32BE"/>
    <w:rsid w:val="2A36197D"/>
    <w:rsid w:val="2B4D5D22"/>
    <w:rsid w:val="2C1710C9"/>
    <w:rsid w:val="2E3511A9"/>
    <w:rsid w:val="2F4B29B9"/>
    <w:rsid w:val="307C2C1A"/>
    <w:rsid w:val="3417744D"/>
    <w:rsid w:val="357B7AED"/>
    <w:rsid w:val="358D7AC9"/>
    <w:rsid w:val="36F764EF"/>
    <w:rsid w:val="374E666C"/>
    <w:rsid w:val="37EB5A18"/>
    <w:rsid w:val="385B3896"/>
    <w:rsid w:val="39D864CC"/>
    <w:rsid w:val="3AAB44BD"/>
    <w:rsid w:val="3B900107"/>
    <w:rsid w:val="3BE06DF3"/>
    <w:rsid w:val="3DC46684"/>
    <w:rsid w:val="3E493596"/>
    <w:rsid w:val="3F6F2E19"/>
    <w:rsid w:val="3F880CCF"/>
    <w:rsid w:val="402A3780"/>
    <w:rsid w:val="404F0CAC"/>
    <w:rsid w:val="418B0C90"/>
    <w:rsid w:val="44966123"/>
    <w:rsid w:val="459B564D"/>
    <w:rsid w:val="47264D1B"/>
    <w:rsid w:val="47D827AB"/>
    <w:rsid w:val="48035DFE"/>
    <w:rsid w:val="4A820533"/>
    <w:rsid w:val="4B7F71D1"/>
    <w:rsid w:val="4B9879B3"/>
    <w:rsid w:val="4CF657D3"/>
    <w:rsid w:val="4E1F59D2"/>
    <w:rsid w:val="4F564F38"/>
    <w:rsid w:val="50AD2009"/>
    <w:rsid w:val="50EF391A"/>
    <w:rsid w:val="514209A3"/>
    <w:rsid w:val="51524FCA"/>
    <w:rsid w:val="529C32C6"/>
    <w:rsid w:val="53A73ADE"/>
    <w:rsid w:val="53F605A7"/>
    <w:rsid w:val="54040CEA"/>
    <w:rsid w:val="54D7618A"/>
    <w:rsid w:val="54FF0268"/>
    <w:rsid w:val="566468C9"/>
    <w:rsid w:val="58231176"/>
    <w:rsid w:val="589D2CCD"/>
    <w:rsid w:val="595F096B"/>
    <w:rsid w:val="59793404"/>
    <w:rsid w:val="59D722C0"/>
    <w:rsid w:val="5AE64F25"/>
    <w:rsid w:val="5C531035"/>
    <w:rsid w:val="620C7F2C"/>
    <w:rsid w:val="63FD4981"/>
    <w:rsid w:val="64BC353F"/>
    <w:rsid w:val="6524032D"/>
    <w:rsid w:val="68532135"/>
    <w:rsid w:val="68C32CA2"/>
    <w:rsid w:val="6ABC311D"/>
    <w:rsid w:val="6B187AD2"/>
    <w:rsid w:val="6D03067C"/>
    <w:rsid w:val="6D1F6202"/>
    <w:rsid w:val="6D535020"/>
    <w:rsid w:val="6DC31AA8"/>
    <w:rsid w:val="6DF36BBE"/>
    <w:rsid w:val="6EDC1FE0"/>
    <w:rsid w:val="6F816AC5"/>
    <w:rsid w:val="6FAB550E"/>
    <w:rsid w:val="6FEC6C62"/>
    <w:rsid w:val="70A55C94"/>
    <w:rsid w:val="71184DC4"/>
    <w:rsid w:val="71AE7FEB"/>
    <w:rsid w:val="71F0545F"/>
    <w:rsid w:val="72CA214F"/>
    <w:rsid w:val="735D0D8C"/>
    <w:rsid w:val="739A5AFB"/>
    <w:rsid w:val="73C23E03"/>
    <w:rsid w:val="74DE4FB2"/>
    <w:rsid w:val="75871E6E"/>
    <w:rsid w:val="75940776"/>
    <w:rsid w:val="75AB21CA"/>
    <w:rsid w:val="75C076F3"/>
    <w:rsid w:val="776C2435"/>
    <w:rsid w:val="7777743F"/>
    <w:rsid w:val="785137E4"/>
    <w:rsid w:val="79274980"/>
    <w:rsid w:val="7B2E4CBA"/>
    <w:rsid w:val="7C4D42B1"/>
    <w:rsid w:val="7F362D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locked/>
    <w:uiPriority w:val="0"/>
    <w:pPr>
      <w:widowControl w:val="0"/>
      <w:spacing w:before="0" w:after="0"/>
      <w:ind w:left="120"/>
      <w:jc w:val="both"/>
    </w:pPr>
    <w:rPr>
      <w:rFonts w:ascii="仿宋_GB2312" w:hAnsi="Times New Roman" w:eastAsia="仿宋_GB2312" w:cs="Times New Roman"/>
      <w:kern w:val="2"/>
      <w:sz w:val="28"/>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qFormat/>
    <w:uiPriority w:val="99"/>
    <w:pPr>
      <w:spacing w:beforeAutospacing="1" w:afterAutospacing="1"/>
      <w:jc w:val="left"/>
    </w:pPr>
    <w:rPr>
      <w:kern w:val="0"/>
      <w:sz w:val="24"/>
      <w:szCs w:val="24"/>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99"/>
    <w:rPr>
      <w:color w:val="0000FF"/>
      <w:u w:val="single"/>
    </w:rPr>
  </w:style>
  <w:style w:type="character" w:customStyle="1" w:styleId="10">
    <w:name w:val="页脚 Char"/>
    <w:basedOn w:val="8"/>
    <w:link w:val="3"/>
    <w:semiHidden/>
    <w:qFormat/>
    <w:locked/>
    <w:uiPriority w:val="99"/>
    <w:rPr>
      <w:rFonts w:ascii="Calibri" w:hAnsi="Calibri" w:eastAsia="宋体" w:cs="Calibri"/>
      <w:sz w:val="18"/>
      <w:szCs w:val="18"/>
    </w:rPr>
  </w:style>
  <w:style w:type="character" w:customStyle="1" w:styleId="11">
    <w:name w:val="页眉 Char"/>
    <w:basedOn w:val="8"/>
    <w:link w:val="4"/>
    <w:semiHidden/>
    <w:qFormat/>
    <w:locked/>
    <w:uiPriority w:val="99"/>
    <w:rPr>
      <w:rFonts w:ascii="Calibri" w:hAnsi="Calibri" w:eastAsia="宋体" w:cs="Calibri"/>
      <w:sz w:val="18"/>
      <w:szCs w:val="18"/>
    </w:rPr>
  </w:style>
  <w:style w:type="paragraph" w:customStyle="1" w:styleId="12">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368C3-9FF0-4B88-83CC-D51DCEAD1F82}">
  <ds:schemaRefs/>
</ds:datastoreItem>
</file>

<file path=docProps/app.xml><?xml version="1.0" encoding="utf-8"?>
<Properties xmlns="http://schemas.openxmlformats.org/officeDocument/2006/extended-properties" xmlns:vt="http://schemas.openxmlformats.org/officeDocument/2006/docPropsVTypes">
  <Template>Normal</Template>
  <Pages>6</Pages>
  <Words>3265</Words>
  <Characters>3334</Characters>
  <Lines>59</Lines>
  <Paragraphs>16</Paragraphs>
  <TotalTime>0</TotalTime>
  <ScaleCrop>false</ScaleCrop>
  <LinksUpToDate>false</LinksUpToDate>
  <CharactersWithSpaces>3369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晨曦</cp:lastModifiedBy>
  <cp:lastPrinted>2022-08-15T07:38:00Z</cp:lastPrinted>
  <dcterms:modified xsi:type="dcterms:W3CDTF">2023-09-21T08:55:08Z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6D15349204EB47C29F6FB1574B111696</vt:lpwstr>
  </property>
</Properties>
</file>