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w:t>
      </w:r>
      <w:r>
        <w:rPr>
          <w:rFonts w:hint="eastAsia" w:ascii="方正小标宋简体" w:eastAsia="方正小标宋简体"/>
          <w:color w:val="000000"/>
          <w:sz w:val="36"/>
          <w:szCs w:val="36"/>
          <w:lang w:eastAsia="zh-CN"/>
        </w:rPr>
        <w:t>永州市冷水滩区旅游发展服务中心</w:t>
      </w:r>
      <w:r>
        <w:rPr>
          <w:rFonts w:eastAsia="方正小标宋简体"/>
          <w:sz w:val="36"/>
          <w:szCs w:val="36"/>
        </w:rPr>
        <w:t>部门整体支出绩效自评报告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sz w:val="32"/>
          <w:szCs w:val="32"/>
        </w:rPr>
      </w:pPr>
      <w:bookmarkStart w:id="4" w:name="_GoBack"/>
      <w:bookmarkEnd w:id="4"/>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一、部门概况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永州市冷水滩区旅游发展服务中心于2018年3月成立，核定全额拨款事业编制10名，领导职数设主任1名，副主任2名，为区文化旅游体育局管理的正科级全额拨款公益一类事业单位，</w:t>
      </w:r>
      <w:r>
        <w:rPr>
          <w:rFonts w:hint="eastAsia" w:ascii="仿宋" w:hAnsi="仿宋" w:eastAsia="仿宋" w:cs="仿宋"/>
          <w:sz w:val="32"/>
          <w:szCs w:val="32"/>
          <w:lang w:val="en-US" w:eastAsia="zh-CN"/>
        </w:rPr>
        <w:t>2021年年末实有</w:t>
      </w:r>
      <w:r>
        <w:rPr>
          <w:rFonts w:hint="eastAsia" w:ascii="仿宋" w:hAnsi="仿宋" w:eastAsia="仿宋" w:cs="仿宋"/>
          <w:sz w:val="32"/>
          <w:szCs w:val="32"/>
        </w:rPr>
        <w:t>正式人员</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rPr>
        <w:t>人。</w:t>
      </w:r>
      <w:r>
        <w:rPr>
          <w:rFonts w:hint="eastAsia" w:ascii="仿宋" w:hAnsi="仿宋" w:eastAsia="仿宋" w:cs="仿宋"/>
          <w:sz w:val="32"/>
          <w:szCs w:val="32"/>
          <w:highlight w:val="none"/>
        </w:rPr>
        <w:t>内设综合部、行业规范部</w:t>
      </w:r>
      <w:r>
        <w:rPr>
          <w:rFonts w:hint="eastAsia" w:ascii="仿宋" w:hAnsi="仿宋" w:eastAsia="仿宋" w:cs="仿宋"/>
          <w:sz w:val="32"/>
          <w:szCs w:val="32"/>
          <w:highlight w:val="none"/>
          <w:lang w:eastAsia="zh-CN"/>
        </w:rPr>
        <w:t>、市场营销部</w:t>
      </w:r>
      <w:r>
        <w:rPr>
          <w:rFonts w:hint="eastAsia" w:ascii="仿宋" w:hAnsi="仿宋" w:eastAsia="仿宋" w:cs="仿宋"/>
          <w:sz w:val="32"/>
          <w:szCs w:val="32"/>
          <w:highlight w:val="none"/>
        </w:rPr>
        <w:t>。</w:t>
      </w:r>
      <w:r>
        <w:rPr>
          <w:rFonts w:hint="eastAsia" w:ascii="仿宋" w:hAnsi="仿宋" w:eastAsia="仿宋" w:cs="仿宋"/>
          <w:sz w:val="32"/>
          <w:szCs w:val="32"/>
        </w:rPr>
        <w:t>服务全区旅游，促进旅游有序健康发展</w:t>
      </w:r>
      <w:r>
        <w:rPr>
          <w:rFonts w:hint="eastAsia" w:ascii="仿宋" w:hAnsi="仿宋" w:eastAsia="仿宋" w:cs="仿宋"/>
          <w:sz w:val="32"/>
          <w:szCs w:val="32"/>
          <w:lang w:eastAsia="zh-CN"/>
        </w:rPr>
        <w:t>，具体</w:t>
      </w:r>
      <w:r>
        <w:rPr>
          <w:rFonts w:hint="eastAsia" w:ascii="仿宋" w:hAnsi="仿宋" w:eastAsia="仿宋" w:cs="仿宋"/>
          <w:sz w:val="32"/>
          <w:szCs w:val="32"/>
        </w:rPr>
        <w:t>承担旅游发展事务方面的公益性职责。</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color w:val="000000"/>
          <w:sz w:val="32"/>
          <w:szCs w:val="32"/>
        </w:rPr>
        <w:t>2021</w:t>
      </w:r>
      <w:r>
        <w:rPr>
          <w:rFonts w:hint="eastAsia" w:ascii="仿宋" w:hAnsi="仿宋" w:eastAsia="仿宋" w:cs="仿宋"/>
          <w:b/>
          <w:bCs/>
          <w:sz w:val="32"/>
          <w:szCs w:val="32"/>
        </w:rPr>
        <w:t>年的重点工作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加强重点</w:t>
      </w:r>
      <w:r>
        <w:rPr>
          <w:rFonts w:hint="eastAsia" w:ascii="仿宋" w:hAnsi="仿宋" w:eastAsia="仿宋" w:cs="仿宋"/>
          <w:sz w:val="32"/>
          <w:szCs w:val="32"/>
          <w:highlight w:val="none"/>
          <w:lang w:eastAsia="zh-CN"/>
        </w:rPr>
        <w:t>文化旅游</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跟踪服务</w:t>
      </w:r>
      <w:r>
        <w:rPr>
          <w:rFonts w:hint="eastAsia" w:ascii="仿宋" w:hAnsi="仿宋" w:eastAsia="仿宋" w:cs="仿宋"/>
          <w:sz w:val="32"/>
          <w:szCs w:val="32"/>
          <w:highlight w:val="none"/>
          <w:lang w:eastAsia="zh-CN"/>
        </w:rPr>
        <w:t>和招商引资工作，以推进全域旅游发展为总抓手，大力整合优质文化生态旅游资源，坚持重点项目带动，深入实施“旅游+”发展战略，促进文生旅融合发展。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积极</w:t>
      </w:r>
      <w:r>
        <w:rPr>
          <w:rFonts w:hint="eastAsia" w:ascii="仿宋" w:hAnsi="仿宋" w:eastAsia="仿宋" w:cs="仿宋"/>
          <w:sz w:val="32"/>
          <w:szCs w:val="32"/>
          <w:highlight w:val="none"/>
        </w:rPr>
        <w:t>推进A级景区</w:t>
      </w:r>
      <w:r>
        <w:rPr>
          <w:rFonts w:hint="eastAsia" w:ascii="仿宋" w:hAnsi="仿宋" w:eastAsia="仿宋" w:cs="仿宋"/>
          <w:sz w:val="32"/>
          <w:szCs w:val="32"/>
          <w:highlight w:val="none"/>
          <w:lang w:eastAsia="zh-CN"/>
        </w:rPr>
        <w:t>、乡村旅游示范区（点）、旅游厕所等</w:t>
      </w:r>
      <w:r>
        <w:rPr>
          <w:rFonts w:hint="eastAsia" w:ascii="仿宋" w:hAnsi="仿宋" w:eastAsia="仿宋" w:cs="仿宋"/>
          <w:sz w:val="32"/>
          <w:szCs w:val="32"/>
          <w:highlight w:val="none"/>
        </w:rPr>
        <w:t>旅游品牌创建</w:t>
      </w:r>
      <w:r>
        <w:rPr>
          <w:rFonts w:hint="eastAsia" w:ascii="仿宋" w:hAnsi="仿宋" w:eastAsia="仿宋" w:cs="仿宋"/>
          <w:sz w:val="32"/>
          <w:szCs w:val="32"/>
          <w:highlight w:val="none"/>
          <w:lang w:eastAsia="zh-CN"/>
        </w:rPr>
        <w:t>，进一步丰富我区的旅游资源。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持续开展旅游宣传营销，树立我区独特鲜明的旅游形象，促进文旅消费提质扩容。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规范旅游市场秩序，不断强化旅游行业管理，确保旅游行业安全稳定，实现冷水滩区旅游服务质量的提升和旅游事业的长远发展。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二、一般公共预算</w:t>
      </w:r>
      <w:r>
        <w:rPr>
          <w:rFonts w:hint="eastAsia" w:ascii="黑体" w:hAnsi="黑体" w:eastAsia="黑体" w:cs="黑体"/>
          <w:b w:val="0"/>
          <w:bCs/>
          <w:sz w:val="32"/>
          <w:szCs w:val="32"/>
        </w:rPr>
        <w:t>支出情况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2021年本单位财政拨款收入287.33万元，财政拨款支出287.33万元。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（一）基本支出情况。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本单位基本支出</w:t>
      </w:r>
      <w:r>
        <w:rPr>
          <w:rFonts w:hint="eastAsia" w:ascii="仿宋" w:hAnsi="仿宋" w:eastAsia="仿宋" w:cs="仿宋"/>
          <w:sz w:val="32"/>
          <w:szCs w:val="32"/>
          <w:highlight w:val="none"/>
          <w:lang w:val="en-US" w:eastAsia="zh-CN"/>
        </w:rPr>
        <w:t>71.36</w:t>
      </w:r>
      <w:r>
        <w:rPr>
          <w:rFonts w:hint="eastAsia" w:ascii="仿宋" w:hAnsi="仿宋" w:eastAsia="仿宋" w:cs="仿宋"/>
          <w:sz w:val="32"/>
          <w:szCs w:val="32"/>
          <w:highlight w:val="none"/>
          <w:lang w:eastAsia="zh-CN"/>
        </w:rPr>
        <w:t>万元，其中：工资福利支出</w:t>
      </w:r>
      <w:r>
        <w:rPr>
          <w:rFonts w:hint="eastAsia" w:ascii="仿宋" w:hAnsi="仿宋" w:eastAsia="仿宋" w:cs="仿宋"/>
          <w:sz w:val="32"/>
          <w:szCs w:val="32"/>
          <w:highlight w:val="none"/>
          <w:lang w:val="en-US" w:eastAsia="zh-CN"/>
        </w:rPr>
        <w:t>52.60</w:t>
      </w:r>
      <w:r>
        <w:rPr>
          <w:rFonts w:hint="eastAsia" w:ascii="仿宋" w:hAnsi="仿宋" w:eastAsia="仿宋" w:cs="仿宋"/>
          <w:sz w:val="32"/>
          <w:szCs w:val="32"/>
          <w:highlight w:val="none"/>
          <w:lang w:eastAsia="zh-CN"/>
        </w:rPr>
        <w:t>万元，商品和服务支出</w:t>
      </w:r>
      <w:r>
        <w:rPr>
          <w:rFonts w:hint="eastAsia" w:ascii="仿宋" w:hAnsi="仿宋" w:eastAsia="仿宋" w:cs="仿宋"/>
          <w:sz w:val="32"/>
          <w:szCs w:val="32"/>
          <w:highlight w:val="none"/>
          <w:lang w:val="en-US" w:eastAsia="zh-CN"/>
        </w:rPr>
        <w:t>18.76</w:t>
      </w:r>
      <w:r>
        <w:rPr>
          <w:rFonts w:hint="eastAsia" w:ascii="仿宋" w:hAnsi="仿宋" w:eastAsia="仿宋" w:cs="仿宋"/>
          <w:sz w:val="32"/>
          <w:szCs w:val="32"/>
          <w:highlight w:val="none"/>
          <w:lang w:eastAsia="zh-CN"/>
        </w:rPr>
        <w:t>万元。</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项目支出情况。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000000"/>
          <w:spacing w:val="0"/>
          <w:w w:val="100"/>
          <w:kern w:val="2"/>
          <w:position w:val="0"/>
          <w:sz w:val="32"/>
          <w:szCs w:val="32"/>
          <w:highlight w:val="none"/>
          <w:u w:val="none"/>
          <w:shd w:val="clear" w:color="auto" w:fill="auto"/>
          <w:lang w:val="en-US" w:eastAsia="zh-CN" w:bidi="zh-TW"/>
        </w:rPr>
      </w:pPr>
      <w:r>
        <w:rPr>
          <w:rFonts w:hint="eastAsia" w:ascii="仿宋" w:hAnsi="仿宋" w:eastAsia="仿宋" w:cs="仿宋"/>
          <w:color w:val="000000"/>
          <w:spacing w:val="0"/>
          <w:w w:val="100"/>
          <w:kern w:val="2"/>
          <w:position w:val="0"/>
          <w:sz w:val="32"/>
          <w:szCs w:val="32"/>
          <w:u w:val="none"/>
          <w:shd w:val="clear" w:color="auto" w:fill="auto"/>
          <w:lang w:val="en-US" w:eastAsia="zh-CN" w:bidi="zh-TW"/>
        </w:rPr>
        <w:t>本单位项目支出215.97万元。</w:t>
      </w:r>
      <w:r>
        <w:rPr>
          <w:rFonts w:hint="eastAsia" w:ascii="仿宋" w:hAnsi="仿宋" w:eastAsia="仿宋" w:cs="仿宋"/>
          <w:color w:val="000000"/>
          <w:spacing w:val="0"/>
          <w:w w:val="100"/>
          <w:kern w:val="2"/>
          <w:position w:val="0"/>
          <w:sz w:val="32"/>
          <w:szCs w:val="32"/>
          <w:highlight w:val="none"/>
          <w:u w:val="none"/>
          <w:shd w:val="clear" w:color="auto" w:fill="auto"/>
          <w:lang w:val="en-US" w:eastAsia="zh-CN" w:bidi="zh-TW"/>
        </w:rPr>
        <w:t>其中：对接粤港澳指挥部账务支出182.47万元，省级项目旅游资金33.50万元。</w:t>
      </w:r>
    </w:p>
    <w:p>
      <w:pPr>
        <w:pStyle w:val="12"/>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240" w:lineRule="auto"/>
        <w:ind w:left="0" w:leftChars="0" w:right="0" w:firstLine="643" w:firstLineChars="200"/>
        <w:jc w:val="both"/>
        <w:textAlignment w:val="auto"/>
        <w:rPr>
          <w:rFonts w:hint="eastAsia" w:ascii="仿宋" w:hAnsi="仿宋" w:eastAsia="仿宋" w:cs="仿宋"/>
          <w:b/>
          <w:bCs/>
          <w:color w:val="000000"/>
          <w:spacing w:val="0"/>
          <w:w w:val="100"/>
          <w:position w:val="0"/>
          <w:sz w:val="32"/>
          <w:szCs w:val="32"/>
          <w:lang w:eastAsia="zh-CN"/>
        </w:rPr>
      </w:pPr>
      <w:r>
        <w:rPr>
          <w:rFonts w:hint="eastAsia" w:ascii="仿宋" w:hAnsi="仿宋" w:eastAsia="仿宋" w:cs="仿宋"/>
          <w:b/>
          <w:bCs/>
          <w:color w:val="000000"/>
          <w:spacing w:val="0"/>
          <w:w w:val="100"/>
          <w:position w:val="0"/>
          <w:sz w:val="32"/>
          <w:szCs w:val="32"/>
        </w:rPr>
        <w:t>“三公”经费情况</w:t>
      </w:r>
      <w:r>
        <w:rPr>
          <w:rFonts w:hint="eastAsia" w:ascii="仿宋" w:hAnsi="仿宋" w:eastAsia="仿宋" w:cs="仿宋"/>
          <w:b/>
          <w:bCs/>
          <w:color w:val="000000"/>
          <w:spacing w:val="0"/>
          <w:w w:val="100"/>
          <w:position w:val="0"/>
          <w:sz w:val="32"/>
          <w:szCs w:val="32"/>
          <w:lang w:eastAsia="zh-CN"/>
        </w:rPr>
        <w:t>。</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0" w:firstLineChars="200"/>
        <w:jc w:val="both"/>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1.因公出国（境）费用0万元；</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640" w:firstLineChars="200"/>
        <w:jc w:val="both"/>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2.公务接待费0万元；</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val="en-US" w:eastAsia="zh-CN"/>
        </w:rPr>
        <w:t>3.公务用车购置及运行费0万元。</w:t>
      </w:r>
    </w:p>
    <w:p>
      <w:pPr>
        <w:pStyle w:val="12"/>
        <w:keepNext w:val="0"/>
        <w:keepLines w:val="0"/>
        <w:pageBreakBefore w:val="0"/>
        <w:widowControl w:val="0"/>
        <w:shd w:val="clear" w:color="auto" w:fill="auto"/>
        <w:tabs>
          <w:tab w:val="left" w:pos="1538"/>
        </w:tabs>
        <w:kinsoku/>
        <w:wordWrap/>
        <w:overflowPunct/>
        <w:topLinePunct w:val="0"/>
        <w:autoSpaceDE/>
        <w:autoSpaceDN/>
        <w:bidi w:val="0"/>
        <w:adjustRightInd/>
        <w:snapToGrid/>
        <w:spacing w:before="0" w:after="0" w:line="240" w:lineRule="auto"/>
        <w:ind w:left="0" w:right="0" w:firstLine="640" w:firstLineChars="200"/>
        <w:jc w:val="left"/>
        <w:textAlignment w:val="auto"/>
        <w:rPr>
          <w:rFonts w:hint="eastAsia" w:ascii="黑体" w:hAnsi="黑体" w:eastAsia="黑体" w:cs="黑体"/>
          <w:color w:val="000000"/>
          <w:spacing w:val="0"/>
          <w:w w:val="100"/>
          <w:position w:val="0"/>
          <w:sz w:val="32"/>
          <w:szCs w:val="32"/>
        </w:rPr>
      </w:pPr>
      <w:bookmarkStart w:id="0" w:name="bookmark81"/>
      <w:r>
        <w:rPr>
          <w:rFonts w:hint="eastAsia" w:ascii="黑体" w:hAnsi="黑体" w:eastAsia="黑体" w:cs="黑体"/>
          <w:color w:val="000000"/>
          <w:spacing w:val="0"/>
          <w:w w:val="100"/>
          <w:position w:val="0"/>
          <w:sz w:val="32"/>
          <w:szCs w:val="32"/>
        </w:rPr>
        <w:t>三</w:t>
      </w:r>
      <w:bookmarkEnd w:id="0"/>
      <w:r>
        <w:rPr>
          <w:rFonts w:hint="eastAsia" w:ascii="黑体" w:hAnsi="黑体" w:eastAsia="黑体" w:cs="黑体"/>
          <w:color w:val="000000"/>
          <w:spacing w:val="0"/>
          <w:w w:val="100"/>
          <w:position w:val="0"/>
          <w:sz w:val="32"/>
          <w:szCs w:val="32"/>
        </w:rPr>
        <w:t>、政府性基金预算支出情况</w:t>
      </w:r>
      <w:bookmarkStart w:id="1" w:name="bookmark82"/>
    </w:p>
    <w:p>
      <w:pPr>
        <w:pStyle w:val="12"/>
        <w:keepNext w:val="0"/>
        <w:keepLines w:val="0"/>
        <w:pageBreakBefore w:val="0"/>
        <w:widowControl w:val="0"/>
        <w:shd w:val="clear" w:color="auto" w:fill="auto"/>
        <w:tabs>
          <w:tab w:val="left" w:pos="1538"/>
        </w:tabs>
        <w:kinsoku/>
        <w:wordWrap/>
        <w:overflowPunct/>
        <w:topLinePunct w:val="0"/>
        <w:autoSpaceDE/>
        <w:autoSpaceDN/>
        <w:bidi w:val="0"/>
        <w:adjustRightInd/>
        <w:snapToGrid/>
        <w:spacing w:before="0" w:after="0" w:line="240" w:lineRule="auto"/>
        <w:ind w:left="0" w:right="0" w:firstLine="640" w:firstLineChars="200"/>
        <w:jc w:val="left"/>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本单位无政府性基金预算支出。</w:t>
      </w:r>
    </w:p>
    <w:bookmarkEnd w:id="1"/>
    <w:p>
      <w:pPr>
        <w:pStyle w:val="12"/>
        <w:keepNext w:val="0"/>
        <w:keepLines w:val="0"/>
        <w:pageBreakBefore w:val="0"/>
        <w:widowControl w:val="0"/>
        <w:numPr>
          <w:ilvl w:val="0"/>
          <w:numId w:val="2"/>
        </w:numPr>
        <w:shd w:val="clear" w:color="auto" w:fill="auto"/>
        <w:tabs>
          <w:tab w:val="left" w:pos="1538"/>
        </w:tabs>
        <w:kinsoku/>
        <w:wordWrap/>
        <w:overflowPunct/>
        <w:topLinePunct w:val="0"/>
        <w:autoSpaceDE/>
        <w:autoSpaceDN/>
        <w:bidi w:val="0"/>
        <w:adjustRightInd/>
        <w:snapToGrid/>
        <w:spacing w:before="0" w:after="0" w:line="240" w:lineRule="auto"/>
        <w:ind w:left="0" w:right="0" w:firstLine="640" w:firstLineChars="200"/>
        <w:jc w:val="left"/>
        <w:textAlignment w:val="auto"/>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国有资本经营预算支出情况</w:t>
      </w:r>
      <w:bookmarkStart w:id="2" w:name="bookmark83"/>
    </w:p>
    <w:p>
      <w:pPr>
        <w:pStyle w:val="12"/>
        <w:keepNext w:val="0"/>
        <w:keepLines w:val="0"/>
        <w:pageBreakBefore w:val="0"/>
        <w:widowControl w:val="0"/>
        <w:numPr>
          <w:ilvl w:val="0"/>
          <w:numId w:val="0"/>
        </w:numPr>
        <w:shd w:val="clear" w:color="auto" w:fill="auto"/>
        <w:tabs>
          <w:tab w:val="left" w:pos="1538"/>
        </w:tabs>
        <w:kinsoku/>
        <w:wordWrap/>
        <w:overflowPunct/>
        <w:topLinePunct w:val="0"/>
        <w:autoSpaceDE/>
        <w:autoSpaceDN/>
        <w:bidi w:val="0"/>
        <w:adjustRightInd/>
        <w:snapToGrid/>
        <w:spacing w:before="0" w:after="0" w:line="240" w:lineRule="auto"/>
        <w:ind w:right="0" w:rightChars="0" w:firstLine="640" w:firstLineChars="200"/>
        <w:jc w:val="left"/>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本单位无国有资本经营预算支出。</w:t>
      </w:r>
    </w:p>
    <w:p>
      <w:pPr>
        <w:pStyle w:val="12"/>
        <w:keepNext w:val="0"/>
        <w:keepLines w:val="0"/>
        <w:pageBreakBefore w:val="0"/>
        <w:widowControl w:val="0"/>
        <w:shd w:val="clear" w:color="auto" w:fill="auto"/>
        <w:tabs>
          <w:tab w:val="left" w:pos="1538"/>
        </w:tabs>
        <w:kinsoku/>
        <w:wordWrap/>
        <w:overflowPunct/>
        <w:topLinePunct w:val="0"/>
        <w:autoSpaceDE/>
        <w:autoSpaceDN/>
        <w:bidi w:val="0"/>
        <w:adjustRightInd/>
        <w:snapToGrid/>
        <w:spacing w:before="0" w:after="0" w:line="240" w:lineRule="auto"/>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五</w:t>
      </w:r>
      <w:bookmarkEnd w:id="2"/>
      <w:r>
        <w:rPr>
          <w:rFonts w:hint="eastAsia" w:ascii="黑体" w:hAnsi="黑体" w:eastAsia="黑体" w:cs="黑体"/>
          <w:color w:val="000000"/>
          <w:spacing w:val="0"/>
          <w:w w:val="100"/>
          <w:position w:val="0"/>
          <w:sz w:val="32"/>
          <w:szCs w:val="32"/>
        </w:rPr>
        <w:t>、社会保险基金预算支出情况</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640" w:firstLineChars="200"/>
        <w:jc w:val="both"/>
        <w:textAlignment w:val="auto"/>
        <w:rPr>
          <w:rFonts w:hint="eastAsia" w:ascii="黑体" w:hAnsi="黑体" w:eastAsia="黑体" w:cs="黑体"/>
          <w:color w:val="000000"/>
          <w:spacing w:val="0"/>
          <w:w w:val="100"/>
          <w:position w:val="0"/>
          <w:sz w:val="32"/>
          <w:szCs w:val="32"/>
        </w:rPr>
      </w:pPr>
      <w:bookmarkStart w:id="3" w:name="bookmark84"/>
      <w:r>
        <w:rPr>
          <w:rFonts w:hint="eastAsia" w:ascii="仿宋" w:hAnsi="仿宋" w:eastAsia="仿宋" w:cs="仿宋"/>
          <w:color w:val="000000"/>
          <w:spacing w:val="0"/>
          <w:w w:val="100"/>
          <w:position w:val="0"/>
          <w:sz w:val="32"/>
          <w:szCs w:val="32"/>
          <w:lang w:val="en-US" w:eastAsia="zh-CN"/>
        </w:rPr>
        <w:t>本单位无社会保险基金预算支出。</w:t>
      </w:r>
    </w:p>
    <w:p>
      <w:pPr>
        <w:pStyle w:val="12"/>
        <w:keepNext w:val="0"/>
        <w:keepLines w:val="0"/>
        <w:pageBreakBefore w:val="0"/>
        <w:widowControl w:val="0"/>
        <w:shd w:val="clear" w:color="auto" w:fill="auto"/>
        <w:tabs>
          <w:tab w:val="left" w:pos="1538"/>
        </w:tabs>
        <w:kinsoku/>
        <w:wordWrap/>
        <w:overflowPunct/>
        <w:topLinePunct w:val="0"/>
        <w:autoSpaceDE/>
        <w:autoSpaceDN/>
        <w:bidi w:val="0"/>
        <w:adjustRightInd/>
        <w:snapToGrid/>
        <w:spacing w:before="0" w:after="0" w:line="240" w:lineRule="auto"/>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六</w:t>
      </w:r>
      <w:bookmarkEnd w:id="3"/>
      <w:r>
        <w:rPr>
          <w:rFonts w:hint="eastAsia" w:ascii="黑体" w:hAnsi="黑体" w:eastAsia="黑体" w:cs="黑体"/>
          <w:color w:val="000000"/>
          <w:spacing w:val="0"/>
          <w:w w:val="100"/>
          <w:position w:val="0"/>
          <w:sz w:val="32"/>
          <w:szCs w:val="32"/>
        </w:rPr>
        <w:t>、部门整体支出绩效情况</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000000"/>
          <w:spacing w:val="0"/>
          <w:w w:val="100"/>
          <w:kern w:val="2"/>
          <w:position w:val="0"/>
          <w:sz w:val="32"/>
          <w:szCs w:val="32"/>
          <w:highlight w:val="none"/>
          <w:u w:val="none"/>
          <w:shd w:val="clear" w:color="auto" w:fill="auto"/>
          <w:lang w:val="zh-TW" w:eastAsia="zh-CN" w:bidi="zh-TW"/>
        </w:rPr>
      </w:pPr>
      <w:r>
        <w:rPr>
          <w:rFonts w:hint="eastAsia" w:ascii="仿宋" w:hAnsi="仿宋" w:eastAsia="仿宋" w:cs="仿宋"/>
          <w:color w:val="000000"/>
          <w:spacing w:val="0"/>
          <w:w w:val="100"/>
          <w:kern w:val="2"/>
          <w:position w:val="0"/>
          <w:sz w:val="32"/>
          <w:szCs w:val="32"/>
          <w:highlight w:val="none"/>
          <w:u w:val="none"/>
          <w:shd w:val="clear" w:color="auto" w:fill="auto"/>
          <w:lang w:val="zh-TW" w:eastAsia="zh-CN" w:bidi="zh-TW"/>
        </w:rPr>
        <w:t>本单位积极履职，强化管理，所有支出实行绩效目标管理，较好地完成了年度工作目标。为顺利推进预算绩效管理工作实施，单位内部建立了相应的工作机制和操作规程，加强预算收支管理，全年预算收支平衡，不超预算。完善制度建设,严格按照部门资金使用管理办法规定，对绩效管理进行规范化，资金及时全额拨付，保障正常办公任务开销，不存在挪用等违法违规行为。同时，结合当年预算绩效管理目标任务，部门整体支出管理水平得到提升，推进冷水滩区旅游事业蓬勃发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、绩效自评得分情况及绩效等级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宋体" w:hAnsi="宋体"/>
          <w:b/>
          <w:sz w:val="30"/>
          <w:szCs w:val="30"/>
          <w:lang w:val="en-US"/>
        </w:rPr>
      </w:pPr>
      <w:r>
        <w:rPr>
          <w:rFonts w:hint="eastAsia" w:ascii="仿宋" w:hAnsi="仿宋" w:eastAsia="仿宋" w:cs="仿宋"/>
          <w:color w:val="000000"/>
          <w:spacing w:val="0"/>
          <w:w w:val="100"/>
          <w:position w:val="0"/>
          <w:sz w:val="32"/>
          <w:szCs w:val="32"/>
          <w:lang w:val="en-US" w:eastAsia="zh-CN"/>
        </w:rPr>
        <w:t>通过对单位业务资料、财务资料和统计数据的分析，单位2021年度部门整体支出绩效自评综合</w:t>
      </w:r>
      <w:r>
        <w:rPr>
          <w:rFonts w:hint="eastAsia" w:ascii="仿宋" w:hAnsi="仿宋" w:eastAsia="仿宋" w:cs="仿宋"/>
          <w:color w:val="000000"/>
          <w:spacing w:val="0"/>
          <w:w w:val="100"/>
          <w:position w:val="0"/>
          <w:sz w:val="32"/>
          <w:szCs w:val="32"/>
          <w:highlight w:val="none"/>
          <w:lang w:val="en-US" w:eastAsia="zh-CN"/>
        </w:rPr>
        <w:t>得分</w:t>
      </w:r>
      <w:r>
        <w:rPr>
          <w:rFonts w:hint="eastAsia" w:ascii="仿宋" w:hAnsi="仿宋" w:eastAsia="仿宋" w:cs="仿宋"/>
          <w:color w:val="000000"/>
          <w:spacing w:val="0"/>
          <w:w w:val="100"/>
          <w:position w:val="0"/>
          <w:sz w:val="32"/>
          <w:szCs w:val="32"/>
          <w:highlight w:val="none"/>
          <w:u w:val="none"/>
          <w:lang w:val="en-US" w:eastAsia="zh-CN"/>
        </w:rPr>
        <w:t>95</w:t>
      </w:r>
      <w:r>
        <w:rPr>
          <w:rFonts w:hint="eastAsia" w:ascii="仿宋" w:hAnsi="仿宋" w:eastAsia="仿宋" w:cs="仿宋"/>
          <w:color w:val="000000"/>
          <w:spacing w:val="0"/>
          <w:w w:val="100"/>
          <w:position w:val="0"/>
          <w:sz w:val="32"/>
          <w:szCs w:val="32"/>
          <w:highlight w:val="none"/>
          <w:lang w:val="en-US" w:eastAsia="zh-CN"/>
        </w:rPr>
        <w:t>分</w:t>
      </w:r>
      <w:r>
        <w:rPr>
          <w:rFonts w:hint="eastAsia" w:ascii="仿宋" w:hAnsi="仿宋" w:eastAsia="仿宋" w:cs="仿宋"/>
          <w:color w:val="000000"/>
          <w:spacing w:val="0"/>
          <w:w w:val="100"/>
          <w:position w:val="0"/>
          <w:sz w:val="32"/>
          <w:szCs w:val="32"/>
          <w:lang w:val="en-US" w:eastAsia="zh-CN"/>
        </w:rPr>
        <w:t>，绩效评价等级为优。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八、</w:t>
      </w:r>
      <w:r>
        <w:rPr>
          <w:rFonts w:hint="eastAsia" w:ascii="黑体" w:hAnsi="黑体" w:eastAsia="黑体" w:cs="黑体"/>
          <w:b w:val="0"/>
          <w:bCs/>
          <w:sz w:val="32"/>
          <w:szCs w:val="32"/>
        </w:rPr>
        <w:t>存在的问题</w:t>
      </w:r>
      <w:r>
        <w:rPr>
          <w:rFonts w:hint="eastAsia" w:ascii="黑体" w:hAnsi="黑体" w:eastAsia="黑体" w:cs="黑体"/>
          <w:b w:val="0"/>
          <w:bCs/>
          <w:sz w:val="32"/>
          <w:szCs w:val="32"/>
          <w:lang w:eastAsia="zh-CN"/>
        </w:rPr>
        <w:t>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b/>
          <w:sz w:val="30"/>
          <w:szCs w:val="30"/>
          <w:lang w:eastAsia="zh-CN"/>
        </w:rPr>
      </w:pPr>
      <w:r>
        <w:rPr>
          <w:rFonts w:hint="eastAsia" w:ascii="仿宋" w:hAnsi="仿宋" w:eastAsia="仿宋" w:cs="仿宋"/>
          <w:color w:val="000000"/>
          <w:spacing w:val="0"/>
          <w:w w:val="100"/>
          <w:position w:val="0"/>
          <w:sz w:val="32"/>
          <w:szCs w:val="32"/>
          <w:lang w:eastAsia="zh-CN"/>
        </w:rPr>
        <w:t>单位</w:t>
      </w:r>
      <w:r>
        <w:rPr>
          <w:rFonts w:hint="eastAsia" w:ascii="仿宋" w:hAnsi="仿宋" w:eastAsia="仿宋" w:cs="仿宋"/>
          <w:color w:val="000000"/>
          <w:spacing w:val="0"/>
          <w:w w:val="100"/>
          <w:position w:val="0"/>
          <w:sz w:val="32"/>
          <w:szCs w:val="32"/>
        </w:rPr>
        <w:t>预算编制工作有待细化</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未能进一步将目标细致</w:t>
      </w:r>
      <w:r>
        <w:rPr>
          <w:rFonts w:hint="eastAsia" w:ascii="仿宋" w:hAnsi="仿宋" w:eastAsia="仿宋" w:cs="仿宋"/>
          <w:color w:val="000000"/>
          <w:spacing w:val="0"/>
          <w:w w:val="100"/>
          <w:position w:val="0"/>
          <w:sz w:val="32"/>
          <w:szCs w:val="32"/>
          <w:lang w:eastAsia="zh-CN"/>
        </w:rPr>
        <w:t>地</w:t>
      </w:r>
      <w:r>
        <w:rPr>
          <w:rFonts w:hint="eastAsia" w:ascii="仿宋" w:hAnsi="仿宋" w:eastAsia="仿宋" w:cs="仿宋"/>
          <w:color w:val="000000"/>
          <w:spacing w:val="0"/>
          <w:w w:val="100"/>
          <w:position w:val="0"/>
          <w:sz w:val="32"/>
          <w:szCs w:val="32"/>
        </w:rPr>
        <w:t>分化</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预算编制的合理性需要提高，预算执行力度还</w:t>
      </w:r>
      <w:r>
        <w:rPr>
          <w:rFonts w:hint="eastAsia" w:ascii="仿宋" w:hAnsi="仿宋" w:eastAsia="仿宋" w:cs="仿宋"/>
          <w:color w:val="000000"/>
          <w:spacing w:val="0"/>
          <w:w w:val="100"/>
          <w:position w:val="0"/>
          <w:sz w:val="32"/>
          <w:szCs w:val="32"/>
          <w:lang w:eastAsia="zh-CN"/>
        </w:rPr>
        <w:t>需</w:t>
      </w:r>
      <w:r>
        <w:rPr>
          <w:rFonts w:hint="eastAsia" w:ascii="仿宋" w:hAnsi="仿宋" w:eastAsia="仿宋" w:cs="仿宋"/>
          <w:color w:val="000000"/>
          <w:spacing w:val="0"/>
          <w:w w:val="100"/>
          <w:position w:val="0"/>
          <w:sz w:val="32"/>
          <w:szCs w:val="32"/>
        </w:rPr>
        <w:t>进一步加强。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九</w:t>
      </w:r>
      <w:r>
        <w:rPr>
          <w:rFonts w:hint="eastAsia" w:ascii="黑体" w:hAnsi="黑体" w:eastAsia="黑体" w:cs="黑体"/>
          <w:b w:val="0"/>
          <w:bCs/>
          <w:sz w:val="32"/>
          <w:szCs w:val="32"/>
        </w:rPr>
        <w:t>、改进措施和有关建议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spacing w:val="0"/>
          <w:w w:val="100"/>
          <w:kern w:val="2"/>
          <w:position w:val="0"/>
          <w:sz w:val="32"/>
          <w:szCs w:val="32"/>
          <w:u w:val="none"/>
          <w:shd w:val="clear" w:color="auto" w:fill="auto"/>
          <w:lang w:val="zh-TW" w:eastAsia="zh-CN" w:bidi="zh-TW"/>
        </w:rPr>
      </w:pPr>
      <w:r>
        <w:rPr>
          <w:rFonts w:hint="eastAsia" w:ascii="仿宋" w:hAnsi="仿宋" w:eastAsia="仿宋" w:cs="仿宋"/>
          <w:color w:val="000000"/>
          <w:spacing w:val="0"/>
          <w:w w:val="100"/>
          <w:kern w:val="2"/>
          <w:position w:val="0"/>
          <w:sz w:val="32"/>
          <w:szCs w:val="32"/>
          <w:u w:val="none"/>
          <w:shd w:val="clear" w:color="auto" w:fill="auto"/>
          <w:lang w:val="en-US" w:eastAsia="zh-CN" w:bidi="zh-TW"/>
        </w:rPr>
        <w:t>1.</w:t>
      </w:r>
      <w:r>
        <w:rPr>
          <w:rFonts w:hint="eastAsia" w:ascii="仿宋" w:hAnsi="仿宋" w:eastAsia="仿宋" w:cs="仿宋"/>
          <w:color w:val="000000"/>
          <w:spacing w:val="0"/>
          <w:w w:val="100"/>
          <w:kern w:val="2"/>
          <w:position w:val="0"/>
          <w:sz w:val="32"/>
          <w:szCs w:val="32"/>
          <w:u w:val="none"/>
          <w:shd w:val="clear" w:color="auto" w:fill="auto"/>
          <w:lang w:val="zh-TW" w:eastAsia="zh-CN" w:bidi="zh-TW"/>
        </w:rPr>
        <w:t>加强预算管理意识，实时关注预算管理制度动向，学习如何科学合理制定绩效目标及考核体系，及时整合各方资源，明确财政预算资金支付程序，充分发挥绩效管理工作效果。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spacing w:val="0"/>
          <w:w w:val="100"/>
          <w:kern w:val="2"/>
          <w:position w:val="0"/>
          <w:sz w:val="32"/>
          <w:szCs w:val="32"/>
          <w:u w:val="none"/>
          <w:shd w:val="clear" w:color="auto" w:fill="auto"/>
          <w:lang w:val="zh-TW" w:eastAsia="zh-CN" w:bidi="zh-TW"/>
        </w:rPr>
      </w:pPr>
      <w:r>
        <w:rPr>
          <w:rFonts w:hint="eastAsia" w:ascii="仿宋" w:hAnsi="仿宋" w:eastAsia="仿宋" w:cs="仿宋"/>
          <w:color w:val="000000"/>
          <w:spacing w:val="0"/>
          <w:w w:val="100"/>
          <w:kern w:val="2"/>
          <w:position w:val="0"/>
          <w:sz w:val="32"/>
          <w:szCs w:val="32"/>
          <w:u w:val="none"/>
          <w:shd w:val="clear" w:color="auto" w:fill="auto"/>
          <w:lang w:val="en-US" w:eastAsia="zh-CN" w:bidi="zh-TW"/>
        </w:rPr>
        <w:t>2.</w:t>
      </w:r>
      <w:r>
        <w:rPr>
          <w:rFonts w:hint="eastAsia" w:ascii="仿宋" w:hAnsi="仿宋" w:eastAsia="仿宋" w:cs="仿宋"/>
          <w:color w:val="000000"/>
          <w:spacing w:val="0"/>
          <w:w w:val="100"/>
          <w:kern w:val="2"/>
          <w:position w:val="0"/>
          <w:sz w:val="32"/>
          <w:szCs w:val="32"/>
          <w:u w:val="none"/>
          <w:shd w:val="clear" w:color="auto" w:fill="auto"/>
          <w:lang w:val="zh-TW" w:eastAsia="zh-CN" w:bidi="zh-TW"/>
        </w:rPr>
        <w:t>完善财务管理机制，健全单位财务管理制度体系，规范单位财务行为。在费用报账支付时，按照预算规定的费用项目和用途进行资金使用审核、列报支付、财务核算，提高资金使用效益。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b/>
          <w:sz w:val="30"/>
          <w:szCs w:val="30"/>
        </w:rPr>
      </w:pPr>
    </w:p>
    <w:p>
      <w:pPr>
        <w:ind w:firstLine="602" w:firstLineChars="200"/>
        <w:rPr>
          <w:rFonts w:ascii="宋体" w:hAnsi="宋体"/>
          <w:b/>
          <w:sz w:val="30"/>
          <w:szCs w:val="30"/>
        </w:rPr>
      </w:pPr>
    </w:p>
    <w:p>
      <w:pPr>
        <w:spacing w:line="560" w:lineRule="exact"/>
        <w:jc w:val="right"/>
        <w:rPr>
          <w:rFonts w:hint="eastAsia" w:ascii="仿宋" w:hAnsi="仿宋" w:eastAsia="仿宋" w:cs="仿宋"/>
          <w:color w:val="000000"/>
          <w:sz w:val="32"/>
          <w:lang w:eastAsia="zh-CN"/>
        </w:rPr>
      </w:pPr>
      <w:r>
        <w:rPr>
          <w:rFonts w:hint="eastAsia" w:ascii="仿宋" w:hAnsi="仿宋" w:eastAsia="仿宋" w:cs="仿宋"/>
          <w:color w:val="000000"/>
          <w:sz w:val="32"/>
          <w:lang w:eastAsia="zh-CN"/>
        </w:rPr>
        <w:t>永州市</w:t>
      </w:r>
      <w:r>
        <w:rPr>
          <w:rFonts w:hint="eastAsia" w:ascii="仿宋" w:hAnsi="仿宋" w:eastAsia="仿宋" w:cs="仿宋"/>
          <w:color w:val="000000"/>
          <w:sz w:val="32"/>
        </w:rPr>
        <w:t>冷水滩区</w:t>
      </w:r>
      <w:r>
        <w:rPr>
          <w:rFonts w:hint="eastAsia" w:ascii="仿宋" w:hAnsi="仿宋" w:eastAsia="仿宋" w:cs="仿宋"/>
          <w:color w:val="000000"/>
          <w:sz w:val="32"/>
          <w:lang w:eastAsia="zh-CN"/>
        </w:rPr>
        <w:t>旅游发展服务中心</w:t>
      </w:r>
    </w:p>
    <w:p>
      <w:pPr>
        <w:spacing w:line="560" w:lineRule="exact"/>
        <w:ind w:right="480"/>
        <w:jc w:val="center"/>
        <w:rPr>
          <w:rFonts w:hint="eastAsia" w:ascii="仿宋" w:hAnsi="仿宋" w:eastAsia="仿宋" w:cs="仿宋"/>
          <w:color w:val="000000"/>
          <w:sz w:val="32"/>
        </w:rPr>
      </w:pPr>
      <w:r>
        <w:rPr>
          <w:rFonts w:hint="eastAsia" w:ascii="仿宋" w:hAnsi="仿宋" w:eastAsia="仿宋" w:cs="仿宋"/>
          <w:color w:val="000000"/>
          <w:sz w:val="32"/>
          <w:lang w:val="en-US" w:eastAsia="zh-CN"/>
        </w:rPr>
        <w:t xml:space="preserve">                         </w:t>
      </w:r>
      <w:r>
        <w:rPr>
          <w:rFonts w:hint="eastAsia" w:ascii="仿宋" w:hAnsi="仿宋" w:eastAsia="仿宋" w:cs="仿宋"/>
          <w:color w:val="000000"/>
          <w:sz w:val="32"/>
        </w:rPr>
        <w:t>202</w:t>
      </w:r>
      <w:r>
        <w:rPr>
          <w:rFonts w:hint="eastAsia" w:ascii="仿宋" w:hAnsi="仿宋" w:eastAsia="仿宋" w:cs="仿宋"/>
          <w:color w:val="000000"/>
          <w:sz w:val="32"/>
          <w:lang w:val="en-US" w:eastAsia="zh-CN"/>
        </w:rPr>
        <w:t>2</w:t>
      </w:r>
      <w:r>
        <w:rPr>
          <w:rFonts w:hint="eastAsia" w:ascii="仿宋" w:hAnsi="仿宋" w:eastAsia="仿宋" w:cs="仿宋"/>
          <w:color w:val="000000"/>
          <w:sz w:val="32"/>
        </w:rPr>
        <w:t>年</w:t>
      </w:r>
      <w:r>
        <w:rPr>
          <w:rFonts w:hint="eastAsia" w:ascii="仿宋" w:hAnsi="仿宋" w:eastAsia="仿宋" w:cs="仿宋"/>
          <w:color w:val="000000"/>
          <w:sz w:val="32"/>
          <w:lang w:val="en-US" w:eastAsia="zh-CN"/>
        </w:rPr>
        <w:t>8</w:t>
      </w:r>
      <w:r>
        <w:rPr>
          <w:rFonts w:hint="eastAsia" w:ascii="仿宋" w:hAnsi="仿宋" w:eastAsia="仿宋" w:cs="仿宋"/>
          <w:color w:val="000000"/>
          <w:sz w:val="32"/>
        </w:rPr>
        <w:t>月</w:t>
      </w:r>
      <w:r>
        <w:rPr>
          <w:rFonts w:hint="eastAsia" w:ascii="仿宋" w:hAnsi="仿宋" w:eastAsia="仿宋" w:cs="仿宋"/>
          <w:color w:val="000000"/>
          <w:sz w:val="32"/>
          <w:lang w:val="en-US" w:eastAsia="zh-CN"/>
        </w:rPr>
        <w:t>23</w:t>
      </w:r>
      <w:r>
        <w:rPr>
          <w:rFonts w:hint="eastAsia" w:ascii="仿宋" w:hAnsi="仿宋" w:eastAsia="仿宋" w:cs="仿宋"/>
          <w:color w:val="000000"/>
          <w:sz w:val="32"/>
        </w:rPr>
        <w:t>日</w:t>
      </w:r>
    </w:p>
    <w:p>
      <w:pPr>
        <w:ind w:firstLine="602" w:firstLineChars="200"/>
        <w:rPr>
          <w:rFonts w:ascii="宋体" w:hAnsi="宋体"/>
          <w:b/>
          <w:sz w:val="30"/>
          <w:szCs w:val="30"/>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ascii="黑体" w:hAnsi="宋体" w:eastAsia="黑体" w:cs="宋体"/>
          <w:bCs/>
          <w:kern w:val="0"/>
          <w:sz w:val="32"/>
          <w:szCs w:val="32"/>
        </w:rPr>
      </w:pPr>
      <w:r>
        <w:rPr>
          <w:rFonts w:hint="eastAsia" w:ascii="黑体" w:hAnsi="宋体" w:eastAsia="黑体" w:cs="宋体"/>
          <w:bCs/>
          <w:kern w:val="0"/>
          <w:sz w:val="32"/>
          <w:szCs w:val="32"/>
        </w:rPr>
        <w:t>附件</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6"/>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7</w:t>
            </w:r>
            <w:r>
              <w:rPr>
                <w:rFonts w:hint="eastAsia"/>
                <w:kern w:val="0"/>
                <w:sz w:val="24"/>
              </w:rPr>
              <w:t>　</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vMerge w:val="restart"/>
            <w:tcBorders>
              <w:top w:val="nil"/>
              <w:left w:val="nil"/>
              <w:right w:val="single" w:color="auto" w:sz="4" w:space="0"/>
            </w:tcBorders>
            <w:vAlign w:val="center"/>
          </w:tcPr>
          <w:p>
            <w:pPr>
              <w:widowControl/>
              <w:jc w:val="left"/>
              <w:rPr>
                <w:rFonts w:hint="eastAsia"/>
                <w:kern w:val="0"/>
                <w:sz w:val="24"/>
              </w:rPr>
            </w:pPr>
            <w:r>
              <w:rPr>
                <w:rFonts w:hint="eastAsia"/>
                <w:kern w:val="0"/>
                <w:sz w:val="24"/>
                <w:lang w:val="en-US" w:eastAsia="zh-CN"/>
              </w:rPr>
              <w:t>9</w:t>
            </w:r>
            <w:r>
              <w:rPr>
                <w:rFonts w:hint="eastAsia"/>
                <w:kern w:val="0"/>
                <w:sz w:val="24"/>
              </w:rPr>
              <w:t>　</w:t>
            </w:r>
          </w:p>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vMerge w:val="continue"/>
            <w:tcBorders>
              <w:left w:val="nil"/>
              <w:bottom w:val="nil"/>
              <w:right w:val="single" w:color="auto" w:sz="4" w:space="0"/>
            </w:tcBorders>
            <w:vAlign w:val="center"/>
          </w:tcPr>
          <w:p>
            <w:pPr>
              <w:widowControl/>
              <w:jc w:val="left"/>
              <w:rPr>
                <w:kern w:val="0"/>
                <w:sz w:val="24"/>
              </w:rPr>
            </w:pP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95</w:t>
            </w:r>
          </w:p>
        </w:tc>
      </w:tr>
    </w:tbl>
    <w:p>
      <w:pPr>
        <w:spacing w:line="240" w:lineRule="auto"/>
        <w:ind w:right="0"/>
        <w:rPr>
          <w:rFonts w:ascii="仿宋" w:hAnsi="仿宋" w:eastAsia="仿宋" w:cs="Times New Roman"/>
        </w:rPr>
      </w:pPr>
    </w:p>
    <w:sectPr>
      <w:headerReference r:id="rId3" w:type="default"/>
      <w:footerReference r:id="rId4" w:type="default"/>
      <w:pgSz w:w="11850" w:h="16783"/>
      <w:pgMar w:top="1327" w:right="1650" w:bottom="1100" w:left="1800" w:header="0" w:footer="68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513F5"/>
    <w:multiLevelType w:val="singleLevel"/>
    <w:tmpl w:val="89B513F5"/>
    <w:lvl w:ilvl="0" w:tentative="0">
      <w:start w:val="4"/>
      <w:numFmt w:val="chineseCounting"/>
      <w:suff w:val="nothing"/>
      <w:lvlText w:val="%1、"/>
      <w:lvlJc w:val="left"/>
      <w:rPr>
        <w:rFonts w:hint="eastAsia"/>
      </w:rPr>
    </w:lvl>
  </w:abstractNum>
  <w:abstractNum w:abstractNumId="1">
    <w:nsid w:val="6A530D2D"/>
    <w:multiLevelType w:val="singleLevel"/>
    <w:tmpl w:val="6A530D2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YzdiY2MwMTIzMmIxMjhkZGM3N2I1ZWQ5M2FmN2FkODMifQ=="/>
  </w:docVars>
  <w:rsids>
    <w:rsidRoot w:val="785137E4"/>
    <w:rsid w:val="0014190B"/>
    <w:rsid w:val="002C488B"/>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F5953"/>
    <w:rsid w:val="009D4482"/>
    <w:rsid w:val="00A106DA"/>
    <w:rsid w:val="00A5026F"/>
    <w:rsid w:val="00A736E6"/>
    <w:rsid w:val="00B72CBB"/>
    <w:rsid w:val="00BA0CDC"/>
    <w:rsid w:val="00BD0B8D"/>
    <w:rsid w:val="00BD2F3F"/>
    <w:rsid w:val="00C4025D"/>
    <w:rsid w:val="00D72963"/>
    <w:rsid w:val="00E410D0"/>
    <w:rsid w:val="00EC6119"/>
    <w:rsid w:val="00F17319"/>
    <w:rsid w:val="01540DA8"/>
    <w:rsid w:val="03AE7CEF"/>
    <w:rsid w:val="04CC51AC"/>
    <w:rsid w:val="051D30EA"/>
    <w:rsid w:val="06AC0092"/>
    <w:rsid w:val="07CE4C09"/>
    <w:rsid w:val="09C31645"/>
    <w:rsid w:val="09F838B1"/>
    <w:rsid w:val="0A193011"/>
    <w:rsid w:val="0AE61820"/>
    <w:rsid w:val="0AE86877"/>
    <w:rsid w:val="0C1D6C41"/>
    <w:rsid w:val="0D3419B4"/>
    <w:rsid w:val="0D4C56AE"/>
    <w:rsid w:val="0DC650AE"/>
    <w:rsid w:val="0DC75361"/>
    <w:rsid w:val="0E146C48"/>
    <w:rsid w:val="0ED51E26"/>
    <w:rsid w:val="0ED72A1F"/>
    <w:rsid w:val="0F6A49D5"/>
    <w:rsid w:val="0F7E5924"/>
    <w:rsid w:val="104A59B1"/>
    <w:rsid w:val="108A2FEB"/>
    <w:rsid w:val="109D248C"/>
    <w:rsid w:val="10E05B1E"/>
    <w:rsid w:val="110B73C4"/>
    <w:rsid w:val="114C59C8"/>
    <w:rsid w:val="12426120"/>
    <w:rsid w:val="12840FF1"/>
    <w:rsid w:val="14996F59"/>
    <w:rsid w:val="14A8424C"/>
    <w:rsid w:val="17E31494"/>
    <w:rsid w:val="17F71488"/>
    <w:rsid w:val="185D692E"/>
    <w:rsid w:val="198F6483"/>
    <w:rsid w:val="19DD25E4"/>
    <w:rsid w:val="1A304F0B"/>
    <w:rsid w:val="1C7C6CF9"/>
    <w:rsid w:val="1CB27C28"/>
    <w:rsid w:val="1D5132B3"/>
    <w:rsid w:val="1D6B0BB6"/>
    <w:rsid w:val="214B4867"/>
    <w:rsid w:val="21D267A7"/>
    <w:rsid w:val="22280ABD"/>
    <w:rsid w:val="22D740B8"/>
    <w:rsid w:val="22E90356"/>
    <w:rsid w:val="23243032"/>
    <w:rsid w:val="23943EF5"/>
    <w:rsid w:val="240B63D5"/>
    <w:rsid w:val="24793C83"/>
    <w:rsid w:val="258018C0"/>
    <w:rsid w:val="259D3570"/>
    <w:rsid w:val="25AE7B38"/>
    <w:rsid w:val="2659509A"/>
    <w:rsid w:val="26B11A3A"/>
    <w:rsid w:val="26C84C2A"/>
    <w:rsid w:val="2791110F"/>
    <w:rsid w:val="27AF2B18"/>
    <w:rsid w:val="299F345F"/>
    <w:rsid w:val="29EC32BE"/>
    <w:rsid w:val="2BB05DAB"/>
    <w:rsid w:val="2C1710C9"/>
    <w:rsid w:val="2D5F3E0E"/>
    <w:rsid w:val="2E3511A9"/>
    <w:rsid w:val="2F184097"/>
    <w:rsid w:val="2F4B29B9"/>
    <w:rsid w:val="3417744D"/>
    <w:rsid w:val="35753BC1"/>
    <w:rsid w:val="357B7AED"/>
    <w:rsid w:val="358D7AC9"/>
    <w:rsid w:val="361D0398"/>
    <w:rsid w:val="3686450B"/>
    <w:rsid w:val="36F764EF"/>
    <w:rsid w:val="374E666C"/>
    <w:rsid w:val="37EB5A18"/>
    <w:rsid w:val="385B3896"/>
    <w:rsid w:val="39BC591B"/>
    <w:rsid w:val="39D864CC"/>
    <w:rsid w:val="3A5159A9"/>
    <w:rsid w:val="3AAB44BD"/>
    <w:rsid w:val="3B900107"/>
    <w:rsid w:val="3BE06DF3"/>
    <w:rsid w:val="3CA24B1E"/>
    <w:rsid w:val="3CD0503D"/>
    <w:rsid w:val="3D391FB7"/>
    <w:rsid w:val="3DC46684"/>
    <w:rsid w:val="3E493596"/>
    <w:rsid w:val="3EE9219C"/>
    <w:rsid w:val="3F880CCF"/>
    <w:rsid w:val="402A3780"/>
    <w:rsid w:val="404F0CAC"/>
    <w:rsid w:val="407328DB"/>
    <w:rsid w:val="413F2614"/>
    <w:rsid w:val="418B0C90"/>
    <w:rsid w:val="430451D7"/>
    <w:rsid w:val="435B2C4B"/>
    <w:rsid w:val="436468A4"/>
    <w:rsid w:val="44966123"/>
    <w:rsid w:val="459B564D"/>
    <w:rsid w:val="46493785"/>
    <w:rsid w:val="472468C3"/>
    <w:rsid w:val="47264D1B"/>
    <w:rsid w:val="47D514BF"/>
    <w:rsid w:val="47D827AB"/>
    <w:rsid w:val="48035DFE"/>
    <w:rsid w:val="4A820533"/>
    <w:rsid w:val="4A86619B"/>
    <w:rsid w:val="4B7F71D1"/>
    <w:rsid w:val="4B9879B3"/>
    <w:rsid w:val="4CBC1C48"/>
    <w:rsid w:val="4CF657D3"/>
    <w:rsid w:val="4D5509C6"/>
    <w:rsid w:val="4E1F59D2"/>
    <w:rsid w:val="4F564F38"/>
    <w:rsid w:val="502919D6"/>
    <w:rsid w:val="50EF391A"/>
    <w:rsid w:val="514209A3"/>
    <w:rsid w:val="51524FCA"/>
    <w:rsid w:val="525A35BC"/>
    <w:rsid w:val="5283254F"/>
    <w:rsid w:val="529C32C6"/>
    <w:rsid w:val="53A73ADE"/>
    <w:rsid w:val="53F605A7"/>
    <w:rsid w:val="54040CEA"/>
    <w:rsid w:val="54D7618A"/>
    <w:rsid w:val="54FF0268"/>
    <w:rsid w:val="55170F67"/>
    <w:rsid w:val="55E8730D"/>
    <w:rsid w:val="566468C9"/>
    <w:rsid w:val="58231176"/>
    <w:rsid w:val="589D2CCD"/>
    <w:rsid w:val="595F096B"/>
    <w:rsid w:val="59793404"/>
    <w:rsid w:val="59D722C0"/>
    <w:rsid w:val="5AE64F25"/>
    <w:rsid w:val="5C0276AD"/>
    <w:rsid w:val="5C531035"/>
    <w:rsid w:val="5E196F30"/>
    <w:rsid w:val="5F6F1EB6"/>
    <w:rsid w:val="620C7F2C"/>
    <w:rsid w:val="63681E78"/>
    <w:rsid w:val="63FD4981"/>
    <w:rsid w:val="64BC353F"/>
    <w:rsid w:val="6524032D"/>
    <w:rsid w:val="66E005EB"/>
    <w:rsid w:val="6779459B"/>
    <w:rsid w:val="68532135"/>
    <w:rsid w:val="68C32CA2"/>
    <w:rsid w:val="69217FF1"/>
    <w:rsid w:val="6A7F0FBE"/>
    <w:rsid w:val="6B187AD2"/>
    <w:rsid w:val="6D03067C"/>
    <w:rsid w:val="6D1F6202"/>
    <w:rsid w:val="6D535020"/>
    <w:rsid w:val="6DC31AA8"/>
    <w:rsid w:val="6DF36BBE"/>
    <w:rsid w:val="6EDC1FE0"/>
    <w:rsid w:val="6F816AC5"/>
    <w:rsid w:val="6FAB550E"/>
    <w:rsid w:val="6FEC6C62"/>
    <w:rsid w:val="706312A2"/>
    <w:rsid w:val="70A55C94"/>
    <w:rsid w:val="71184DC4"/>
    <w:rsid w:val="71AE7FEB"/>
    <w:rsid w:val="71F0545F"/>
    <w:rsid w:val="72CA214F"/>
    <w:rsid w:val="735D0D8C"/>
    <w:rsid w:val="739A5AFB"/>
    <w:rsid w:val="73C23E03"/>
    <w:rsid w:val="73E949B6"/>
    <w:rsid w:val="74DE4FB2"/>
    <w:rsid w:val="75871E6E"/>
    <w:rsid w:val="75940776"/>
    <w:rsid w:val="75AB21CA"/>
    <w:rsid w:val="75C076F3"/>
    <w:rsid w:val="772E761E"/>
    <w:rsid w:val="7742145B"/>
    <w:rsid w:val="776C2435"/>
    <w:rsid w:val="7777743F"/>
    <w:rsid w:val="785137E4"/>
    <w:rsid w:val="79274980"/>
    <w:rsid w:val="7B2E4CBA"/>
    <w:rsid w:val="7C4D42B1"/>
    <w:rsid w:val="7C505790"/>
    <w:rsid w:val="7D013684"/>
    <w:rsid w:val="7EA759FE"/>
    <w:rsid w:val="7F362D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locked/>
    <w:uiPriority w:val="0"/>
    <w:pPr>
      <w:widowControl w:val="0"/>
      <w:spacing w:before="0" w:after="0"/>
      <w:ind w:left="120"/>
      <w:jc w:val="both"/>
    </w:pPr>
    <w:rPr>
      <w:rFonts w:ascii="仿宋_GB2312" w:hAnsi="Times New Roman" w:eastAsia="仿宋_GB2312" w:cs="Times New Roman"/>
      <w:kern w:val="2"/>
      <w:sz w:val="28"/>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qFormat/>
    <w:uiPriority w:val="99"/>
    <w:pPr>
      <w:spacing w:beforeAutospacing="1" w:afterAutospacing="1"/>
      <w:jc w:val="left"/>
    </w:pPr>
    <w:rPr>
      <w:kern w:val="0"/>
      <w:sz w:val="24"/>
      <w:szCs w:val="24"/>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99"/>
    <w:rPr>
      <w:color w:val="0000FF"/>
      <w:u w:val="single"/>
    </w:rPr>
  </w:style>
  <w:style w:type="character" w:customStyle="1" w:styleId="10">
    <w:name w:val="页脚 Char"/>
    <w:basedOn w:val="8"/>
    <w:link w:val="3"/>
    <w:semiHidden/>
    <w:qFormat/>
    <w:locked/>
    <w:uiPriority w:val="99"/>
    <w:rPr>
      <w:rFonts w:ascii="Calibri" w:hAnsi="Calibri" w:eastAsia="宋体" w:cs="Calibri"/>
      <w:sz w:val="18"/>
      <w:szCs w:val="18"/>
    </w:rPr>
  </w:style>
  <w:style w:type="character" w:customStyle="1" w:styleId="11">
    <w:name w:val="页眉 Char"/>
    <w:basedOn w:val="8"/>
    <w:link w:val="4"/>
    <w:semiHidden/>
    <w:qFormat/>
    <w:locked/>
    <w:uiPriority w:val="99"/>
    <w:rPr>
      <w:rFonts w:ascii="Calibri" w:hAnsi="Calibri" w:eastAsia="宋体" w:cs="Calibri"/>
      <w:sz w:val="18"/>
      <w:szCs w:val="18"/>
    </w:rPr>
  </w:style>
  <w:style w:type="paragraph" w:customStyle="1" w:styleId="12">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368C3-9FF0-4B88-83CC-D51DCEAD1F82}">
  <ds:schemaRefs/>
</ds:datastoreItem>
</file>

<file path=docProps/app.xml><?xml version="1.0" encoding="utf-8"?>
<Properties xmlns="http://schemas.openxmlformats.org/officeDocument/2006/extended-properties" xmlns:vt="http://schemas.openxmlformats.org/officeDocument/2006/docPropsVTypes">
  <Template>Normal</Template>
  <Pages>6</Pages>
  <Words>2794</Words>
  <Characters>2995</Characters>
  <Lines>59</Lines>
  <Paragraphs>16</Paragraphs>
  <TotalTime>0</TotalTime>
  <ScaleCrop>false</ScaleCrop>
  <LinksUpToDate>false</LinksUpToDate>
  <CharactersWithSpaces>3315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晨曦</cp:lastModifiedBy>
  <cp:lastPrinted>2022-08-24T07:16:00Z</cp:lastPrinted>
  <dcterms:modified xsi:type="dcterms:W3CDTF">2023-09-21T08:55:05Z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6D15349204EB47C29F6FB1574B111696</vt:lpwstr>
  </property>
</Properties>
</file>