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eastAsia="仿宋_GB2312"/>
          <w:sz w:val="32"/>
          <w:szCs w:val="32"/>
        </w:rPr>
        <w:t>附件</w:t>
      </w:r>
      <w:r>
        <w:rPr>
          <w:rFonts w:hint="eastAsia" w:eastAsia="仿宋_GB2312"/>
          <w:sz w:val="32"/>
          <w:szCs w:val="32"/>
        </w:rPr>
        <w:t>1：</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hint="eastAsia" w:ascii="方正小标宋简体" w:eastAsia="方正小标宋简体"/>
          <w:color w:val="000000"/>
          <w:kern w:val="0"/>
          <w:sz w:val="36"/>
          <w:szCs w:val="36"/>
        </w:rPr>
        <w:t>2021年度专项（项目）资金绩效自评报告</w:t>
      </w:r>
    </w:p>
    <w:p>
      <w:pPr>
        <w:spacing w:line="620" w:lineRule="exact"/>
        <w:jc w:val="center"/>
        <w:rPr>
          <w:rFonts w:ascii="楷体_GB2312" w:eastAsia="楷体_GB2312"/>
          <w:b/>
          <w:color w:val="000000"/>
          <w:kern w:val="0"/>
          <w:sz w:val="32"/>
          <w:szCs w:val="32"/>
        </w:rPr>
      </w:pP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一、项目概况</w:t>
      </w:r>
    </w:p>
    <w:p>
      <w:pPr>
        <w:spacing w:line="620" w:lineRule="exact"/>
        <w:ind w:firstLine="640" w:firstLineChars="200"/>
        <w:rPr>
          <w:rFonts w:eastAsia="仿宋_GB2312"/>
          <w:color w:val="000000"/>
          <w:kern w:val="0"/>
          <w:sz w:val="32"/>
          <w:szCs w:val="32"/>
        </w:rPr>
      </w:pPr>
      <w:r>
        <w:rPr>
          <w:rFonts w:eastAsia="仿宋_GB2312"/>
          <w:color w:val="000000"/>
          <w:kern w:val="0"/>
          <w:sz w:val="32"/>
          <w:szCs w:val="32"/>
        </w:rPr>
        <w:t>（一）</w:t>
      </w:r>
      <w:r>
        <w:rPr>
          <w:rFonts w:hint="eastAsia" w:ascii="仿宋_GB2312" w:hAnsi="宋体"/>
          <w:sz w:val="30"/>
          <w:szCs w:val="30"/>
        </w:rPr>
        <w:t>项目单位基本情况。</w:t>
      </w:r>
    </w:p>
    <w:p>
      <w:pPr>
        <w:spacing w:line="620" w:lineRule="exact"/>
        <w:ind w:firstLine="640" w:firstLineChars="200"/>
        <w:rPr>
          <w:rFonts w:hint="default"/>
          <w:lang w:val="en-US"/>
        </w:rPr>
      </w:pPr>
      <w:r>
        <w:rPr>
          <w:rFonts w:hint="eastAsia" w:eastAsia="仿宋_GB2312"/>
          <w:color w:val="000000"/>
          <w:kern w:val="0"/>
          <w:sz w:val="32"/>
          <w:szCs w:val="32"/>
          <w:lang w:val="en-US" w:eastAsia="zh-CN"/>
        </w:rPr>
        <w:t>1.主要职能</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1</w:t>
      </w:r>
      <w:r>
        <w:rPr>
          <w:rFonts w:hint="eastAsia" w:ascii="仿宋_GB2312" w:hAnsi="宋体"/>
          <w:sz w:val="30"/>
          <w:szCs w:val="30"/>
          <w:lang w:eastAsia="zh-CN"/>
        </w:rPr>
        <w:t>）</w:t>
      </w:r>
      <w:r>
        <w:rPr>
          <w:rFonts w:hint="eastAsia" w:ascii="仿宋_GB2312" w:hAnsi="宋体"/>
          <w:sz w:val="30"/>
          <w:szCs w:val="30"/>
        </w:rPr>
        <w:t>贯彻执行党的路线、方针、政策和国家的法律、法规，落实上级党委、政府的各项决议和决定。</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2</w:t>
      </w:r>
      <w:r>
        <w:rPr>
          <w:rFonts w:hint="eastAsia" w:ascii="仿宋_GB2312" w:hAnsi="宋体"/>
          <w:sz w:val="30"/>
          <w:szCs w:val="30"/>
          <w:lang w:eastAsia="zh-CN"/>
        </w:rPr>
        <w:t>）</w:t>
      </w:r>
      <w:r>
        <w:rPr>
          <w:rFonts w:hint="eastAsia" w:ascii="仿宋_GB2312" w:hAnsi="宋体"/>
          <w:sz w:val="30"/>
          <w:szCs w:val="30"/>
        </w:rPr>
        <w:t>制定本辖区内的经济和社会发展规划，并组织实施。</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3</w:t>
      </w:r>
      <w:r>
        <w:rPr>
          <w:rFonts w:hint="eastAsia" w:ascii="仿宋_GB2312" w:hAnsi="宋体"/>
          <w:sz w:val="30"/>
          <w:szCs w:val="30"/>
          <w:lang w:eastAsia="zh-CN"/>
        </w:rPr>
        <w:t>）</w:t>
      </w:r>
      <w:r>
        <w:rPr>
          <w:rFonts w:hint="eastAsia" w:ascii="仿宋_GB2312" w:hAnsi="宋体"/>
          <w:sz w:val="30"/>
          <w:szCs w:val="30"/>
        </w:rPr>
        <w:t>负责梅湾办事处党的组织、思想和作风建设，提高党组织的战斗力和凝聚力，充分发挥党员的先锋模范作用。负责做好管理权限范围内干部的日常管理工作。</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4</w:t>
      </w:r>
      <w:r>
        <w:rPr>
          <w:rFonts w:hint="eastAsia" w:ascii="仿宋_GB2312" w:hAnsi="宋体"/>
          <w:sz w:val="30"/>
          <w:szCs w:val="30"/>
          <w:lang w:eastAsia="zh-CN"/>
        </w:rPr>
        <w:t>）</w:t>
      </w:r>
      <w:r>
        <w:rPr>
          <w:rFonts w:hint="eastAsia" w:ascii="仿宋_GB2312" w:hAnsi="宋体"/>
          <w:sz w:val="30"/>
          <w:szCs w:val="30"/>
        </w:rPr>
        <w:t>负责强化社会管理综合治理，加强信访和矛盾纠纷调处工作，建立和健全群防群治网络，及时化解各类矛盾纠纷，维护城市社会稳定。</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5</w:t>
      </w:r>
      <w:r>
        <w:rPr>
          <w:rFonts w:hint="eastAsia" w:ascii="仿宋_GB2312" w:hAnsi="宋体"/>
          <w:sz w:val="30"/>
          <w:szCs w:val="30"/>
          <w:lang w:eastAsia="zh-CN"/>
        </w:rPr>
        <w:t>）</w:t>
      </w:r>
      <w:r>
        <w:rPr>
          <w:rFonts w:hint="eastAsia" w:ascii="仿宋_GB2312" w:hAnsi="宋体"/>
          <w:sz w:val="30"/>
          <w:szCs w:val="30"/>
        </w:rPr>
        <w:t>负责本辖区国土、动物防疫、规划建设、环境保护、交通运输、工业经济、招商引资、安全生产监督、食品药品监管及民政、卫生、体育、旅游、科技、文化、民族宗教、城市管理、劳动和社会保障等方面工作。</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6</w:t>
      </w:r>
      <w:r>
        <w:rPr>
          <w:rFonts w:hint="eastAsia" w:ascii="仿宋_GB2312" w:hAnsi="宋体"/>
          <w:sz w:val="30"/>
          <w:szCs w:val="30"/>
          <w:lang w:eastAsia="zh-CN"/>
        </w:rPr>
        <w:t>）</w:t>
      </w:r>
      <w:r>
        <w:rPr>
          <w:rFonts w:hint="eastAsia" w:ascii="仿宋_GB2312" w:hAnsi="宋体"/>
          <w:sz w:val="30"/>
          <w:szCs w:val="30"/>
        </w:rPr>
        <w:t>贯彻执行人口和计划生育法律法规、政策，组织开展园区人口和计划生育工作。</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7</w:t>
      </w:r>
      <w:r>
        <w:rPr>
          <w:rFonts w:hint="eastAsia" w:ascii="仿宋_GB2312" w:hAnsi="宋体"/>
          <w:sz w:val="30"/>
          <w:szCs w:val="30"/>
          <w:lang w:eastAsia="zh-CN"/>
        </w:rPr>
        <w:t>）</w:t>
      </w:r>
      <w:r>
        <w:rPr>
          <w:rFonts w:hint="eastAsia" w:ascii="仿宋_GB2312" w:hAnsi="宋体"/>
          <w:sz w:val="30"/>
          <w:szCs w:val="30"/>
        </w:rPr>
        <w:t>充分发挥街道办事处党工委的领导核心作用，保证和支持基层自治组织行使职权，实行依法自治，充分发挥基层群众自治组织的自我教育、自我管理、自我建设、自我服务作用。</w:t>
      </w:r>
    </w:p>
    <w:p>
      <w:pPr>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8</w:t>
      </w:r>
      <w:r>
        <w:rPr>
          <w:rFonts w:hint="eastAsia" w:ascii="仿宋_GB2312" w:hAnsi="宋体"/>
          <w:sz w:val="30"/>
          <w:szCs w:val="30"/>
          <w:lang w:eastAsia="zh-CN"/>
        </w:rPr>
        <w:t>）</w:t>
      </w:r>
      <w:r>
        <w:rPr>
          <w:rFonts w:hint="eastAsia" w:ascii="仿宋_GB2312" w:hAnsi="宋体"/>
          <w:sz w:val="30"/>
          <w:szCs w:val="30"/>
        </w:rPr>
        <w:t>负责办事处纪检监察、组织人事、宣传统战、人民武装、工会、共青团、妇联、残联、科协等工作。承担人大和政协联络等相关工作。</w:t>
      </w:r>
    </w:p>
    <w:p>
      <w:pPr>
        <w:spacing w:line="620" w:lineRule="exact"/>
        <w:ind w:firstLine="600" w:firstLineChars="200"/>
        <w:rPr>
          <w:rFonts w:hint="eastAsia" w:ascii="仿宋_GB2312" w:hAnsi="宋体"/>
          <w:sz w:val="30"/>
          <w:szCs w:val="30"/>
        </w:rPr>
      </w:pPr>
      <w:r>
        <w:rPr>
          <w:rFonts w:hint="eastAsia" w:ascii="仿宋_GB2312" w:hAnsi="宋体"/>
          <w:sz w:val="30"/>
          <w:szCs w:val="30"/>
          <w:lang w:eastAsia="zh-CN"/>
        </w:rPr>
        <w:t>（</w:t>
      </w:r>
      <w:r>
        <w:rPr>
          <w:rFonts w:hint="eastAsia" w:ascii="仿宋_GB2312" w:hAnsi="宋体"/>
          <w:sz w:val="30"/>
          <w:szCs w:val="30"/>
        </w:rPr>
        <w:t>9</w:t>
      </w:r>
      <w:r>
        <w:rPr>
          <w:rFonts w:hint="eastAsia" w:ascii="仿宋_GB2312" w:hAnsi="宋体"/>
          <w:sz w:val="30"/>
          <w:szCs w:val="30"/>
          <w:lang w:eastAsia="zh-CN"/>
        </w:rPr>
        <w:t>）</w:t>
      </w:r>
      <w:r>
        <w:rPr>
          <w:rFonts w:hint="eastAsia" w:ascii="仿宋_GB2312" w:hAnsi="宋体"/>
          <w:sz w:val="30"/>
          <w:szCs w:val="30"/>
        </w:rPr>
        <w:t>完成区委、区人大、区政府、区政协交办的其他事项。</w:t>
      </w:r>
    </w:p>
    <w:p>
      <w:pPr>
        <w:spacing w:line="620" w:lineRule="exact"/>
        <w:ind w:firstLine="600" w:firstLineChars="200"/>
        <w:rPr>
          <w:rFonts w:hint="eastAsia" w:ascii="仿宋_GB2312" w:hAnsi="宋体"/>
          <w:sz w:val="30"/>
          <w:szCs w:val="30"/>
          <w:lang w:val="en-US" w:eastAsia="zh-CN"/>
        </w:rPr>
      </w:pPr>
      <w:r>
        <w:rPr>
          <w:rFonts w:hint="eastAsia" w:ascii="仿宋_GB2312" w:hAnsi="宋体"/>
          <w:sz w:val="30"/>
          <w:szCs w:val="30"/>
          <w:lang w:val="en-US" w:eastAsia="zh-CN"/>
        </w:rPr>
        <w:t>2、人员情况</w:t>
      </w:r>
    </w:p>
    <w:p>
      <w:pPr>
        <w:ind w:firstLine="600" w:firstLineChars="200"/>
        <w:rPr>
          <w:rFonts w:hint="eastAsia" w:ascii="宋体" w:hAnsi="宋体" w:eastAsia="宋体" w:cs="宋体"/>
          <w:color w:val="000000"/>
          <w:kern w:val="2"/>
          <w:sz w:val="32"/>
          <w:szCs w:val="32"/>
        </w:rPr>
      </w:pPr>
      <w:r>
        <w:rPr>
          <w:rFonts w:hint="eastAsia" w:ascii="仿宋_GB2312" w:hAnsi="宋体"/>
          <w:sz w:val="30"/>
          <w:szCs w:val="30"/>
          <w:lang w:val="en-US" w:eastAsia="zh-CN"/>
        </w:rPr>
        <w:t>2021年本单位年末行人员编制情况：</w:t>
      </w:r>
      <w:r>
        <w:rPr>
          <w:rFonts w:hint="eastAsia" w:ascii="宋体" w:hAnsi="宋体" w:eastAsia="宋体" w:cs="宋体"/>
          <w:color w:val="000000"/>
          <w:kern w:val="2"/>
          <w:sz w:val="32"/>
          <w:szCs w:val="32"/>
        </w:rPr>
        <w:t>本部门共有编制人数52人，实有人数196人。</w:t>
      </w:r>
    </w:p>
    <w:p>
      <w:pPr>
        <w:ind w:firstLine="600" w:firstLineChars="200"/>
        <w:rPr>
          <w:rFonts w:hint="eastAsia" w:ascii="仿宋_GB2312" w:hAnsi="宋体"/>
          <w:sz w:val="30"/>
          <w:szCs w:val="30"/>
          <w:lang w:val="en-US" w:eastAsia="zh-CN"/>
        </w:rPr>
      </w:pPr>
      <w:bookmarkStart w:id="0" w:name="_GoBack"/>
      <w:bookmarkEnd w:id="0"/>
      <w:r>
        <w:rPr>
          <w:rFonts w:hint="eastAsia" w:ascii="仿宋_GB2312" w:hAnsi="宋体"/>
          <w:sz w:val="30"/>
          <w:szCs w:val="30"/>
          <w:lang w:val="en-US" w:eastAsia="zh-CN"/>
        </w:rPr>
        <w:t>（二）项目预算和绩效目标情况简介</w:t>
      </w:r>
    </w:p>
    <w:p>
      <w:pPr>
        <w:pStyle w:val="3"/>
        <w:widowControl w:val="0"/>
        <w:numPr>
          <w:ilvl w:val="0"/>
          <w:numId w:val="0"/>
        </w:numPr>
        <w:spacing w:after="120"/>
        <w:ind w:firstLine="600" w:firstLineChars="200"/>
        <w:jc w:val="both"/>
        <w:rPr>
          <w:rFonts w:hint="default" w:eastAsia="宋体" w:cs="Calibri" w:asciiTheme="minorEastAsia" w:hAnsiTheme="minorEastAsia"/>
          <w:color w:val="000000"/>
          <w:kern w:val="0"/>
          <w:sz w:val="30"/>
          <w:szCs w:val="30"/>
          <w:lang w:val="en-US" w:eastAsia="zh-CN" w:bidi="ar-SA"/>
        </w:rPr>
      </w:pPr>
      <w:r>
        <w:rPr>
          <w:rFonts w:hint="eastAsia" w:eastAsia="宋体" w:cs="Calibri" w:asciiTheme="minorEastAsia" w:hAnsiTheme="minorEastAsia"/>
          <w:color w:val="000000"/>
          <w:kern w:val="0"/>
          <w:sz w:val="30"/>
          <w:szCs w:val="30"/>
          <w:lang w:val="en-US" w:eastAsia="zh-CN" w:bidi="ar-SA"/>
        </w:rPr>
        <w:t>2021年度我</w:t>
      </w:r>
      <w:r>
        <w:rPr>
          <w:rFonts w:hint="eastAsia" w:cs="Calibri" w:asciiTheme="minorEastAsia" w:hAnsiTheme="minorEastAsia"/>
          <w:color w:val="000000"/>
          <w:kern w:val="0"/>
          <w:sz w:val="30"/>
          <w:szCs w:val="30"/>
          <w:lang w:val="en-US" w:eastAsia="zh-CN" w:bidi="ar-SA"/>
        </w:rPr>
        <w:t>街道</w:t>
      </w:r>
      <w:r>
        <w:rPr>
          <w:rFonts w:hint="eastAsia" w:eastAsia="宋体" w:cs="Calibri" w:asciiTheme="minorEastAsia" w:hAnsiTheme="minorEastAsia"/>
          <w:color w:val="000000"/>
          <w:kern w:val="0"/>
          <w:sz w:val="30"/>
          <w:szCs w:val="30"/>
          <w:lang w:val="en-US" w:eastAsia="zh-CN" w:bidi="ar-SA"/>
        </w:rPr>
        <w:t>项目支出259.09万元，主要包括：金融集资矛盾处置等工作经费209.09万元、税收事务50万元。</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00" w:firstLineChars="200"/>
      </w:pPr>
      <w:r>
        <w:rPr>
          <w:rFonts w:hint="eastAsia" w:asciiTheme="minorEastAsia" w:hAnsiTheme="minorEastAsia"/>
          <w:color w:val="000000"/>
          <w:kern w:val="0"/>
          <w:sz w:val="30"/>
          <w:szCs w:val="30"/>
        </w:rPr>
        <w:t>我街道严格按照财务制度，规范各项经费的开支，根据项目支出的性质、范围、用途，坚持专款专用，严禁挤占挪用。我办事处申报的专项均从</w:t>
      </w: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年初计划实施，并于</w:t>
      </w:r>
      <w:r>
        <w:rPr>
          <w:rFonts w:hint="eastAsia" w:asciiTheme="minorEastAsia" w:hAnsiTheme="minorEastAsia"/>
          <w:color w:val="000000"/>
          <w:kern w:val="0"/>
          <w:sz w:val="30"/>
          <w:szCs w:val="30"/>
          <w:lang w:val="en-US" w:eastAsia="zh-CN"/>
        </w:rPr>
        <w:t>2021</w:t>
      </w:r>
      <w:r>
        <w:rPr>
          <w:rFonts w:hint="eastAsia" w:asciiTheme="minorEastAsia" w:hAnsiTheme="minorEastAsia"/>
          <w:color w:val="000000"/>
          <w:kern w:val="0"/>
          <w:sz w:val="30"/>
          <w:szCs w:val="30"/>
        </w:rPr>
        <w:t>年底前完成年度绩效目标。</w:t>
      </w:r>
    </w:p>
    <w:p>
      <w:pPr>
        <w:spacing w:line="620" w:lineRule="exact"/>
        <w:ind w:firstLine="640" w:firstLineChars="200"/>
        <w:rPr>
          <w:rFonts w:hint="default" w:ascii="黑体" w:eastAsia="黑体"/>
          <w:color w:val="000000"/>
          <w:kern w:val="0"/>
          <w:sz w:val="32"/>
          <w:szCs w:val="32"/>
          <w:lang w:val="en-US" w:eastAsia="zh-CN"/>
        </w:rPr>
      </w:pPr>
      <w:r>
        <w:rPr>
          <w:rFonts w:hint="eastAsia" w:ascii="黑体" w:eastAsia="黑体"/>
          <w:color w:val="000000"/>
          <w:kern w:val="0"/>
          <w:sz w:val="32"/>
          <w:szCs w:val="32"/>
        </w:rPr>
        <w:t>三、项目资金使用及管理情况</w:t>
      </w:r>
      <w:r>
        <w:rPr>
          <w:rFonts w:hint="eastAsia" w:ascii="黑体" w:eastAsia="黑体"/>
          <w:color w:val="000000"/>
          <w:kern w:val="0"/>
          <w:sz w:val="32"/>
          <w:szCs w:val="32"/>
          <w:lang w:val="en-US" w:eastAsia="zh-CN"/>
        </w:rPr>
        <w:t xml:space="preserve">                                                                                                                                                                                                                                        </w:t>
      </w:r>
    </w:p>
    <w:p>
      <w:pPr>
        <w:spacing w:line="62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rPr>
        <w:t>（一）项目资金分步逐项落实，做到专款专用，总投入为</w:t>
      </w:r>
      <w:r>
        <w:rPr>
          <w:rFonts w:hint="eastAsia" w:asciiTheme="minorEastAsia" w:hAnsiTheme="minorEastAsia"/>
          <w:color w:val="000000"/>
          <w:kern w:val="0"/>
          <w:sz w:val="30"/>
          <w:szCs w:val="30"/>
          <w:lang w:val="en-US" w:eastAsia="zh-CN"/>
        </w:rPr>
        <w:t>259.09</w:t>
      </w:r>
      <w:r>
        <w:rPr>
          <w:rFonts w:hint="eastAsia" w:asciiTheme="minorEastAsia" w:hAnsiTheme="minorEastAsia"/>
          <w:color w:val="000000"/>
          <w:kern w:val="0"/>
          <w:sz w:val="30"/>
          <w:szCs w:val="30"/>
        </w:rPr>
        <w:t>万元。其中：</w:t>
      </w:r>
      <w:r>
        <w:rPr>
          <w:rFonts w:hint="eastAsia" w:asciiTheme="minorEastAsia" w:hAnsiTheme="minorEastAsia"/>
          <w:color w:val="000000"/>
          <w:kern w:val="0"/>
          <w:sz w:val="30"/>
          <w:szCs w:val="30"/>
          <w:lang w:val="en-US" w:eastAsia="zh-CN"/>
        </w:rPr>
        <w:t>金融集资矛盾处置等工作经费209.09万元、税收事务50万元。</w:t>
      </w:r>
    </w:p>
    <w:p>
      <w:pPr>
        <w:spacing w:line="620" w:lineRule="exact"/>
        <w:ind w:firstLine="600" w:firstLineChars="200"/>
        <w:rPr>
          <w:rFonts w:hint="eastAsia" w:asciiTheme="minorEastAsia" w:hAnsiTheme="minorEastAsia"/>
          <w:color w:val="000000"/>
          <w:kern w:val="0"/>
          <w:sz w:val="30"/>
          <w:szCs w:val="30"/>
        </w:rPr>
      </w:pPr>
      <w:r>
        <w:rPr>
          <w:rFonts w:hint="eastAsia" w:asciiTheme="minorEastAsia" w:hAnsiTheme="minorEastAsia"/>
          <w:color w:val="000000"/>
          <w:kern w:val="0"/>
          <w:sz w:val="30"/>
          <w:szCs w:val="30"/>
          <w:lang w:eastAsia="zh-CN"/>
        </w:rPr>
        <w:t>（二）</w:t>
      </w:r>
      <w:r>
        <w:rPr>
          <w:rFonts w:hint="eastAsia" w:asciiTheme="minorEastAsia" w:hAnsiTheme="minorEastAsia"/>
          <w:color w:val="000000"/>
          <w:kern w:val="0"/>
          <w:sz w:val="30"/>
          <w:szCs w:val="30"/>
        </w:rPr>
        <w:t>项目资金按年度工作目标做好各专项资金使用计划，已全部执行到位。</w:t>
      </w:r>
    </w:p>
    <w:p>
      <w:pPr>
        <w:spacing w:line="620" w:lineRule="exact"/>
        <w:ind w:firstLine="600" w:firstLineChars="200"/>
      </w:pPr>
      <w:r>
        <w:rPr>
          <w:rFonts w:hint="eastAsia" w:asciiTheme="minorEastAsia" w:hAnsiTheme="minorEastAsia"/>
          <w:color w:val="000000"/>
          <w:kern w:val="0"/>
          <w:sz w:val="30"/>
          <w:szCs w:val="30"/>
        </w:rPr>
        <w:t>（三）项目资金管理严格遵守相关管理制度、办法执行，以发挥专项资金的最大效益。</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（一）项目经济性分析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）项目成本（预算）控制情况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本办事处</w:t>
      </w:r>
      <w:r>
        <w:rPr>
          <w:rFonts w:hint="eastAsia" w:asciiTheme="minorEastAsia" w:hAnsiTheme="minorEastAsia"/>
          <w:color w:val="000000"/>
          <w:kern w:val="0"/>
          <w:sz w:val="30"/>
          <w:szCs w:val="30"/>
          <w:lang w:eastAsia="zh-CN"/>
        </w:rPr>
        <w:t>两</w:t>
      </w:r>
      <w:r>
        <w:rPr>
          <w:rFonts w:hint="eastAsia" w:asciiTheme="minorEastAsia" w:hAnsiTheme="minorEastAsia"/>
          <w:color w:val="000000"/>
          <w:kern w:val="0"/>
          <w:sz w:val="30"/>
          <w:szCs w:val="30"/>
        </w:rPr>
        <w:t>个项目预算</w:t>
      </w:r>
      <w:r>
        <w:rPr>
          <w:rFonts w:hint="eastAsia" w:asciiTheme="minorEastAsia" w:hAnsiTheme="minorEastAsia"/>
          <w:color w:val="000000"/>
          <w:kern w:val="0"/>
          <w:sz w:val="30"/>
          <w:szCs w:val="30"/>
          <w:lang w:val="en-US" w:eastAsia="zh-CN"/>
        </w:rPr>
        <w:t>259.09</w:t>
      </w:r>
      <w:r>
        <w:rPr>
          <w:rFonts w:hint="eastAsia" w:asciiTheme="minorEastAsia" w:hAnsiTheme="minorEastAsia"/>
          <w:color w:val="000000"/>
          <w:kern w:val="0"/>
          <w:sz w:val="30"/>
          <w:szCs w:val="30"/>
        </w:rPr>
        <w:t>万元，没有增加经费，预算控制为零。</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2</w:t>
      </w:r>
      <w:r>
        <w:rPr>
          <w:rFonts w:hint="eastAsia" w:asciiTheme="minorEastAsia" w:hAnsiTheme="minorEastAsia"/>
          <w:color w:val="000000"/>
          <w:kern w:val="0"/>
          <w:sz w:val="30"/>
          <w:szCs w:val="30"/>
        </w:rPr>
        <w:t>）项目成本（预算）节约情况</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lang w:eastAsia="zh-CN"/>
        </w:rPr>
        <w:t>两个</w:t>
      </w:r>
      <w:r>
        <w:rPr>
          <w:rFonts w:hint="eastAsia" w:asciiTheme="minorEastAsia" w:hAnsiTheme="minorEastAsia"/>
          <w:color w:val="000000"/>
          <w:kern w:val="0"/>
          <w:sz w:val="30"/>
          <w:szCs w:val="30"/>
        </w:rPr>
        <w:t>项目本着节约的原则，没有增加任何经费。</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（二）项目的效率性分析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1</w:t>
      </w:r>
      <w:r>
        <w:rPr>
          <w:rFonts w:hint="eastAsia" w:asciiTheme="minorEastAsia" w:hAnsiTheme="minorEastAsia"/>
          <w:color w:val="000000"/>
          <w:kern w:val="0"/>
          <w:sz w:val="30"/>
          <w:szCs w:val="30"/>
        </w:rPr>
        <w:t>）项目的实施进度按照计划进行。</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w:t>
      </w:r>
      <w:r>
        <w:rPr>
          <w:rFonts w:asciiTheme="minorEastAsia" w:hAnsiTheme="minorEastAsia"/>
          <w:color w:val="000000"/>
          <w:kern w:val="0"/>
          <w:sz w:val="30"/>
          <w:szCs w:val="30"/>
        </w:rPr>
        <w:t>2</w:t>
      </w:r>
      <w:r>
        <w:rPr>
          <w:rFonts w:hint="eastAsia" w:asciiTheme="minorEastAsia" w:hAnsiTheme="minorEastAsia"/>
          <w:color w:val="000000"/>
          <w:kern w:val="0"/>
          <w:sz w:val="30"/>
          <w:szCs w:val="30"/>
        </w:rPr>
        <w:t>）项目的完成质量达到预期。</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（三）项目的有效性分析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专项（项目）组织主要用于加强办事处管理，加强纪检工作监督，改善办事处面貌，提升乡镇品味，推进办事处管理工作规范化、科学化、精细化、制度化。</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（四）项目的可持续性分析</w:t>
      </w:r>
    </w:p>
    <w:p>
      <w:pPr>
        <w:spacing w:line="620" w:lineRule="exact"/>
        <w:ind w:firstLine="600" w:firstLineChars="200"/>
        <w:rPr>
          <w:rFonts w:asciiTheme="minorEastAsia" w:hAnsiTheme="minorEastAsia"/>
          <w:color w:val="000000"/>
          <w:kern w:val="0"/>
          <w:sz w:val="30"/>
          <w:szCs w:val="30"/>
        </w:rPr>
      </w:pPr>
      <w:r>
        <w:rPr>
          <w:rFonts w:hint="eastAsia" w:asciiTheme="minorEastAsia" w:hAnsiTheme="minorEastAsia"/>
          <w:color w:val="000000"/>
          <w:kern w:val="0"/>
          <w:sz w:val="30"/>
          <w:szCs w:val="30"/>
        </w:rPr>
        <w:t>按年度工作目标做好各专项资金使用计划，分步逐项落实，做到专款专用，厉行节约，按时支付，发挥专项资金的最大效益。</w:t>
      </w:r>
    </w:p>
    <w:p>
      <w:pPr>
        <w:numPr>
          <w:ilvl w:val="0"/>
          <w:numId w:val="1"/>
        </w:numPr>
        <w:spacing w:line="540" w:lineRule="exact"/>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绩效目标未完成原因和下一步改进措施</w:t>
      </w:r>
    </w:p>
    <w:p>
      <w:pPr>
        <w:pStyle w:val="2"/>
        <w:ind w:firstLine="600" w:firstLineChars="200"/>
      </w:pPr>
      <w:r>
        <w:rPr>
          <w:rFonts w:hint="eastAsia" w:eastAsia="宋体" w:cs="Calibri" w:asciiTheme="minorEastAsia" w:hAnsiTheme="minorEastAsia"/>
          <w:color w:val="000000"/>
          <w:kern w:val="0"/>
          <w:sz w:val="30"/>
          <w:szCs w:val="30"/>
          <w:lang w:val="en-US" w:eastAsia="zh-CN" w:bidi="ar-SA"/>
        </w:rPr>
        <w:t>无</w:t>
      </w:r>
    </w:p>
    <w:p>
      <w:pPr>
        <w:numPr>
          <w:ilvl w:val="0"/>
          <w:numId w:val="1"/>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绩效自评得分等级结果及拟应用和公开情况</w:t>
      </w:r>
    </w:p>
    <w:p>
      <w:pPr>
        <w:spacing w:line="540" w:lineRule="exact"/>
        <w:ind w:firstLine="600" w:firstLineChars="200"/>
      </w:pPr>
      <w:r>
        <w:rPr>
          <w:rFonts w:hint="eastAsia" w:cs="黑体" w:asciiTheme="minorEastAsia" w:hAnsiTheme="minorEastAsia"/>
          <w:bCs/>
          <w:sz w:val="30"/>
          <w:szCs w:val="30"/>
        </w:rPr>
        <w:t>项目资金严格按照财务管理规定执行，大部分下拨及时，使用科目合理，程序合法，确保了项目的顺利完成。本项目综合考评得分为</w:t>
      </w:r>
      <w:r>
        <w:rPr>
          <w:rFonts w:hint="eastAsia" w:cs="黑体" w:asciiTheme="minorEastAsia" w:hAnsiTheme="minorEastAsia"/>
          <w:bCs/>
          <w:sz w:val="30"/>
          <w:szCs w:val="30"/>
          <w:lang w:val="en-US" w:eastAsia="zh-CN"/>
        </w:rPr>
        <w:t>97</w:t>
      </w:r>
      <w:r>
        <w:rPr>
          <w:rFonts w:hint="eastAsia" w:cs="黑体" w:asciiTheme="minorEastAsia" w:hAnsiTheme="minorEastAsia"/>
          <w:bCs/>
          <w:sz w:val="30"/>
          <w:szCs w:val="30"/>
        </w:rPr>
        <w:t>分，评价等级确定为优。</w:t>
      </w:r>
    </w:p>
    <w:p>
      <w:pPr>
        <w:numPr>
          <w:ilvl w:val="0"/>
          <w:numId w:val="1"/>
        </w:numPr>
        <w:spacing w:line="620" w:lineRule="exact"/>
        <w:ind w:left="0" w:leftChars="0" w:firstLine="643" w:firstLineChars="200"/>
        <w:rPr>
          <w:rFonts w:hint="eastAsia" w:ascii="黑体" w:hAnsi="黑体" w:eastAsia="黑体" w:cs="黑体"/>
          <w:b/>
          <w:bCs/>
          <w:color w:val="000000"/>
          <w:kern w:val="0"/>
          <w:sz w:val="32"/>
          <w:szCs w:val="32"/>
        </w:rPr>
      </w:pPr>
      <w:r>
        <w:rPr>
          <w:rFonts w:hint="eastAsia" w:ascii="黑体" w:hAnsi="黑体" w:eastAsia="黑体" w:cs="黑体"/>
          <w:b/>
          <w:bCs/>
          <w:sz w:val="32"/>
          <w:szCs w:val="32"/>
        </w:rPr>
        <w:t>绩效自评工作的经验、问题和建议。</w:t>
      </w:r>
      <w:r>
        <w:rPr>
          <w:rFonts w:hint="eastAsia" w:ascii="黑体" w:hAnsi="黑体" w:eastAsia="黑体" w:cs="黑体"/>
          <w:b/>
          <w:bCs/>
          <w:color w:val="000000"/>
          <w:kern w:val="0"/>
          <w:sz w:val="32"/>
          <w:szCs w:val="32"/>
        </w:rPr>
        <w:t>主要包括资金安排、使用过程中的经验、做法、存在的问题、改进措施和有关建议等。</w:t>
      </w:r>
    </w:p>
    <w:p>
      <w:pPr>
        <w:spacing w:line="540" w:lineRule="exact"/>
        <w:ind w:firstLine="600" w:firstLineChars="200"/>
        <w:rPr>
          <w:rFonts w:hint="eastAsia" w:cs="黑体" w:asciiTheme="minorEastAsia" w:hAnsiTheme="minorEastAsia"/>
          <w:bCs/>
          <w:sz w:val="30"/>
          <w:szCs w:val="30"/>
        </w:rPr>
      </w:pPr>
      <w:r>
        <w:rPr>
          <w:rFonts w:hint="eastAsia" w:cs="黑体" w:asciiTheme="minorEastAsia" w:hAnsiTheme="minorEastAsia"/>
          <w:bCs/>
          <w:sz w:val="30"/>
          <w:szCs w:val="30"/>
        </w:rPr>
        <w:t>（一）经验：开展项目绩效评价是推进项目绩效管理的重要举措，增强项目管理和执行刚性；</w:t>
      </w:r>
    </w:p>
    <w:p>
      <w:pPr>
        <w:spacing w:line="540" w:lineRule="exact"/>
        <w:ind w:firstLine="600" w:firstLineChars="200"/>
        <w:rPr>
          <w:rFonts w:hint="eastAsia" w:cs="黑体" w:asciiTheme="minorEastAsia" w:hAnsiTheme="minorEastAsia"/>
          <w:bCs/>
          <w:sz w:val="30"/>
          <w:szCs w:val="30"/>
        </w:rPr>
      </w:pPr>
      <w:r>
        <w:rPr>
          <w:rFonts w:hint="eastAsia" w:cs="黑体" w:asciiTheme="minorEastAsia" w:hAnsiTheme="minorEastAsia"/>
          <w:bCs/>
          <w:sz w:val="30"/>
          <w:szCs w:val="30"/>
        </w:rPr>
        <w:t>（二）问题：绩效评价的评价标准设计有待区别加强，特别是非基建业务，很多工作是无形的，难以评价；</w:t>
      </w:r>
    </w:p>
    <w:p>
      <w:pPr>
        <w:spacing w:line="540" w:lineRule="exact"/>
        <w:ind w:firstLine="600" w:firstLineChars="200"/>
        <w:rPr>
          <w:rFonts w:hint="eastAsia" w:cs="黑体" w:asciiTheme="minorEastAsia" w:hAnsiTheme="minorEastAsia"/>
          <w:bCs/>
          <w:sz w:val="30"/>
          <w:szCs w:val="30"/>
        </w:rPr>
      </w:pPr>
      <w:r>
        <w:rPr>
          <w:rFonts w:hint="eastAsia" w:cs="黑体" w:asciiTheme="minorEastAsia" w:hAnsiTheme="minorEastAsia"/>
          <w:bCs/>
          <w:sz w:val="30"/>
          <w:szCs w:val="30"/>
        </w:rPr>
        <w:t>（三）建议：多加强项目绩效评价培训工作，组织一次业务骨干人员到名校业务培训。</w:t>
      </w:r>
    </w:p>
    <w:p>
      <w:pPr>
        <w:pStyle w:val="2"/>
        <w:numPr>
          <w:ilvl w:val="0"/>
          <w:numId w:val="0"/>
        </w:numPr>
        <w:ind w:leftChars="200"/>
      </w:pPr>
    </w:p>
    <w:p>
      <w:pPr>
        <w:numPr>
          <w:ilvl w:val="0"/>
          <w:numId w:val="1"/>
        </w:numPr>
        <w:spacing w:line="540" w:lineRule="exact"/>
        <w:ind w:left="0" w:leftChars="0" w:firstLine="643" w:firstLineChars="200"/>
        <w:rPr>
          <w:rFonts w:hint="eastAsia" w:ascii="黑体" w:hAnsi="黑体" w:eastAsia="黑体" w:cs="黑体"/>
          <w:b/>
          <w:bCs/>
          <w:sz w:val="32"/>
          <w:szCs w:val="32"/>
        </w:rPr>
      </w:pPr>
      <w:r>
        <w:rPr>
          <w:rFonts w:hint="eastAsia" w:ascii="黑体" w:hAnsi="黑体" w:eastAsia="黑体" w:cs="黑体"/>
          <w:b/>
          <w:bCs/>
          <w:sz w:val="32"/>
          <w:szCs w:val="32"/>
        </w:rPr>
        <w:t>其他需说明的问题。</w:t>
      </w:r>
    </w:p>
    <w:p>
      <w:pPr>
        <w:pStyle w:val="2"/>
        <w:numPr>
          <w:ilvl w:val="0"/>
          <w:numId w:val="0"/>
        </w:numPr>
        <w:ind w:leftChars="200" w:firstLine="300" w:firstLineChars="100"/>
        <w:rPr>
          <w:rFonts w:hint="eastAsia" w:eastAsia="宋体" w:cs="黑体" w:asciiTheme="minorEastAsia" w:hAnsiTheme="minorEastAsia"/>
          <w:bCs/>
          <w:kern w:val="2"/>
          <w:sz w:val="30"/>
          <w:szCs w:val="30"/>
          <w:lang w:val="en-US" w:eastAsia="zh-CN" w:bidi="ar-SA"/>
        </w:rPr>
      </w:pPr>
      <w:r>
        <w:rPr>
          <w:rFonts w:hint="eastAsia" w:eastAsia="宋体" w:cs="黑体" w:asciiTheme="minorEastAsia" w:hAnsiTheme="minorEastAsia"/>
          <w:bCs/>
          <w:kern w:val="2"/>
          <w:sz w:val="30"/>
          <w:szCs w:val="30"/>
          <w:lang w:val="en-US" w:eastAsia="zh-CN" w:bidi="ar-SA"/>
        </w:rPr>
        <w:t>无</w:t>
      </w:r>
    </w:p>
    <w:p>
      <w:pPr>
        <w:spacing w:line="540" w:lineRule="exact"/>
        <w:ind w:firstLine="640" w:firstLineChars="200"/>
        <w:rPr>
          <w:rFonts w:ascii="黑体" w:hAnsi="黑体" w:eastAsia="黑体" w:cs="黑体"/>
          <w:bCs/>
          <w:sz w:val="32"/>
          <w:szCs w:val="32"/>
        </w:rPr>
      </w:pPr>
    </w:p>
    <w:p>
      <w:pPr>
        <w:spacing w:line="560" w:lineRule="exact"/>
        <w:rPr>
          <w:kern w:val="0"/>
        </w:rPr>
      </w:pPr>
    </w:p>
    <w:p>
      <w:pPr>
        <w:spacing w:line="560" w:lineRule="exact"/>
        <w:rPr>
          <w:kern w:val="0"/>
        </w:rPr>
      </w:pPr>
    </w:p>
    <w:p>
      <w:pPr>
        <w:spacing w:line="560" w:lineRule="exact"/>
        <w:rPr>
          <w:kern w:val="0"/>
        </w:rPr>
      </w:pPr>
    </w:p>
    <w:p>
      <w:pPr>
        <w:pStyle w:val="3"/>
        <w:rPr>
          <w:kern w:val="0"/>
        </w:rPr>
      </w:pPr>
    </w:p>
    <w:p>
      <w:pPr>
        <w:pStyle w:val="3"/>
        <w:rPr>
          <w:kern w:val="0"/>
        </w:rPr>
      </w:pPr>
    </w:p>
    <w:p>
      <w:pPr>
        <w:pStyle w:val="3"/>
        <w:rPr>
          <w:kern w:val="0"/>
        </w:rPr>
      </w:pPr>
    </w:p>
    <w:p>
      <w:pPr>
        <w:pStyle w:val="3"/>
        <w:rPr>
          <w:kern w:val="0"/>
        </w:rPr>
      </w:pPr>
    </w:p>
    <w:p>
      <w:pPr>
        <w:spacing w:line="560" w:lineRule="exact"/>
        <w:rPr>
          <w:kern w:val="0"/>
        </w:rPr>
      </w:pPr>
    </w:p>
    <w:p>
      <w:pPr>
        <w:spacing w:line="560" w:lineRule="exact"/>
        <w:rPr>
          <w:kern w:val="0"/>
        </w:rPr>
      </w:pPr>
    </w:p>
    <w:p>
      <w:pPr>
        <w:widowControl/>
        <w:spacing w:line="560" w:lineRule="exact"/>
        <w:rPr>
          <w:rFonts w:ascii="仿宋_GB2312" w:hAnsi="仿宋_GB2312" w:eastAsia="仿宋_GB2312" w:cs="仿宋_GB2312"/>
          <w:sz w:val="32"/>
          <w:szCs w:val="32"/>
        </w:rPr>
      </w:pP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7"/>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3.5</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default" w:ascii="宋体" w:eastAsia="宋体"/>
                <w:color w:val="000000"/>
                <w:kern w:val="0"/>
                <w:sz w:val="24"/>
                <w:lang w:val="en-US" w:eastAsia="zh-CN"/>
              </w:rPr>
            </w:pPr>
            <w:r>
              <w:rPr>
                <w:rFonts w:hint="eastAsia" w:ascii="宋体"/>
                <w:color w:val="000000"/>
                <w:kern w:val="0"/>
                <w:sz w:val="24"/>
                <w:lang w:val="en-US" w:eastAsia="zh-CN"/>
              </w:rPr>
              <w:t>3.5</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7.5</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default" w:ascii="宋体" w:eastAsia="宋体"/>
                <w:color w:val="000000"/>
                <w:kern w:val="0"/>
                <w:sz w:val="24"/>
                <w:lang w:val="en-US" w:eastAsia="zh-CN"/>
              </w:rPr>
            </w:pPr>
            <w:r>
              <w:rPr>
                <w:rFonts w:hint="eastAsia" w:ascii="宋体"/>
                <w:color w:val="000000"/>
                <w:kern w:val="0"/>
                <w:sz w:val="24"/>
                <w:lang w:val="en-US" w:eastAsia="zh-CN"/>
              </w:rPr>
              <w:t>7.5</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6</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24"/>
                <w:lang w:val="en-US" w:eastAsia="zh-CN"/>
              </w:rPr>
            </w:pPr>
            <w:r>
              <w:rPr>
                <w:rFonts w:hint="eastAsia" w:ascii="宋体"/>
                <w:color w:val="000000"/>
                <w:kern w:val="0"/>
                <w:sz w:val="24"/>
                <w:lang w:val="en-US" w:eastAsia="zh-CN"/>
              </w:rPr>
              <w:t>97</w:t>
            </w:r>
          </w:p>
        </w:tc>
      </w:tr>
    </w:tbl>
    <w:p>
      <w:pPr>
        <w:spacing w:line="240" w:lineRule="auto"/>
        <w:ind w:right="0"/>
        <w:rPr>
          <w:rFonts w:ascii="仿宋" w:hAnsi="仿宋" w:eastAsia="仿宋" w:cs="Times New Roman"/>
        </w:rPr>
      </w:pPr>
      <w:r>
        <w:rPr>
          <w:rFonts w:ascii="仿宋_GB2312" w:eastAsia="仿宋_GB2312"/>
          <w:color w:val="000000"/>
          <w:sz w:val="32"/>
        </w:rPr>
        <w:br w:type="page"/>
      </w: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9FB295"/>
    <w:multiLevelType w:val="singleLevel"/>
    <w:tmpl w:val="2F9FB295"/>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zM4ZTIzODQ2ZmM1MmVlNDc2YTU3Zjc3MzgxNGIyYzY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C5691F"/>
    <w:rsid w:val="00D72963"/>
    <w:rsid w:val="00E410D0"/>
    <w:rsid w:val="00EC6119"/>
    <w:rsid w:val="00F17319"/>
    <w:rsid w:val="01540DA8"/>
    <w:rsid w:val="03AE7CEF"/>
    <w:rsid w:val="03AF1619"/>
    <w:rsid w:val="051D30EA"/>
    <w:rsid w:val="0665530D"/>
    <w:rsid w:val="06AC0092"/>
    <w:rsid w:val="07CE4C09"/>
    <w:rsid w:val="09C31645"/>
    <w:rsid w:val="0A193011"/>
    <w:rsid w:val="0B490D25"/>
    <w:rsid w:val="0C1D6C41"/>
    <w:rsid w:val="0D3419B4"/>
    <w:rsid w:val="0DC650AE"/>
    <w:rsid w:val="104A59B1"/>
    <w:rsid w:val="108A2FEB"/>
    <w:rsid w:val="109D248C"/>
    <w:rsid w:val="114C59C8"/>
    <w:rsid w:val="12426120"/>
    <w:rsid w:val="12840FF1"/>
    <w:rsid w:val="14996F59"/>
    <w:rsid w:val="14A8424C"/>
    <w:rsid w:val="17E31494"/>
    <w:rsid w:val="17F71488"/>
    <w:rsid w:val="18550589"/>
    <w:rsid w:val="185D692E"/>
    <w:rsid w:val="198F6483"/>
    <w:rsid w:val="19DD25E4"/>
    <w:rsid w:val="1A304F0B"/>
    <w:rsid w:val="1C7C6CF9"/>
    <w:rsid w:val="1D5132B3"/>
    <w:rsid w:val="1D5947C2"/>
    <w:rsid w:val="1D6B0BB6"/>
    <w:rsid w:val="21D267A7"/>
    <w:rsid w:val="22D740B8"/>
    <w:rsid w:val="22E90356"/>
    <w:rsid w:val="23243032"/>
    <w:rsid w:val="23943EF5"/>
    <w:rsid w:val="240B63D5"/>
    <w:rsid w:val="24793C83"/>
    <w:rsid w:val="258018C0"/>
    <w:rsid w:val="259D3570"/>
    <w:rsid w:val="2659509A"/>
    <w:rsid w:val="26B11A3A"/>
    <w:rsid w:val="2791110F"/>
    <w:rsid w:val="29EC32BE"/>
    <w:rsid w:val="2C1710C9"/>
    <w:rsid w:val="2CC93BBF"/>
    <w:rsid w:val="2E3511A9"/>
    <w:rsid w:val="2F4B29B9"/>
    <w:rsid w:val="3417744D"/>
    <w:rsid w:val="349C4AAB"/>
    <w:rsid w:val="357B7AED"/>
    <w:rsid w:val="357D6C30"/>
    <w:rsid w:val="358D7AC9"/>
    <w:rsid w:val="36F764EF"/>
    <w:rsid w:val="374E666C"/>
    <w:rsid w:val="37EB5A18"/>
    <w:rsid w:val="3825424B"/>
    <w:rsid w:val="385B3896"/>
    <w:rsid w:val="39D864CC"/>
    <w:rsid w:val="3AAB44BD"/>
    <w:rsid w:val="3B900107"/>
    <w:rsid w:val="3BE06DF3"/>
    <w:rsid w:val="3D404441"/>
    <w:rsid w:val="3DC46684"/>
    <w:rsid w:val="3E493596"/>
    <w:rsid w:val="3F880CCF"/>
    <w:rsid w:val="402A3780"/>
    <w:rsid w:val="404F0CAC"/>
    <w:rsid w:val="418B0C90"/>
    <w:rsid w:val="42277FF1"/>
    <w:rsid w:val="44966123"/>
    <w:rsid w:val="459B564D"/>
    <w:rsid w:val="47264D1B"/>
    <w:rsid w:val="47D827AB"/>
    <w:rsid w:val="48035DFE"/>
    <w:rsid w:val="48A759E8"/>
    <w:rsid w:val="4A820533"/>
    <w:rsid w:val="4B7F71D1"/>
    <w:rsid w:val="4B9879B3"/>
    <w:rsid w:val="4CF657D3"/>
    <w:rsid w:val="4E1F59D2"/>
    <w:rsid w:val="4F564F38"/>
    <w:rsid w:val="50EF391A"/>
    <w:rsid w:val="514209A3"/>
    <w:rsid w:val="51524FCA"/>
    <w:rsid w:val="52100AA2"/>
    <w:rsid w:val="529C32C6"/>
    <w:rsid w:val="53A73ADE"/>
    <w:rsid w:val="53F605A7"/>
    <w:rsid w:val="54040CEA"/>
    <w:rsid w:val="54D7618A"/>
    <w:rsid w:val="54FF0268"/>
    <w:rsid w:val="55C16D48"/>
    <w:rsid w:val="566468C9"/>
    <w:rsid w:val="58231176"/>
    <w:rsid w:val="588E0406"/>
    <w:rsid w:val="589D2CCD"/>
    <w:rsid w:val="595F096B"/>
    <w:rsid w:val="59793404"/>
    <w:rsid w:val="59D722C0"/>
    <w:rsid w:val="5AE64F25"/>
    <w:rsid w:val="5C531035"/>
    <w:rsid w:val="60CA73F0"/>
    <w:rsid w:val="620C7F2C"/>
    <w:rsid w:val="63FD4981"/>
    <w:rsid w:val="64BC353F"/>
    <w:rsid w:val="650931E7"/>
    <w:rsid w:val="6524032D"/>
    <w:rsid w:val="68532135"/>
    <w:rsid w:val="68C32CA2"/>
    <w:rsid w:val="6AC551EB"/>
    <w:rsid w:val="6B187AD2"/>
    <w:rsid w:val="6D03067C"/>
    <w:rsid w:val="6D1F6202"/>
    <w:rsid w:val="6D535020"/>
    <w:rsid w:val="6DC31AA8"/>
    <w:rsid w:val="6DF36BBE"/>
    <w:rsid w:val="6EDC1FE0"/>
    <w:rsid w:val="6F142EB4"/>
    <w:rsid w:val="6F816AC5"/>
    <w:rsid w:val="6FAB550E"/>
    <w:rsid w:val="6FEC6C62"/>
    <w:rsid w:val="70A55C94"/>
    <w:rsid w:val="71184DC4"/>
    <w:rsid w:val="71AE7FEB"/>
    <w:rsid w:val="71CD60AE"/>
    <w:rsid w:val="71F0545F"/>
    <w:rsid w:val="72CA214F"/>
    <w:rsid w:val="735D0D8C"/>
    <w:rsid w:val="739A5AFB"/>
    <w:rsid w:val="73C23E03"/>
    <w:rsid w:val="74DE4FB2"/>
    <w:rsid w:val="75871E6E"/>
    <w:rsid w:val="75940776"/>
    <w:rsid w:val="75AB21CA"/>
    <w:rsid w:val="75C076F3"/>
    <w:rsid w:val="776C2435"/>
    <w:rsid w:val="7777743F"/>
    <w:rsid w:val="785137E4"/>
    <w:rsid w:val="79274980"/>
    <w:rsid w:val="7A9462AD"/>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1"/>
    <w:qFormat/>
    <w:uiPriority w:val="99"/>
    <w:pPr>
      <w:widowControl/>
      <w:textAlignment w:val="baseline"/>
    </w:pPr>
    <w:rPr>
      <w:rFonts w:ascii="仿宋_GB2312" w:hAnsi="仿宋_GB2312"/>
    </w:rPr>
  </w:style>
  <w:style w:type="paragraph" w:styleId="3">
    <w:name w:val="Body Text"/>
    <w:basedOn w:val="1"/>
    <w:qFormat/>
    <w:locked/>
    <w:uiPriority w:val="0"/>
    <w:pPr>
      <w:spacing w:after="12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pPr>
      <w:spacing w:beforeAutospacing="1" w:afterAutospacing="1"/>
      <w:jc w:val="left"/>
    </w:pPr>
    <w:rPr>
      <w:kern w:val="0"/>
      <w:sz w:val="24"/>
      <w:szCs w:val="24"/>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99"/>
    <w:rPr>
      <w:color w:val="0000FF"/>
      <w:u w:val="single"/>
    </w:rPr>
  </w:style>
  <w:style w:type="character" w:customStyle="1" w:styleId="11">
    <w:name w:val="页脚 Char"/>
    <w:basedOn w:val="9"/>
    <w:link w:val="4"/>
    <w:semiHidden/>
    <w:qFormat/>
    <w:locked/>
    <w:uiPriority w:val="99"/>
    <w:rPr>
      <w:rFonts w:ascii="Calibri" w:hAnsi="Calibri" w:eastAsia="宋体" w:cs="Calibri"/>
      <w:sz w:val="18"/>
      <w:szCs w:val="18"/>
    </w:rPr>
  </w:style>
  <w:style w:type="character" w:customStyle="1" w:styleId="12">
    <w:name w:val="页眉 Char"/>
    <w:basedOn w:val="9"/>
    <w:link w:val="5"/>
    <w:semiHidden/>
    <w:qFormat/>
    <w:locked/>
    <w:uiPriority w:val="99"/>
    <w:rPr>
      <w:rFonts w:ascii="Calibri" w:hAnsi="Calibri" w:eastAsia="宋体" w:cs="Calibri"/>
      <w:sz w:val="18"/>
      <w:szCs w:val="18"/>
    </w:rPr>
  </w:style>
  <w:style w:type="paragraph" w:customStyle="1" w:styleId="13">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16</Pages>
  <Words>8195</Words>
  <Characters>8502</Characters>
  <Lines>59</Lines>
  <Paragraphs>16</Paragraphs>
  <TotalTime>0</TotalTime>
  <ScaleCrop>false</ScaleCrop>
  <LinksUpToDate>false</LinksUpToDate>
  <CharactersWithSpaces>9129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东来</cp:lastModifiedBy>
  <cp:lastPrinted>2022-08-15T07:38:00Z</cp:lastPrinted>
  <dcterms:modified xsi:type="dcterms:W3CDTF">2023-09-22T11:15:03Z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6D15349204EB47C29F6FB1574B111696</vt:lpwstr>
  </property>
</Properties>
</file>