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hAnsi="黑体" w:eastAsia="黑体" w:cs="黑体"/>
          <w:b/>
          <w:bCs/>
          <w:color w:val="000000" w:themeColor="text1"/>
          <w:sz w:val="36"/>
          <w:szCs w:val="36"/>
          <w:lang w:eastAsia="zh-CN"/>
          <w14:textFill>
            <w14:solidFill>
              <w14:schemeClr w14:val="tx1"/>
            </w14:solidFill>
          </w14:textFill>
        </w:rPr>
      </w:pPr>
      <w:r>
        <w:rPr>
          <w:rFonts w:hint="eastAsia" w:ascii="黑体" w:hAnsi="黑体" w:eastAsia="黑体" w:cs="黑体"/>
          <w:b/>
          <w:bCs/>
          <w:color w:val="000000" w:themeColor="text1"/>
          <w:sz w:val="36"/>
          <w:szCs w:val="36"/>
          <w:lang w:eastAsia="zh-CN"/>
          <w14:textFill>
            <w14:solidFill>
              <w14:schemeClr w14:val="tx1"/>
            </w14:solidFill>
          </w14:textFill>
        </w:rPr>
        <w:t>20</w:t>
      </w:r>
      <w:r>
        <w:rPr>
          <w:rFonts w:hint="eastAsia" w:ascii="黑体" w:hAnsi="黑体" w:eastAsia="黑体" w:cs="黑体"/>
          <w:b/>
          <w:bCs/>
          <w:color w:val="000000" w:themeColor="text1"/>
          <w:sz w:val="36"/>
          <w:szCs w:val="36"/>
          <w:lang w:val="en-US" w:eastAsia="zh-CN"/>
          <w14:textFill>
            <w14:solidFill>
              <w14:schemeClr w14:val="tx1"/>
            </w14:solidFill>
          </w14:textFill>
        </w:rPr>
        <w:t>21</w:t>
      </w:r>
      <w:r>
        <w:rPr>
          <w:rFonts w:hint="eastAsia" w:ascii="黑体" w:hAnsi="黑体" w:eastAsia="黑体" w:cs="黑体"/>
          <w:b/>
          <w:bCs/>
          <w:color w:val="000000" w:themeColor="text1"/>
          <w:sz w:val="36"/>
          <w:szCs w:val="36"/>
          <w:lang w:eastAsia="zh-CN"/>
          <w14:textFill>
            <w14:solidFill>
              <w14:schemeClr w14:val="tx1"/>
            </w14:solidFill>
          </w14:textFill>
        </w:rPr>
        <w:t>年度永州市生态环境局冷水滩分局</w:t>
      </w:r>
    </w:p>
    <w:p>
      <w:pPr>
        <w:widowControl/>
        <w:jc w:val="center"/>
        <w:rPr>
          <w:rFonts w:hint="eastAsia" w:ascii="黑体" w:hAnsi="黑体" w:eastAsia="黑体" w:cs="黑体"/>
          <w:b/>
          <w:bCs/>
          <w:color w:val="000000" w:themeColor="text1"/>
          <w:sz w:val="36"/>
          <w:szCs w:val="36"/>
          <w:lang w:eastAsia="zh-CN"/>
          <w14:textFill>
            <w14:solidFill>
              <w14:schemeClr w14:val="tx1"/>
            </w14:solidFill>
          </w14:textFill>
        </w:rPr>
      </w:pPr>
      <w:r>
        <w:rPr>
          <w:rFonts w:hint="eastAsia" w:ascii="黑体" w:hAnsi="黑体" w:eastAsia="黑体" w:cs="黑体"/>
          <w:b/>
          <w:bCs/>
          <w:color w:val="000000" w:themeColor="text1"/>
          <w:sz w:val="36"/>
          <w:szCs w:val="36"/>
          <w:lang w:eastAsia="zh-CN"/>
          <w14:textFill>
            <w14:solidFill>
              <w14:schemeClr w14:val="tx1"/>
            </w14:solidFill>
          </w14:textFill>
        </w:rPr>
        <w:t>饮用水水源保护区保护等工作经费项目</w:t>
      </w:r>
    </w:p>
    <w:p>
      <w:pPr>
        <w:widowControl/>
        <w:jc w:val="center"/>
        <w:rPr>
          <w:rFonts w:hint="eastAsia" w:ascii="黑体" w:hAnsi="黑体" w:eastAsia="黑体" w:cs="黑体"/>
          <w:b/>
          <w:bCs/>
          <w:color w:val="000000" w:themeColor="text1"/>
          <w:sz w:val="36"/>
          <w:szCs w:val="36"/>
          <w:lang w:eastAsia="zh-CN"/>
          <w14:textFill>
            <w14:solidFill>
              <w14:schemeClr w14:val="tx1"/>
            </w14:solidFill>
          </w14:textFill>
        </w:rPr>
      </w:pPr>
      <w:r>
        <w:rPr>
          <w:rFonts w:hint="eastAsia" w:ascii="黑体" w:hAnsi="黑体" w:eastAsia="黑体" w:cs="黑体"/>
          <w:b/>
          <w:bCs/>
          <w:color w:val="000000" w:themeColor="text1"/>
          <w:sz w:val="36"/>
          <w:szCs w:val="36"/>
          <w:lang w:eastAsia="zh-CN"/>
          <w14:textFill>
            <w14:solidFill>
              <w14:schemeClr w14:val="tx1"/>
            </w14:solidFill>
          </w14:textFill>
        </w:rPr>
        <w:t>绩效自评报告</w:t>
      </w: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8"/>
          <w:szCs w:val="48"/>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jc w:val="both"/>
        <w:rPr>
          <w:rFonts w:hint="eastAsia" w:ascii="黑体" w:eastAsia="黑体"/>
          <w:b/>
          <w:sz w:val="36"/>
          <w:szCs w:val="36"/>
        </w:rPr>
      </w:pPr>
    </w:p>
    <w:p>
      <w:pPr>
        <w:widowControl/>
        <w:jc w:val="center"/>
        <w:rPr>
          <w:rFonts w:hint="eastAsia" w:ascii="宋体" w:hAnsi="宋体" w:cs="宋体"/>
          <w:sz w:val="30"/>
          <w:szCs w:val="30"/>
          <w:lang w:eastAsia="zh-CN"/>
        </w:rPr>
      </w:pPr>
      <w:r>
        <w:rPr>
          <w:rFonts w:hint="eastAsia" w:ascii="宋体" w:hAnsi="宋体" w:cs="宋体"/>
          <w:sz w:val="30"/>
          <w:szCs w:val="30"/>
          <w:lang w:eastAsia="zh-CN"/>
        </w:rPr>
        <w:t>单位名称：</w:t>
      </w:r>
      <w:r>
        <w:rPr>
          <w:rFonts w:hint="eastAsia" w:ascii="宋体" w:hAnsi="宋体" w:cs="宋体"/>
          <w:sz w:val="30"/>
          <w:szCs w:val="30"/>
          <w:lang w:val="en-US" w:eastAsia="zh-CN"/>
        </w:rPr>
        <w:t>永州市生态环境局冷水滩分局</w:t>
      </w:r>
    </w:p>
    <w:p>
      <w:pPr>
        <w:spacing w:line="560" w:lineRule="exact"/>
        <w:ind w:firstLine="600" w:firstLineChars="200"/>
        <w:jc w:val="center"/>
        <w:rPr>
          <w:rFonts w:hint="default" w:ascii="宋体" w:hAnsi="宋体" w:cs="宋体"/>
          <w:sz w:val="30"/>
          <w:szCs w:val="30"/>
          <w:lang w:val="en-US" w:eastAsia="zh-CN"/>
        </w:rPr>
      </w:pPr>
      <w:r>
        <w:rPr>
          <w:rFonts w:hint="eastAsia" w:ascii="宋体" w:hAnsi="宋体" w:cs="宋体"/>
          <w:sz w:val="30"/>
          <w:szCs w:val="30"/>
          <w:lang w:val="en-US" w:eastAsia="zh-CN"/>
        </w:rPr>
        <w:t>2022年8月19日</w:t>
      </w:r>
    </w:p>
    <w:p>
      <w:pPr>
        <w:jc w:val="center"/>
        <w:rPr>
          <w:rFonts w:hint="eastAsia" w:ascii="黑体" w:eastAsia="黑体"/>
          <w:b/>
          <w:sz w:val="36"/>
          <w:szCs w:val="36"/>
        </w:rPr>
      </w:pPr>
    </w:p>
    <w:p>
      <w:pPr>
        <w:jc w:val="center"/>
        <w:rPr>
          <w:rFonts w:hint="eastAsia" w:ascii="黑体" w:eastAsia="黑体"/>
          <w:b/>
          <w:sz w:val="36"/>
          <w:szCs w:val="36"/>
          <w:lang w:eastAsia="zh-CN"/>
        </w:rPr>
      </w:pPr>
      <w:r>
        <w:rPr>
          <w:rFonts w:hint="eastAsia" w:ascii="黑体" w:eastAsia="黑体"/>
          <w:b/>
          <w:sz w:val="36"/>
          <w:szCs w:val="36"/>
          <w:lang w:eastAsia="zh-CN"/>
        </w:rPr>
        <w:t>2021</w:t>
      </w:r>
      <w:r>
        <w:rPr>
          <w:rFonts w:hint="eastAsia" w:ascii="黑体" w:eastAsia="黑体"/>
          <w:b/>
          <w:sz w:val="36"/>
          <w:szCs w:val="36"/>
        </w:rPr>
        <w:t>年</w:t>
      </w:r>
      <w:r>
        <w:rPr>
          <w:rFonts w:hint="eastAsia" w:ascii="黑体" w:eastAsia="黑体"/>
          <w:b/>
          <w:sz w:val="36"/>
          <w:szCs w:val="36"/>
          <w:lang w:eastAsia="zh-CN"/>
        </w:rPr>
        <w:t>度永州市生态环境局冷水滩分局</w:t>
      </w:r>
    </w:p>
    <w:p>
      <w:pPr>
        <w:jc w:val="center"/>
        <w:rPr>
          <w:rFonts w:hint="eastAsia" w:ascii="黑体" w:eastAsia="黑体"/>
          <w:b/>
          <w:sz w:val="36"/>
          <w:szCs w:val="36"/>
          <w:lang w:eastAsia="zh-CN"/>
        </w:rPr>
      </w:pPr>
      <w:r>
        <w:rPr>
          <w:rFonts w:hint="eastAsia" w:ascii="黑体" w:eastAsia="黑体"/>
          <w:b/>
          <w:sz w:val="36"/>
          <w:szCs w:val="36"/>
          <w:lang w:eastAsia="zh-CN"/>
        </w:rPr>
        <w:t>饮用水水源保护区保护等工作经费项目</w:t>
      </w:r>
    </w:p>
    <w:p>
      <w:pPr>
        <w:jc w:val="center"/>
        <w:rPr>
          <w:rFonts w:ascii="黑体" w:eastAsia="黑体"/>
          <w:b/>
          <w:sz w:val="36"/>
          <w:szCs w:val="36"/>
        </w:rPr>
      </w:pPr>
      <w:r>
        <w:rPr>
          <w:rFonts w:hint="eastAsia" w:ascii="黑体" w:eastAsia="黑体"/>
          <w:b/>
          <w:sz w:val="36"/>
          <w:szCs w:val="36"/>
        </w:rPr>
        <w:t>绩效</w:t>
      </w:r>
      <w:r>
        <w:rPr>
          <w:rFonts w:hint="eastAsia" w:ascii="黑体" w:eastAsia="黑体"/>
          <w:b/>
          <w:sz w:val="36"/>
          <w:szCs w:val="36"/>
          <w:lang w:eastAsia="zh-CN"/>
        </w:rPr>
        <w:t>自评</w:t>
      </w:r>
      <w:r>
        <w:rPr>
          <w:rFonts w:hint="eastAsia" w:ascii="黑体" w:eastAsia="黑体"/>
          <w:b/>
          <w:sz w:val="36"/>
          <w:szCs w:val="36"/>
        </w:rPr>
        <w:t>报告</w:t>
      </w:r>
    </w:p>
    <w:p>
      <w:pPr>
        <w:keepNext w:val="0"/>
        <w:keepLines w:val="0"/>
        <w:pageBreakBefore w:val="0"/>
        <w:widowControl/>
        <w:shd w:val="clear" w:color="auto" w:fill="FFFFFF"/>
        <w:kinsoku/>
        <w:wordWrap/>
        <w:overflowPunct/>
        <w:topLinePunct w:val="0"/>
        <w:autoSpaceDE/>
        <w:autoSpaceDN/>
        <w:bidi w:val="0"/>
        <w:adjustRightInd/>
        <w:snapToGrid/>
        <w:spacing w:line="525" w:lineRule="atLeast"/>
        <w:ind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rPr>
        <w:t>为进一步规范和加强我局项目</w:t>
      </w:r>
      <w:r>
        <w:rPr>
          <w:rFonts w:hint="eastAsia" w:ascii="宋体" w:hAnsi="宋体" w:cs="宋体"/>
          <w:sz w:val="30"/>
          <w:szCs w:val="30"/>
          <w:lang w:eastAsia="zh-CN"/>
        </w:rPr>
        <w:t>资金</w:t>
      </w:r>
      <w:r>
        <w:rPr>
          <w:rFonts w:hint="eastAsia" w:ascii="宋体" w:hAnsi="宋体" w:eastAsia="宋体" w:cs="宋体"/>
          <w:sz w:val="30"/>
          <w:szCs w:val="30"/>
        </w:rPr>
        <w:t>管理水平，提高项目资金使用绩效，根据《冷水滩区预算支出绩效评价管理办法》和《关于开展2021年度预算绩效自评工作的通知》（</w:t>
      </w:r>
      <w:r>
        <w:rPr>
          <w:rFonts w:hint="eastAsia" w:ascii="宋体" w:hAnsi="宋体" w:eastAsia="宋体" w:cs="宋体"/>
          <w:sz w:val="30"/>
          <w:szCs w:val="30"/>
          <w:lang w:eastAsia="zh-CN"/>
        </w:rPr>
        <w:t>冷</w:t>
      </w:r>
      <w:r>
        <w:rPr>
          <w:rFonts w:hint="eastAsia" w:ascii="宋体" w:hAnsi="宋体" w:eastAsia="宋体" w:cs="宋体"/>
          <w:sz w:val="30"/>
          <w:szCs w:val="30"/>
        </w:rPr>
        <w:t>财绩〔20</w:t>
      </w:r>
      <w:r>
        <w:rPr>
          <w:rFonts w:hint="eastAsia" w:ascii="宋体" w:hAnsi="宋体" w:eastAsia="宋体" w:cs="宋体"/>
          <w:sz w:val="30"/>
          <w:szCs w:val="30"/>
          <w:lang w:val="en-US" w:eastAsia="zh-CN"/>
        </w:rPr>
        <w:t>22</w:t>
      </w:r>
      <w:r>
        <w:rPr>
          <w:rFonts w:hint="eastAsia" w:ascii="宋体" w:hAnsi="宋体" w:eastAsia="宋体" w:cs="宋体"/>
          <w:sz w:val="30"/>
          <w:szCs w:val="30"/>
        </w:rPr>
        <w:t>〕1号）有关的文件精神</w:t>
      </w:r>
      <w:r>
        <w:rPr>
          <w:rFonts w:hint="eastAsia" w:ascii="宋体" w:hAnsi="宋体" w:eastAsia="宋体" w:cs="宋体"/>
          <w:sz w:val="30"/>
          <w:szCs w:val="30"/>
          <w:lang w:eastAsia="zh-CN"/>
        </w:rPr>
        <w:t>及</w:t>
      </w:r>
      <w:r>
        <w:rPr>
          <w:rFonts w:hint="eastAsia" w:ascii="宋体" w:hAnsi="宋体" w:eastAsia="宋体" w:cs="宋体"/>
          <w:sz w:val="30"/>
          <w:szCs w:val="30"/>
        </w:rPr>
        <w:t>要求，现将我局</w:t>
      </w:r>
      <w:r>
        <w:rPr>
          <w:rFonts w:hint="eastAsia" w:ascii="宋体" w:hAnsi="宋体" w:eastAsia="宋体" w:cs="宋体"/>
          <w:sz w:val="30"/>
          <w:szCs w:val="30"/>
          <w:lang w:eastAsia="zh-CN"/>
        </w:rPr>
        <w:t>组织实施的饮用</w:t>
      </w:r>
      <w:r>
        <w:rPr>
          <w:rFonts w:hint="eastAsia" w:ascii="宋体" w:hAnsi="宋体" w:cs="宋体"/>
          <w:sz w:val="30"/>
          <w:szCs w:val="30"/>
          <w:lang w:eastAsia="zh-CN"/>
        </w:rPr>
        <w:t>水水源保护区保护等工作经费项目</w:t>
      </w:r>
      <w:r>
        <w:rPr>
          <w:rFonts w:hint="eastAsia" w:ascii="宋体" w:hAnsi="宋体" w:eastAsia="宋体" w:cs="宋体"/>
          <w:sz w:val="30"/>
          <w:szCs w:val="30"/>
        </w:rPr>
        <w:t>绩效自评情况报告如下：</w:t>
      </w:r>
    </w:p>
    <w:p>
      <w:pPr>
        <w:keepNext w:val="0"/>
        <w:keepLines w:val="0"/>
        <w:pageBreakBefore w:val="0"/>
        <w:widowControl/>
        <w:kinsoku/>
        <w:wordWrap/>
        <w:overflowPunct/>
        <w:topLinePunct w:val="0"/>
        <w:autoSpaceDE/>
        <w:autoSpaceDN/>
        <w:bidi w:val="0"/>
        <w:adjustRightInd/>
        <w:snapToGrid/>
        <w:spacing w:line="500" w:lineRule="exact"/>
        <w:ind w:firstLine="602" w:firstLineChars="200"/>
        <w:jc w:val="left"/>
        <w:textAlignment w:val="auto"/>
        <w:rPr>
          <w:rFonts w:hint="eastAsia" w:ascii="宋体" w:hAnsi="宋体" w:eastAsia="宋体" w:cs="宋体"/>
          <w:b/>
          <w:sz w:val="30"/>
          <w:szCs w:val="30"/>
        </w:rPr>
      </w:pPr>
      <w:r>
        <w:rPr>
          <w:rFonts w:hint="eastAsia" w:ascii="宋体" w:hAnsi="宋体" w:eastAsia="宋体" w:cs="宋体"/>
          <w:b/>
          <w:sz w:val="30"/>
          <w:szCs w:val="30"/>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eastAsia="zh-CN"/>
        </w:rPr>
        <w:t>一</w:t>
      </w:r>
      <w:r>
        <w:rPr>
          <w:rFonts w:hint="eastAsia" w:ascii="宋体" w:hAnsi="宋体" w:eastAsia="宋体" w:cs="宋体"/>
          <w:sz w:val="30"/>
          <w:szCs w:val="30"/>
        </w:rPr>
        <w:t>)</w:t>
      </w:r>
      <w:r>
        <w:rPr>
          <w:rFonts w:hint="eastAsia" w:ascii="宋体" w:hAnsi="宋体" w:cs="宋体"/>
          <w:sz w:val="30"/>
          <w:szCs w:val="30"/>
          <w:lang w:eastAsia="zh-CN"/>
        </w:rPr>
        <w:t>区</w:t>
      </w:r>
      <w:r>
        <w:rPr>
          <w:rFonts w:hint="eastAsia" w:ascii="宋体" w:hAnsi="宋体" w:eastAsia="宋体" w:cs="宋体"/>
          <w:sz w:val="30"/>
          <w:szCs w:val="30"/>
        </w:rPr>
        <w:t>级下达专项预算和绩效目标情况。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预算下达：</w:t>
      </w:r>
      <w:r>
        <w:rPr>
          <w:rFonts w:hint="eastAsia" w:cs="宋体"/>
          <w:kern w:val="2"/>
          <w:sz w:val="30"/>
          <w:szCs w:val="30"/>
          <w:lang w:val="en-US" w:eastAsia="zh-CN" w:bidi="ar-SA"/>
        </w:rPr>
        <w:t>2021</w:t>
      </w:r>
      <w:r>
        <w:rPr>
          <w:rFonts w:hint="eastAsia" w:ascii="宋体" w:hAnsi="宋体" w:eastAsia="宋体" w:cs="宋体"/>
          <w:kern w:val="2"/>
          <w:sz w:val="30"/>
          <w:szCs w:val="30"/>
          <w:lang w:val="en-US" w:eastAsia="zh-CN" w:bidi="ar-SA"/>
        </w:rPr>
        <w:t>年</w:t>
      </w:r>
      <w:r>
        <w:rPr>
          <w:rFonts w:hint="eastAsia" w:cs="宋体"/>
          <w:kern w:val="2"/>
          <w:sz w:val="30"/>
          <w:szCs w:val="30"/>
          <w:lang w:val="en-US" w:eastAsia="zh-CN" w:bidi="ar-SA"/>
        </w:rPr>
        <w:t>区</w:t>
      </w:r>
      <w:r>
        <w:rPr>
          <w:rFonts w:hint="eastAsia" w:ascii="宋体" w:hAnsi="宋体" w:eastAsia="宋体" w:cs="宋体"/>
          <w:kern w:val="2"/>
          <w:sz w:val="30"/>
          <w:szCs w:val="30"/>
          <w:lang w:val="en-US" w:eastAsia="zh-CN" w:bidi="ar-SA"/>
        </w:rPr>
        <w:t>财政预算安排永州市</w:t>
      </w:r>
      <w:r>
        <w:rPr>
          <w:rFonts w:hint="eastAsia" w:cs="宋体"/>
          <w:kern w:val="2"/>
          <w:sz w:val="30"/>
          <w:szCs w:val="30"/>
          <w:lang w:val="en-US" w:eastAsia="zh-CN" w:bidi="ar-SA"/>
        </w:rPr>
        <w:t>冷水滩区饮用水水源</w:t>
      </w:r>
      <w:r>
        <w:rPr>
          <w:rFonts w:hint="eastAsia" w:ascii="宋体" w:hAnsi="宋体" w:eastAsia="宋体" w:cs="宋体"/>
          <w:kern w:val="2"/>
          <w:sz w:val="30"/>
          <w:szCs w:val="30"/>
          <w:lang w:val="en-US" w:eastAsia="zh-CN" w:bidi="ar-SA"/>
        </w:rPr>
        <w:t>保护区保护等工作经费</w:t>
      </w:r>
      <w:r>
        <w:rPr>
          <w:rFonts w:hint="eastAsia" w:cs="宋体"/>
          <w:kern w:val="2"/>
          <w:sz w:val="30"/>
          <w:szCs w:val="30"/>
          <w:lang w:val="en-US" w:eastAsia="zh-CN" w:bidi="ar-SA"/>
        </w:rPr>
        <w:t>929.73</w:t>
      </w:r>
      <w:r>
        <w:rPr>
          <w:rFonts w:hint="eastAsia" w:ascii="宋体" w:hAnsi="宋体" w:eastAsia="宋体" w:cs="宋体"/>
          <w:kern w:val="2"/>
          <w:sz w:val="30"/>
          <w:szCs w:val="30"/>
          <w:lang w:val="en-US" w:eastAsia="zh-CN" w:bidi="ar-SA"/>
        </w:rPr>
        <w:t>万元，主要是用于支付永州市冷水滩区饮用水水源保护区保护等技术承担单位服务费和其他工作经费。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 xml:space="preserve">绩效目标：通过水源保护资金使用，使水源保护宣传工作进一步得到加强；水源保护管理工作成效明显，确保水质达标，区域生态环境明显改善；有效解决水源保护与管理工作矛盾，促进保护与管理和谐发展。努力实现“保护生态、涵养水源、环境清洁、水质优越”的目标。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sz w:val="30"/>
          <w:szCs w:val="30"/>
        </w:rPr>
      </w:pPr>
      <w:r>
        <w:rPr>
          <w:rFonts w:hint="eastAsia" w:ascii="宋体" w:hAnsi="宋体" w:eastAsia="宋体" w:cs="宋体"/>
          <w:b/>
          <w:sz w:val="30"/>
          <w:szCs w:val="30"/>
          <w:lang w:eastAsia="zh-CN"/>
        </w:rPr>
        <w:t>二、</w:t>
      </w:r>
      <w:r>
        <w:rPr>
          <w:rFonts w:hint="eastAsia" w:ascii="宋体" w:hAnsi="宋体" w:eastAsia="宋体" w:cs="宋体"/>
          <w:b/>
          <w:sz w:val="30"/>
          <w:szCs w:val="30"/>
        </w:rPr>
        <w:t>绩效自评工作开展情况</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本单位</w:t>
      </w:r>
      <w:r>
        <w:rPr>
          <w:rFonts w:hint="eastAsia" w:ascii="宋体" w:hAnsi="宋体" w:eastAsia="宋体" w:cs="宋体"/>
          <w:sz w:val="30"/>
          <w:szCs w:val="30"/>
        </w:rPr>
        <w:t>从预算配置、预算执行、预算管理、履职效益等方面对</w:t>
      </w:r>
      <w:r>
        <w:rPr>
          <w:rFonts w:hint="eastAsia" w:ascii="宋体" w:hAnsi="宋体" w:cs="宋体"/>
          <w:sz w:val="30"/>
          <w:szCs w:val="30"/>
          <w:lang w:eastAsia="zh-CN"/>
        </w:rPr>
        <w:t>2021</w:t>
      </w:r>
      <w:r>
        <w:rPr>
          <w:rFonts w:hint="eastAsia" w:ascii="宋体" w:hAnsi="宋体" w:eastAsia="宋体" w:cs="宋体"/>
          <w:sz w:val="30"/>
          <w:szCs w:val="30"/>
        </w:rPr>
        <w:t>年</w:t>
      </w:r>
      <w:r>
        <w:rPr>
          <w:rFonts w:hint="eastAsia" w:ascii="宋体" w:hAnsi="宋体" w:eastAsia="宋体" w:cs="宋体"/>
          <w:kern w:val="2"/>
          <w:sz w:val="30"/>
          <w:szCs w:val="30"/>
          <w:lang w:val="en-US" w:eastAsia="zh-CN" w:bidi="ar-SA"/>
        </w:rPr>
        <w:t>永州市冷水滩区饮用水水源保护区保护</w:t>
      </w:r>
      <w:r>
        <w:rPr>
          <w:rFonts w:hint="eastAsia" w:ascii="宋体" w:hAnsi="宋体" w:eastAsia="宋体" w:cs="宋体"/>
          <w:sz w:val="30"/>
          <w:szCs w:val="30"/>
          <w:lang w:eastAsia="zh-CN"/>
        </w:rPr>
        <w:t>专项</w:t>
      </w:r>
      <w:r>
        <w:rPr>
          <w:rFonts w:hint="eastAsia" w:ascii="宋体" w:hAnsi="宋体" w:eastAsia="宋体" w:cs="宋体"/>
          <w:sz w:val="30"/>
          <w:szCs w:val="30"/>
        </w:rPr>
        <w:t>绩效开展了评价</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sz w:val="30"/>
          <w:szCs w:val="30"/>
        </w:rPr>
      </w:pPr>
      <w:r>
        <w:rPr>
          <w:rFonts w:hint="eastAsia" w:ascii="宋体" w:hAnsi="宋体" w:eastAsia="宋体" w:cs="宋体"/>
          <w:b/>
          <w:sz w:val="30"/>
          <w:szCs w:val="30"/>
        </w:rPr>
        <w:t>三、综合评价结论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经单位自评，</w:t>
      </w:r>
      <w:r>
        <w:rPr>
          <w:rFonts w:hint="eastAsia" w:ascii="宋体" w:hAnsi="宋体" w:cs="宋体"/>
          <w:sz w:val="30"/>
          <w:szCs w:val="30"/>
          <w:lang w:eastAsia="zh-CN"/>
        </w:rPr>
        <w:t>2021</w:t>
      </w:r>
      <w:r>
        <w:rPr>
          <w:rFonts w:hint="eastAsia" w:ascii="宋体" w:hAnsi="宋体" w:eastAsia="宋体" w:cs="宋体"/>
          <w:sz w:val="30"/>
          <w:szCs w:val="30"/>
        </w:rPr>
        <w:t>年度</w:t>
      </w:r>
      <w:r>
        <w:rPr>
          <w:rFonts w:hint="eastAsia" w:ascii="宋体" w:hAnsi="宋体" w:eastAsia="宋体" w:cs="宋体"/>
          <w:sz w:val="30"/>
          <w:szCs w:val="30"/>
          <w:lang w:eastAsia="zh-CN"/>
        </w:rPr>
        <w:t>项目支出</w:t>
      </w:r>
      <w:r>
        <w:rPr>
          <w:rFonts w:hint="eastAsia" w:ascii="宋体" w:hAnsi="宋体" w:eastAsia="宋体" w:cs="宋体"/>
          <w:sz w:val="30"/>
          <w:szCs w:val="30"/>
        </w:rPr>
        <w:t>绩效评价自评得分9</w:t>
      </w:r>
      <w:r>
        <w:rPr>
          <w:rFonts w:hint="eastAsia" w:ascii="宋体" w:hAnsi="宋体" w:cs="宋体"/>
          <w:sz w:val="30"/>
          <w:szCs w:val="30"/>
          <w:lang w:val="en-US" w:eastAsia="zh-CN"/>
        </w:rPr>
        <w:t>6</w:t>
      </w:r>
      <w:r>
        <w:rPr>
          <w:rFonts w:hint="eastAsia" w:ascii="宋体" w:hAnsi="宋体" w:eastAsia="宋体" w:cs="宋体"/>
          <w:sz w:val="30"/>
          <w:szCs w:val="30"/>
        </w:rPr>
        <w:t>分，绩效等级为优。</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sz w:val="30"/>
          <w:szCs w:val="30"/>
        </w:rPr>
      </w:pPr>
      <w:r>
        <w:rPr>
          <w:rFonts w:hint="eastAsia" w:ascii="宋体" w:hAnsi="宋体" w:eastAsia="宋体" w:cs="宋体"/>
          <w:b/>
          <w:sz w:val="30"/>
          <w:szCs w:val="30"/>
          <w:lang w:eastAsia="zh-CN"/>
        </w:rPr>
        <w:t>四</w:t>
      </w:r>
      <w:r>
        <w:rPr>
          <w:rFonts w:hint="eastAsia" w:ascii="宋体" w:hAnsi="宋体" w:eastAsia="宋体" w:cs="宋体"/>
          <w:b/>
          <w:sz w:val="30"/>
          <w:szCs w:val="30"/>
        </w:rPr>
        <w:t>、绩效目标实现情况分析</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outlineLvl w:val="0"/>
        <w:rPr>
          <w:rFonts w:hint="eastAsia" w:ascii="宋体" w:hAnsi="宋体" w:eastAsia="宋体" w:cs="宋体"/>
          <w:bCs/>
          <w:sz w:val="30"/>
          <w:szCs w:val="30"/>
        </w:rPr>
      </w:pPr>
      <w:r>
        <w:rPr>
          <w:rFonts w:hint="eastAsia" w:ascii="宋体" w:hAnsi="宋体" w:eastAsia="宋体" w:cs="宋体"/>
          <w:b/>
          <w:sz w:val="30"/>
          <w:szCs w:val="30"/>
        </w:rPr>
        <w:t>（一）</w:t>
      </w:r>
      <w:r>
        <w:rPr>
          <w:rFonts w:hint="eastAsia" w:ascii="宋体" w:hAnsi="宋体" w:eastAsia="宋体" w:cs="宋体"/>
          <w:bCs/>
          <w:sz w:val="30"/>
          <w:szCs w:val="30"/>
        </w:rPr>
        <w:t>项目资金情况分析。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b/>
          <w:sz w:val="30"/>
          <w:szCs w:val="30"/>
          <w:lang w:val="en-US" w:eastAsia="zh-CN"/>
        </w:rPr>
      </w:pPr>
      <w:r>
        <w:rPr>
          <w:rFonts w:hint="eastAsia" w:ascii="宋体" w:hAnsi="宋体" w:eastAsia="宋体" w:cs="宋体"/>
          <w:bCs/>
          <w:sz w:val="30"/>
          <w:szCs w:val="30"/>
        </w:rPr>
        <w:t>1</w:t>
      </w:r>
      <w:r>
        <w:rPr>
          <w:rFonts w:hint="eastAsia" w:ascii="宋体" w:hAnsi="宋体" w:cs="宋体"/>
          <w:bCs/>
          <w:sz w:val="30"/>
          <w:szCs w:val="30"/>
          <w:lang w:eastAsia="zh-CN"/>
        </w:rPr>
        <w:t>、</w:t>
      </w:r>
      <w:r>
        <w:rPr>
          <w:rFonts w:hint="eastAsia" w:ascii="宋体" w:hAnsi="宋体" w:eastAsia="宋体" w:cs="宋体"/>
          <w:bCs/>
          <w:sz w:val="30"/>
          <w:szCs w:val="30"/>
        </w:rPr>
        <w:t>项目资金到位情况分析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rPr>
      </w:pPr>
      <w:r>
        <w:rPr>
          <w:rFonts w:hint="eastAsia" w:ascii="宋体" w:hAnsi="宋体" w:cs="宋体"/>
          <w:sz w:val="30"/>
          <w:szCs w:val="30"/>
          <w:lang w:eastAsia="zh-CN"/>
        </w:rPr>
        <w:t>2021</w:t>
      </w:r>
      <w:r>
        <w:rPr>
          <w:rFonts w:hint="eastAsia" w:ascii="宋体" w:hAnsi="宋体" w:eastAsia="宋体" w:cs="宋体"/>
          <w:sz w:val="30"/>
          <w:szCs w:val="30"/>
        </w:rPr>
        <w:t>年市财政预算投入经费</w:t>
      </w:r>
      <w:r>
        <w:rPr>
          <w:rFonts w:hint="eastAsia" w:ascii="宋体" w:hAnsi="宋体" w:cs="宋体"/>
          <w:sz w:val="30"/>
          <w:szCs w:val="30"/>
          <w:lang w:val="en-US" w:eastAsia="zh-CN"/>
        </w:rPr>
        <w:t>929.73</w:t>
      </w:r>
      <w:r>
        <w:rPr>
          <w:rFonts w:hint="eastAsia" w:ascii="宋体" w:hAnsi="宋体" w:eastAsia="宋体" w:cs="宋体"/>
          <w:sz w:val="30"/>
          <w:szCs w:val="30"/>
        </w:rPr>
        <w:t>万元，</w:t>
      </w:r>
      <w:r>
        <w:rPr>
          <w:rFonts w:hint="eastAsia" w:ascii="宋体" w:hAnsi="宋体" w:cs="宋体"/>
          <w:sz w:val="30"/>
          <w:szCs w:val="30"/>
          <w:lang w:eastAsia="zh-CN"/>
        </w:rPr>
        <w:t>实际预算到位</w:t>
      </w:r>
      <w:r>
        <w:rPr>
          <w:rFonts w:hint="eastAsia" w:ascii="宋体" w:hAnsi="宋体" w:cs="宋体"/>
          <w:sz w:val="30"/>
          <w:szCs w:val="30"/>
          <w:lang w:val="en-US" w:eastAsia="zh-CN"/>
        </w:rPr>
        <w:t>929.73万元，</w:t>
      </w:r>
      <w:r>
        <w:rPr>
          <w:rFonts w:hint="eastAsia" w:ascii="宋体" w:hAnsi="宋体" w:eastAsia="宋体" w:cs="宋体"/>
          <w:sz w:val="30"/>
          <w:szCs w:val="30"/>
        </w:rPr>
        <w:t>预算执行</w:t>
      </w:r>
      <w:r>
        <w:rPr>
          <w:rFonts w:hint="eastAsia" w:ascii="宋体" w:hAnsi="宋体" w:eastAsia="宋体" w:cs="宋体"/>
          <w:sz w:val="30"/>
          <w:szCs w:val="30"/>
          <w:lang w:eastAsia="zh-CN"/>
        </w:rPr>
        <w:t>率</w:t>
      </w:r>
      <w:r>
        <w:rPr>
          <w:rFonts w:hint="eastAsia" w:ascii="宋体" w:hAnsi="宋体" w:cs="宋体"/>
          <w:sz w:val="30"/>
          <w:szCs w:val="30"/>
          <w:lang w:val="en-US" w:eastAsia="zh-CN"/>
        </w:rPr>
        <w:t>100</w:t>
      </w:r>
      <w:r>
        <w:rPr>
          <w:rFonts w:hint="eastAsia" w:ascii="宋体" w:hAnsi="宋体" w:eastAsia="宋体" w:cs="宋体"/>
          <w:sz w:val="30"/>
          <w:szCs w:val="30"/>
          <w:lang w:val="en-US" w:eastAsia="zh-CN"/>
        </w:rPr>
        <w:t>%,</w:t>
      </w:r>
      <w:r>
        <w:rPr>
          <w:rFonts w:hint="eastAsia" w:ascii="宋体" w:hAnsi="宋体" w:eastAsia="宋体" w:cs="宋体"/>
          <w:sz w:val="30"/>
          <w:szCs w:val="30"/>
        </w:rPr>
        <w:t>项目预算执行方面能按序时进度完成</w:t>
      </w:r>
      <w:r>
        <w:rPr>
          <w:rFonts w:hint="eastAsia" w:ascii="宋体" w:hAnsi="宋体" w:eastAsia="宋体" w:cs="宋体"/>
          <w:sz w:val="30"/>
          <w:szCs w:val="30"/>
          <w:lang w:val="en-US" w:eastAsia="zh-CN"/>
        </w:rPr>
        <w:t>,</w:t>
      </w:r>
      <w:r>
        <w:rPr>
          <w:rFonts w:hint="eastAsia" w:ascii="宋体" w:hAnsi="宋体" w:eastAsia="宋体" w:cs="宋体"/>
          <w:sz w:val="30"/>
          <w:szCs w:val="30"/>
        </w:rPr>
        <w:t>基本达成年度预算设定的绩效目标。</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b/>
          <w:sz w:val="30"/>
          <w:szCs w:val="30"/>
        </w:rPr>
      </w:pPr>
      <w:r>
        <w:rPr>
          <w:rFonts w:hint="eastAsia" w:ascii="宋体" w:hAnsi="宋体" w:eastAsia="宋体" w:cs="宋体"/>
          <w:bCs/>
          <w:sz w:val="30"/>
          <w:szCs w:val="30"/>
        </w:rPr>
        <w:t>2</w:t>
      </w:r>
      <w:r>
        <w:rPr>
          <w:rFonts w:hint="eastAsia" w:ascii="宋体" w:hAnsi="宋体" w:cs="宋体"/>
          <w:bCs/>
          <w:sz w:val="30"/>
          <w:szCs w:val="30"/>
          <w:lang w:eastAsia="zh-CN"/>
        </w:rPr>
        <w:t>、</w:t>
      </w:r>
      <w:r>
        <w:rPr>
          <w:rFonts w:hint="eastAsia" w:ascii="宋体" w:hAnsi="宋体" w:eastAsia="宋体" w:cs="宋体"/>
          <w:bCs/>
          <w:sz w:val="30"/>
          <w:szCs w:val="30"/>
        </w:rPr>
        <w:t>项目资金执行情况分析</w:t>
      </w:r>
      <w:r>
        <w:rPr>
          <w:rFonts w:hint="eastAsia" w:ascii="宋体" w:hAnsi="宋体" w:eastAsia="宋体" w:cs="宋体"/>
          <w:b/>
          <w:sz w:val="30"/>
          <w:szCs w:val="30"/>
        </w:rPr>
        <w:t>。</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按照项目实际需求安排支出，全年实际支出</w:t>
      </w:r>
      <w:r>
        <w:rPr>
          <w:rFonts w:hint="eastAsia" w:ascii="宋体" w:hAnsi="宋体" w:cs="宋体"/>
          <w:sz w:val="30"/>
          <w:szCs w:val="30"/>
          <w:lang w:val="en-US" w:eastAsia="zh-CN"/>
        </w:rPr>
        <w:t>929.73</w:t>
      </w:r>
      <w:r>
        <w:rPr>
          <w:rFonts w:hint="eastAsia" w:ascii="宋体" w:hAnsi="宋体" w:eastAsia="宋体" w:cs="宋体"/>
          <w:sz w:val="30"/>
          <w:szCs w:val="30"/>
        </w:rPr>
        <w:t>万元。按年度工作计划安排逐步开展</w:t>
      </w:r>
      <w:r>
        <w:rPr>
          <w:rFonts w:hint="eastAsia" w:ascii="宋体" w:hAnsi="宋体" w:eastAsia="宋体" w:cs="宋体"/>
          <w:sz w:val="30"/>
          <w:szCs w:val="30"/>
          <w:lang w:eastAsia="zh-CN"/>
        </w:rPr>
        <w:t>。</w:t>
      </w:r>
      <w:r>
        <w:rPr>
          <w:rFonts w:hint="eastAsia" w:ascii="宋体" w:hAnsi="宋体" w:eastAsia="宋体" w:cs="宋体"/>
          <w:sz w:val="30"/>
          <w:szCs w:val="30"/>
        </w:rPr>
        <w:t>资金使用率100%。</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3、</w:t>
      </w:r>
      <w:r>
        <w:rPr>
          <w:rFonts w:hint="eastAsia" w:ascii="宋体" w:hAnsi="宋体" w:eastAsia="宋体" w:cs="宋体"/>
          <w:bCs/>
          <w:sz w:val="30"/>
          <w:szCs w:val="30"/>
        </w:rPr>
        <w:t>项目资金管理情况分析。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kern w:val="0"/>
          <w:sz w:val="30"/>
          <w:szCs w:val="30"/>
        </w:rPr>
        <w:t>在预算支出资金使用和管理方面，本单位严格按照财政制度相关要求，坚持专款专用，专帐核算，严格按照规定的范围、标准和程序，加强专项资金的使用管理，确保了专项资金使用管理的规范性、安全性和有效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bCs w:val="0"/>
          <w:sz w:val="30"/>
          <w:szCs w:val="30"/>
        </w:rPr>
      </w:pPr>
      <w:r>
        <w:rPr>
          <w:rFonts w:hint="eastAsia" w:ascii="宋体" w:hAnsi="宋体" w:eastAsia="宋体" w:cs="宋体"/>
          <w:b/>
          <w:sz w:val="30"/>
          <w:szCs w:val="30"/>
        </w:rPr>
        <w:t>（</w:t>
      </w:r>
      <w:r>
        <w:rPr>
          <w:rFonts w:hint="eastAsia" w:ascii="宋体" w:hAnsi="宋体" w:eastAsia="宋体" w:cs="宋体"/>
          <w:b/>
          <w:sz w:val="30"/>
          <w:szCs w:val="30"/>
          <w:lang w:eastAsia="zh-CN"/>
        </w:rPr>
        <w:t>二</w:t>
      </w:r>
      <w:r>
        <w:rPr>
          <w:rFonts w:hint="eastAsia" w:ascii="宋体" w:hAnsi="宋体" w:eastAsia="宋体" w:cs="宋体"/>
          <w:b/>
          <w:sz w:val="30"/>
          <w:szCs w:val="30"/>
        </w:rPr>
        <w:t>）</w:t>
      </w:r>
      <w:r>
        <w:rPr>
          <w:rFonts w:hint="eastAsia" w:ascii="宋体" w:hAnsi="宋体" w:eastAsia="宋体" w:cs="宋体"/>
          <w:b/>
          <w:bCs w:val="0"/>
          <w:sz w:val="30"/>
          <w:szCs w:val="30"/>
        </w:rPr>
        <w:t>项目绩效指标完成情况分析。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kern w:val="0"/>
          <w:sz w:val="30"/>
          <w:szCs w:val="30"/>
        </w:rPr>
      </w:pPr>
      <w:r>
        <w:rPr>
          <w:rFonts w:hint="eastAsia" w:ascii="宋体" w:hAnsi="宋体" w:eastAsia="宋体" w:cs="宋体"/>
          <w:kern w:val="0"/>
          <w:sz w:val="30"/>
          <w:szCs w:val="30"/>
        </w:rPr>
        <w:t>1</w:t>
      </w:r>
      <w:r>
        <w:rPr>
          <w:rFonts w:hint="eastAsia" w:ascii="宋体" w:hAnsi="宋体" w:cs="宋体"/>
          <w:kern w:val="0"/>
          <w:sz w:val="30"/>
          <w:szCs w:val="30"/>
          <w:lang w:eastAsia="zh-CN"/>
        </w:rPr>
        <w:t>、</w:t>
      </w:r>
      <w:r>
        <w:rPr>
          <w:rFonts w:hint="eastAsia" w:ascii="宋体" w:hAnsi="宋体" w:eastAsia="宋体" w:cs="宋体"/>
          <w:kern w:val="0"/>
          <w:sz w:val="30"/>
          <w:szCs w:val="30"/>
        </w:rPr>
        <w:t>产出指标完成情况分析。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区、乡镇集中式饮用水水源水质优良（达到Ⅲ类）比例达到100%。</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kern w:val="0"/>
          <w:sz w:val="30"/>
          <w:szCs w:val="30"/>
        </w:rPr>
      </w:pPr>
      <w:r>
        <w:rPr>
          <w:rFonts w:hint="eastAsia" w:ascii="宋体" w:hAnsi="宋体" w:eastAsia="宋体" w:cs="宋体"/>
          <w:kern w:val="0"/>
          <w:sz w:val="30"/>
          <w:szCs w:val="30"/>
        </w:rPr>
        <w:t>2</w:t>
      </w:r>
      <w:r>
        <w:rPr>
          <w:rFonts w:hint="eastAsia" w:ascii="宋体" w:hAnsi="宋体" w:cs="宋体"/>
          <w:kern w:val="0"/>
          <w:sz w:val="30"/>
          <w:szCs w:val="30"/>
          <w:lang w:eastAsia="zh-CN"/>
        </w:rPr>
        <w:t>、</w:t>
      </w:r>
      <w:r>
        <w:rPr>
          <w:rFonts w:hint="eastAsia" w:ascii="宋体" w:hAnsi="宋体" w:eastAsia="宋体" w:cs="宋体"/>
          <w:kern w:val="0"/>
          <w:sz w:val="30"/>
          <w:szCs w:val="30"/>
        </w:rPr>
        <w:t>效益指标完成情况分析。</w:t>
      </w:r>
    </w:p>
    <w:p>
      <w:pPr>
        <w:pStyle w:val="5"/>
        <w:shd w:val="clear" w:color="auto" w:fill="FFFFFF"/>
        <w:spacing w:before="150" w:beforeAutospacing="0" w:after="150" w:afterAutospacing="0" w:line="450" w:lineRule="atLeast"/>
        <w:ind w:firstLine="600"/>
        <w:rPr>
          <w:rFonts w:hint="eastAsia" w:ascii="宋体" w:hAnsi="宋体" w:eastAsia="宋体" w:cs="宋体"/>
          <w:kern w:val="0"/>
          <w:sz w:val="30"/>
          <w:szCs w:val="30"/>
          <w:lang w:val="en-US" w:eastAsia="zh-CN" w:bidi="ar-SA"/>
        </w:rPr>
      </w:pPr>
      <w:r>
        <w:rPr>
          <w:rFonts w:hint="eastAsia" w:ascii="宋体" w:hAnsi="宋体" w:eastAsia="宋体" w:cs="宋体"/>
          <w:kern w:val="0"/>
          <w:sz w:val="30"/>
          <w:szCs w:val="30"/>
          <w:lang w:val="en-US" w:eastAsia="zh-CN" w:bidi="ar-SA"/>
        </w:rPr>
        <w:t>基本解决了乡镇饮水安全等历史问题，确保了饮用水安全，切实改善了全区的环境面貌和人民群众的生产生活环境，进一步推动全区居民用上放心水。</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kern w:val="0"/>
          <w:sz w:val="30"/>
          <w:szCs w:val="30"/>
        </w:rPr>
      </w:pPr>
      <w:r>
        <w:rPr>
          <w:rFonts w:hint="eastAsia" w:ascii="宋体" w:hAnsi="宋体" w:eastAsia="宋体" w:cs="宋体"/>
          <w:kern w:val="0"/>
          <w:sz w:val="30"/>
          <w:szCs w:val="30"/>
        </w:rPr>
        <w:t>3</w:t>
      </w:r>
      <w:r>
        <w:rPr>
          <w:rFonts w:hint="eastAsia" w:ascii="宋体" w:hAnsi="宋体" w:cs="宋体"/>
          <w:kern w:val="0"/>
          <w:sz w:val="30"/>
          <w:szCs w:val="30"/>
          <w:lang w:eastAsia="zh-CN"/>
        </w:rPr>
        <w:t>、</w:t>
      </w:r>
      <w:r>
        <w:rPr>
          <w:rFonts w:hint="eastAsia" w:ascii="宋体" w:hAnsi="宋体" w:eastAsia="宋体" w:cs="宋体"/>
          <w:kern w:val="0"/>
          <w:sz w:val="30"/>
          <w:szCs w:val="30"/>
        </w:rPr>
        <w:t>满意度指标完成情况分析。</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eastAsia="zh-CN"/>
        </w:rPr>
        <w:t>我局</w:t>
      </w:r>
      <w:r>
        <w:rPr>
          <w:rFonts w:hint="eastAsia" w:ascii="宋体" w:hAnsi="宋体" w:cs="宋体"/>
          <w:kern w:val="0"/>
          <w:sz w:val="30"/>
          <w:szCs w:val="30"/>
          <w:lang w:val="en-US" w:eastAsia="zh-CN"/>
        </w:rPr>
        <w:t>2021</w:t>
      </w:r>
      <w:r>
        <w:rPr>
          <w:rFonts w:hint="eastAsia" w:ascii="宋体" w:hAnsi="宋体" w:eastAsia="宋体" w:cs="宋体"/>
          <w:kern w:val="0"/>
          <w:sz w:val="30"/>
          <w:szCs w:val="30"/>
          <w:lang w:val="en-US" w:eastAsia="zh-CN"/>
        </w:rPr>
        <w:t>年度</w:t>
      </w:r>
      <w:r>
        <w:rPr>
          <w:rFonts w:hint="eastAsia" w:ascii="宋体" w:hAnsi="宋体" w:eastAsia="宋体" w:cs="宋体"/>
          <w:kern w:val="0"/>
          <w:sz w:val="30"/>
          <w:szCs w:val="30"/>
          <w:lang w:eastAsia="zh-CN"/>
        </w:rPr>
        <w:t>未接到对我区的</w:t>
      </w:r>
      <w:r>
        <w:rPr>
          <w:rFonts w:hint="eastAsia" w:ascii="宋体" w:hAnsi="宋体" w:eastAsia="宋体" w:cs="宋体"/>
          <w:kern w:val="2"/>
          <w:sz w:val="30"/>
          <w:szCs w:val="30"/>
          <w:lang w:val="en-US" w:eastAsia="zh-CN" w:bidi="ar-SA"/>
        </w:rPr>
        <w:t>饮用水水源保护区保护</w:t>
      </w:r>
      <w:r>
        <w:rPr>
          <w:rFonts w:hint="eastAsia" w:ascii="宋体" w:hAnsi="宋体" w:eastAsia="宋体" w:cs="宋体"/>
          <w:kern w:val="0"/>
          <w:sz w:val="30"/>
          <w:szCs w:val="30"/>
          <w:lang w:eastAsia="zh-CN"/>
        </w:rPr>
        <w:t>专项有关的信访、投诉</w:t>
      </w:r>
      <w:r>
        <w:rPr>
          <w:rFonts w:hint="eastAsia" w:ascii="宋体" w:hAnsi="宋体" w:cs="宋体"/>
          <w:kern w:val="0"/>
          <w:sz w:val="30"/>
          <w:szCs w:val="30"/>
          <w:lang w:eastAsia="zh-CN"/>
        </w:rPr>
        <w:t>案件</w:t>
      </w:r>
      <w:r>
        <w:rPr>
          <w:rFonts w:hint="eastAsia" w:ascii="宋体" w:hAnsi="宋体" w:eastAsia="宋体" w:cs="宋体"/>
          <w:kern w:val="0"/>
          <w:sz w:val="30"/>
          <w:szCs w:val="30"/>
          <w:lang w:eastAsia="zh-CN"/>
        </w:rPr>
        <w:t>，</w:t>
      </w:r>
      <w:r>
        <w:rPr>
          <w:rFonts w:hint="eastAsia" w:ascii="宋体" w:hAnsi="宋体" w:cs="宋体"/>
          <w:kern w:val="0"/>
          <w:sz w:val="30"/>
          <w:szCs w:val="30"/>
          <w:lang w:eastAsia="zh-CN"/>
        </w:rPr>
        <w:t>群众满意</w:t>
      </w:r>
      <w:r>
        <w:rPr>
          <w:rFonts w:hint="eastAsia" w:ascii="宋体" w:hAnsi="宋体" w:eastAsia="宋体" w:cs="宋体"/>
          <w:kern w:val="0"/>
          <w:sz w:val="30"/>
          <w:szCs w:val="30"/>
          <w:lang w:eastAsia="zh-CN"/>
        </w:rPr>
        <w:t>度</w:t>
      </w:r>
      <w:r>
        <w:rPr>
          <w:rFonts w:hint="eastAsia" w:ascii="宋体" w:hAnsi="宋体" w:eastAsia="宋体" w:cs="宋体"/>
          <w:kern w:val="0"/>
          <w:sz w:val="30"/>
          <w:szCs w:val="30"/>
          <w:lang w:val="en-US" w:eastAsia="zh-CN"/>
        </w:rPr>
        <w:t>100%。</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kern w:val="0"/>
          <w:sz w:val="30"/>
          <w:szCs w:val="30"/>
          <w:lang w:val="en-US" w:eastAsia="zh-CN"/>
        </w:rPr>
      </w:pPr>
      <w:r>
        <w:rPr>
          <w:rFonts w:hint="eastAsia" w:ascii="宋体" w:hAnsi="宋体" w:eastAsia="宋体" w:cs="宋体"/>
          <w:b/>
          <w:bCs w:val="0"/>
          <w:sz w:val="30"/>
          <w:szCs w:val="30"/>
          <w:lang w:eastAsia="zh-CN"/>
        </w:rPr>
        <w:t>五</w:t>
      </w:r>
      <w:r>
        <w:rPr>
          <w:rFonts w:hint="eastAsia" w:ascii="宋体" w:hAnsi="宋体" w:eastAsia="宋体" w:cs="宋体"/>
          <w:b/>
          <w:bCs w:val="0"/>
          <w:sz w:val="30"/>
          <w:szCs w:val="30"/>
        </w:rPr>
        <w:t>、绩效目标未完成原因和下一步改进措施</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无。</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六、绩效自评结果拟应用和公开情况</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b/>
          <w:bCs w:val="0"/>
          <w:sz w:val="30"/>
          <w:szCs w:val="30"/>
          <w:lang w:eastAsia="zh-CN"/>
        </w:rPr>
      </w:pPr>
      <w:r>
        <w:rPr>
          <w:rFonts w:hint="eastAsia" w:ascii="宋体" w:hAnsi="宋体" w:cs="宋体"/>
          <w:sz w:val="30"/>
          <w:szCs w:val="30"/>
          <w:lang w:eastAsia="zh-CN"/>
        </w:rPr>
        <w:t>根据工作安排，202</w:t>
      </w:r>
      <w:r>
        <w:rPr>
          <w:rFonts w:hint="eastAsia" w:ascii="宋体" w:hAnsi="宋体" w:cs="宋体"/>
          <w:sz w:val="30"/>
          <w:szCs w:val="30"/>
          <w:lang w:val="en-US" w:eastAsia="zh-CN"/>
        </w:rPr>
        <w:t>2</w:t>
      </w:r>
      <w:r>
        <w:rPr>
          <w:rFonts w:hint="eastAsia" w:ascii="宋体" w:hAnsi="宋体" w:eastAsia="宋体" w:cs="宋体"/>
          <w:sz w:val="30"/>
          <w:szCs w:val="30"/>
        </w:rPr>
        <w:t>年</w:t>
      </w:r>
      <w:r>
        <w:rPr>
          <w:rFonts w:hint="eastAsia" w:ascii="宋体" w:hAnsi="宋体" w:cs="宋体"/>
          <w:sz w:val="30"/>
          <w:szCs w:val="30"/>
          <w:lang w:val="en-US" w:eastAsia="zh-CN"/>
        </w:rPr>
        <w:t>11</w:t>
      </w:r>
      <w:r>
        <w:rPr>
          <w:rFonts w:hint="eastAsia" w:ascii="宋体" w:hAnsi="宋体" w:eastAsia="宋体" w:cs="宋体"/>
          <w:sz w:val="30"/>
          <w:szCs w:val="30"/>
        </w:rPr>
        <w:t>月</w:t>
      </w:r>
      <w:r>
        <w:rPr>
          <w:rFonts w:hint="eastAsia" w:ascii="宋体" w:hAnsi="宋体" w:cs="宋体"/>
          <w:sz w:val="30"/>
          <w:szCs w:val="30"/>
          <w:lang w:eastAsia="zh-CN"/>
        </w:rPr>
        <w:t>拟</w:t>
      </w:r>
      <w:r>
        <w:rPr>
          <w:rFonts w:hint="eastAsia" w:ascii="宋体" w:hAnsi="宋体" w:eastAsia="宋体" w:cs="宋体"/>
          <w:sz w:val="30"/>
          <w:szCs w:val="30"/>
        </w:rPr>
        <w:t>公开20</w:t>
      </w:r>
      <w:r>
        <w:rPr>
          <w:rFonts w:hint="eastAsia" w:ascii="宋体" w:hAnsi="宋体" w:cs="宋体"/>
          <w:sz w:val="30"/>
          <w:szCs w:val="30"/>
          <w:lang w:val="en-US" w:eastAsia="zh-CN"/>
        </w:rPr>
        <w:t>21</w:t>
      </w:r>
      <w:r>
        <w:rPr>
          <w:rFonts w:hint="eastAsia" w:ascii="宋体" w:hAnsi="宋体" w:eastAsia="宋体" w:cs="宋体"/>
          <w:sz w:val="30"/>
          <w:szCs w:val="30"/>
        </w:rPr>
        <w:t>年度部门决算。对20</w:t>
      </w:r>
      <w:r>
        <w:rPr>
          <w:rFonts w:hint="eastAsia" w:ascii="宋体" w:hAnsi="宋体" w:cs="宋体"/>
          <w:sz w:val="30"/>
          <w:szCs w:val="30"/>
          <w:lang w:val="en-US" w:eastAsia="zh-CN"/>
        </w:rPr>
        <w:t>21</w:t>
      </w:r>
      <w:r>
        <w:rPr>
          <w:rFonts w:hint="eastAsia" w:ascii="宋体" w:hAnsi="宋体" w:eastAsia="宋体" w:cs="宋体"/>
          <w:sz w:val="30"/>
          <w:szCs w:val="30"/>
        </w:rPr>
        <w:t>年度部门整体支出</w:t>
      </w:r>
      <w:r>
        <w:rPr>
          <w:rFonts w:hint="eastAsia" w:ascii="宋体" w:hAnsi="宋体" w:cs="宋体"/>
          <w:sz w:val="30"/>
          <w:szCs w:val="30"/>
          <w:lang w:eastAsia="zh-CN"/>
        </w:rPr>
        <w:t>和项目支出</w:t>
      </w:r>
      <w:r>
        <w:rPr>
          <w:rFonts w:hint="eastAsia" w:ascii="宋体" w:hAnsi="宋体" w:eastAsia="宋体" w:cs="宋体"/>
          <w:sz w:val="30"/>
          <w:szCs w:val="30"/>
        </w:rPr>
        <w:t>进行了绩效评价，各项指标控制较好，</w:t>
      </w:r>
      <w:r>
        <w:rPr>
          <w:rFonts w:hint="eastAsia" w:ascii="宋体" w:hAnsi="宋体" w:cs="宋体"/>
          <w:sz w:val="30"/>
          <w:szCs w:val="30"/>
          <w:lang w:eastAsia="zh-CN"/>
        </w:rPr>
        <w:t>严格</w:t>
      </w:r>
      <w:r>
        <w:rPr>
          <w:rFonts w:hint="eastAsia" w:ascii="宋体" w:hAnsi="宋体" w:eastAsia="宋体" w:cs="宋体"/>
          <w:sz w:val="30"/>
          <w:szCs w:val="30"/>
        </w:rPr>
        <w:t>按要求上报绩效评价报告并在门户网站公开。各项应向社会公开的信息及时、完整、真实，</w:t>
      </w:r>
      <w:r>
        <w:rPr>
          <w:rFonts w:hint="eastAsia" w:ascii="宋体" w:hAnsi="宋体" w:eastAsia="宋体" w:cs="宋体"/>
          <w:sz w:val="30"/>
          <w:szCs w:val="30"/>
          <w:lang w:eastAsia="zh-CN"/>
        </w:rPr>
        <w:t>绩效自评结果在编制</w:t>
      </w:r>
      <w:r>
        <w:rPr>
          <w:rFonts w:hint="eastAsia" w:ascii="宋体" w:hAnsi="宋体" w:eastAsia="宋体" w:cs="宋体"/>
          <w:sz w:val="30"/>
          <w:szCs w:val="30"/>
        </w:rPr>
        <w:t>部门预算</w:t>
      </w:r>
      <w:r>
        <w:rPr>
          <w:rFonts w:hint="eastAsia" w:ascii="宋体" w:hAnsi="宋体" w:eastAsia="宋体" w:cs="宋体"/>
          <w:sz w:val="30"/>
          <w:szCs w:val="30"/>
          <w:lang w:eastAsia="zh-CN"/>
        </w:rPr>
        <w:t>和资金运用中</w:t>
      </w:r>
      <w:r>
        <w:rPr>
          <w:rFonts w:hint="eastAsia" w:ascii="宋体" w:hAnsi="宋体" w:eastAsia="宋体" w:cs="宋体"/>
          <w:sz w:val="30"/>
          <w:szCs w:val="30"/>
        </w:rPr>
        <w:t>信息透明度</w:t>
      </w:r>
      <w:r>
        <w:rPr>
          <w:rFonts w:hint="eastAsia" w:ascii="宋体" w:hAnsi="宋体" w:cs="宋体"/>
          <w:sz w:val="30"/>
          <w:szCs w:val="30"/>
          <w:lang w:eastAsia="zh-CN"/>
        </w:rPr>
        <w:t>明显</w:t>
      </w:r>
      <w:r>
        <w:rPr>
          <w:rFonts w:hint="eastAsia" w:ascii="宋体" w:hAnsi="宋体" w:eastAsia="宋体" w:cs="宋体"/>
          <w:sz w:val="30"/>
          <w:szCs w:val="30"/>
        </w:rPr>
        <w:t>提高。</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七、绩效自评工作的经验、问题和建议</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无</w:t>
      </w:r>
      <w:bookmarkStart w:id="0" w:name="_GoBack"/>
      <w:bookmarkEnd w:id="0"/>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eastAsia" w:ascii="宋体" w:hAnsi="宋体" w:eastAsia="宋体" w:cs="宋体"/>
          <w:b/>
          <w:bCs w:val="0"/>
          <w:sz w:val="30"/>
          <w:szCs w:val="30"/>
          <w:lang w:eastAsia="zh-CN"/>
        </w:rPr>
      </w:pPr>
      <w:r>
        <w:rPr>
          <w:rFonts w:hint="eastAsia" w:ascii="宋体" w:hAnsi="宋体" w:eastAsia="宋体" w:cs="宋体"/>
          <w:b/>
          <w:bCs w:val="0"/>
          <w:sz w:val="30"/>
          <w:szCs w:val="30"/>
          <w:lang w:eastAsia="zh-CN"/>
        </w:rPr>
        <w:t>八、其他需要说明的问题</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无</w:t>
      </w:r>
    </w:p>
    <w:p>
      <w:pPr>
        <w:numPr>
          <w:ilvl w:val="0"/>
          <w:numId w:val="0"/>
        </w:numPr>
        <w:spacing w:line="560" w:lineRule="exact"/>
        <w:rPr>
          <w:rFonts w:hint="eastAsia" w:cs="宋体" w:asciiTheme="minorEastAsia" w:hAnsiTheme="minorEastAsia" w:eastAsiaTheme="minorEastAsia"/>
          <w:kern w:val="0"/>
          <w:sz w:val="30"/>
          <w:szCs w:val="30"/>
        </w:rPr>
      </w:pPr>
    </w:p>
    <w:p>
      <w:pPr>
        <w:spacing w:line="560" w:lineRule="exact"/>
        <w:ind w:firstLine="6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 xml:space="preserve">                                 </w:t>
      </w:r>
    </w:p>
    <w:p>
      <w:pPr>
        <w:spacing w:line="560" w:lineRule="exact"/>
        <w:ind w:firstLine="600"/>
        <w:jc w:val="right"/>
        <w:rPr>
          <w:rFonts w:hint="eastAsia" w:asciiTheme="minorEastAsia" w:hAnsiTheme="minorEastAsia" w:eastAsiaTheme="minorEastAsia"/>
          <w:sz w:val="30"/>
          <w:szCs w:val="30"/>
        </w:rPr>
      </w:pPr>
    </w:p>
    <w:p>
      <w:pPr>
        <w:spacing w:line="560" w:lineRule="exact"/>
        <w:ind w:firstLine="600"/>
        <w:jc w:val="right"/>
        <w:rPr>
          <w:rFonts w:hint="eastAsia" w:asciiTheme="minorEastAsia" w:hAnsiTheme="minorEastAsia" w:eastAsiaTheme="minorEastAsia"/>
          <w:sz w:val="30"/>
          <w:szCs w:val="30"/>
        </w:rPr>
      </w:pPr>
    </w:p>
    <w:p>
      <w:pPr>
        <w:spacing w:line="560" w:lineRule="exact"/>
        <w:ind w:firstLine="600"/>
        <w:jc w:val="right"/>
        <w:rPr>
          <w:rFonts w:hint="eastAsia" w:asciiTheme="minorEastAsia" w:hAnsiTheme="minorEastAsia" w:eastAsiaTheme="minorEastAsia"/>
          <w:sz w:val="30"/>
          <w:szCs w:val="30"/>
        </w:rPr>
      </w:pPr>
    </w:p>
    <w:p>
      <w:pPr>
        <w:spacing w:line="560" w:lineRule="exact"/>
        <w:ind w:firstLine="600"/>
        <w:jc w:val="right"/>
        <w:rPr>
          <w:rFonts w:hint="eastAsia" w:asciiTheme="minorEastAsia" w:hAnsiTheme="minorEastAsia" w:eastAsiaTheme="minorEastAsia"/>
          <w:sz w:val="30"/>
          <w:szCs w:val="30"/>
        </w:rPr>
      </w:pPr>
    </w:p>
    <w:p>
      <w:pPr>
        <w:spacing w:line="560" w:lineRule="exact"/>
        <w:ind w:firstLine="600"/>
        <w:jc w:val="right"/>
        <w:rPr>
          <w:rFonts w:hint="eastAsia" w:asciiTheme="minorEastAsia" w:hAnsiTheme="minorEastAsia" w:eastAsiaTheme="minorEastAsia"/>
          <w:sz w:val="30"/>
          <w:szCs w:val="30"/>
        </w:rPr>
      </w:pPr>
      <w:r>
        <w:rPr>
          <w:rFonts w:hint="eastAsia" w:asciiTheme="minorEastAsia" w:hAnsiTheme="minorEastAsia" w:eastAsiaTheme="minorEastAsia"/>
          <w:sz w:val="30"/>
          <w:szCs w:val="30"/>
        </w:rPr>
        <w:t xml:space="preserve">                 </w:t>
      </w:r>
    </w:p>
    <w:p>
      <w:pPr>
        <w:spacing w:line="560" w:lineRule="exact"/>
        <w:ind w:firstLine="600"/>
        <w:rPr>
          <w:rFonts w:hint="eastAsia" w:asciiTheme="minorEastAsia" w:hAnsiTheme="minorEastAsia" w:eastAsiaTheme="minorEastAsia"/>
          <w:sz w:val="30"/>
          <w:szCs w:val="30"/>
        </w:rPr>
      </w:pPr>
    </w:p>
    <w:p>
      <w:pPr>
        <w:spacing w:before="240" w:beforeLines="100" w:after="240" w:afterLines="100"/>
        <w:jc w:val="both"/>
        <w:rPr>
          <w:rFonts w:hint="eastAsia" w:ascii="方正小标宋简体" w:eastAsia="方正小标宋简体"/>
          <w:sz w:val="38"/>
          <w:szCs w:val="38"/>
        </w:rPr>
      </w:pPr>
    </w:p>
    <w:p>
      <w:pPr>
        <w:spacing w:before="240" w:beforeLines="100" w:after="240" w:afterLines="100"/>
        <w:jc w:val="center"/>
        <w:rPr>
          <w:rFonts w:hint="eastAsia" w:ascii="方正小标宋简体" w:eastAsia="方正小标宋简体"/>
          <w:sz w:val="38"/>
          <w:szCs w:val="38"/>
          <w:lang w:eastAsia="zh-CN"/>
        </w:rPr>
      </w:pPr>
    </w:p>
    <w:p>
      <w:pPr>
        <w:spacing w:before="240" w:beforeLines="100" w:after="240" w:afterLines="100"/>
        <w:jc w:val="center"/>
        <w:rPr>
          <w:rFonts w:hint="eastAsia" w:ascii="方正小标宋简体" w:eastAsia="方正小标宋简体"/>
          <w:sz w:val="38"/>
          <w:szCs w:val="38"/>
          <w:lang w:eastAsia="zh-CN"/>
        </w:rPr>
      </w:pPr>
    </w:p>
    <w:p>
      <w:pPr>
        <w:spacing w:before="240" w:beforeLines="100" w:after="240" w:afterLines="100"/>
        <w:jc w:val="center"/>
        <w:rPr>
          <w:rFonts w:hint="eastAsia" w:ascii="方正小标宋简体" w:eastAsia="方正小标宋简体"/>
          <w:sz w:val="38"/>
          <w:szCs w:val="38"/>
        </w:rPr>
      </w:pPr>
      <w:r>
        <w:rPr>
          <w:rFonts w:hint="eastAsia" w:ascii="方正小标宋简体" w:eastAsia="方正小标宋简体"/>
          <w:sz w:val="38"/>
          <w:szCs w:val="38"/>
          <w:lang w:eastAsia="zh-CN"/>
        </w:rPr>
        <w:t>2021</w:t>
      </w:r>
      <w:r>
        <w:rPr>
          <w:rFonts w:hint="eastAsia" w:ascii="方正小标宋简体" w:eastAsia="方正小标宋简体"/>
          <w:sz w:val="38"/>
          <w:szCs w:val="38"/>
        </w:rPr>
        <w:t>年度项目支出绩效自评表</w:t>
      </w:r>
    </w:p>
    <w:p>
      <w:pPr>
        <w:spacing w:before="240" w:beforeLines="100" w:after="240" w:afterLines="100"/>
        <w:jc w:val="center"/>
        <w:rPr>
          <w:rFonts w:hint="eastAsia" w:ascii="方正小标宋简体" w:eastAsia="方正小标宋简体"/>
          <w:sz w:val="28"/>
          <w:szCs w:val="28"/>
        </w:rPr>
      </w:pPr>
      <w:r>
        <w:rPr>
          <w:rFonts w:hint="eastAsia" w:ascii="方正小标宋简体" w:eastAsia="方正小标宋简体"/>
          <w:sz w:val="28"/>
          <w:szCs w:val="28"/>
        </w:rPr>
        <w:t>（</w:t>
      </w:r>
      <w:r>
        <w:rPr>
          <w:rFonts w:hint="eastAsia" w:ascii="方正小标宋简体" w:eastAsia="方正小标宋简体"/>
          <w:sz w:val="28"/>
          <w:szCs w:val="28"/>
          <w:lang w:eastAsia="zh-CN"/>
        </w:rPr>
        <w:t>饮用水水源保护区保护等工作经费项目</w:t>
      </w:r>
      <w:r>
        <w:rPr>
          <w:rFonts w:hint="eastAsia" w:ascii="方正小标宋简体" w:eastAsia="方正小标宋简体"/>
          <w:sz w:val="28"/>
          <w:szCs w:val="28"/>
        </w:rPr>
        <w:t>）</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spacing w:line="560" w:lineRule="exact"/>
        <w:jc w:val="center"/>
        <w:rPr>
          <w:rFonts w:hint="eastAsia" w:ascii="宋体" w:hAnsi="宋体" w:cs="宋体"/>
          <w:kern w:val="0"/>
          <w:sz w:val="36"/>
          <w:szCs w:val="36"/>
          <w:lang w:eastAsia="zh-CN"/>
        </w:rPr>
      </w:pPr>
    </w:p>
    <w:p>
      <w:pPr>
        <w:spacing w:line="560" w:lineRule="exact"/>
        <w:jc w:val="center"/>
        <w:rPr>
          <w:rFonts w:hint="eastAsia" w:ascii="宋体" w:hAnsi="宋体" w:cs="宋体"/>
          <w:kern w:val="0"/>
          <w:sz w:val="36"/>
          <w:szCs w:val="36"/>
          <w:lang w:eastAsia="zh-CN"/>
        </w:rPr>
      </w:pPr>
    </w:p>
    <w:p>
      <w:pPr>
        <w:spacing w:line="560" w:lineRule="exact"/>
        <w:jc w:val="center"/>
        <w:rPr>
          <w:rFonts w:hint="eastAsia" w:ascii="宋体" w:hAnsi="宋体" w:cs="宋体"/>
          <w:kern w:val="0"/>
          <w:sz w:val="36"/>
          <w:szCs w:val="36"/>
          <w:lang w:eastAsia="zh-CN"/>
        </w:rPr>
      </w:pPr>
    </w:p>
    <w:p>
      <w:pPr>
        <w:spacing w:line="560" w:lineRule="exact"/>
        <w:ind w:firstLine="600"/>
        <w:rPr>
          <w:rFonts w:hint="eastAsia" w:asciiTheme="minorEastAsia" w:hAnsiTheme="minorEastAsia" w:eastAsiaTheme="minorEastAsia"/>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TFmMjBjZmYxNTg1Y2MxYWVkNjE5MDIwYzBkYTAifQ=="/>
  </w:docVars>
  <w:rsids>
    <w:rsidRoot w:val="0014064F"/>
    <w:rsid w:val="00002F81"/>
    <w:rsid w:val="00092C11"/>
    <w:rsid w:val="0014064F"/>
    <w:rsid w:val="001824D2"/>
    <w:rsid w:val="001B7FAE"/>
    <w:rsid w:val="001C586B"/>
    <w:rsid w:val="001F4672"/>
    <w:rsid w:val="002045C6"/>
    <w:rsid w:val="002431F5"/>
    <w:rsid w:val="002E5C4B"/>
    <w:rsid w:val="00323E59"/>
    <w:rsid w:val="003253FD"/>
    <w:rsid w:val="00346C95"/>
    <w:rsid w:val="00384DF1"/>
    <w:rsid w:val="00392DA0"/>
    <w:rsid w:val="003C46E3"/>
    <w:rsid w:val="004B3650"/>
    <w:rsid w:val="004B6F4C"/>
    <w:rsid w:val="005B61B6"/>
    <w:rsid w:val="005E7A9E"/>
    <w:rsid w:val="005F767E"/>
    <w:rsid w:val="00610CDF"/>
    <w:rsid w:val="00782BAC"/>
    <w:rsid w:val="0079776F"/>
    <w:rsid w:val="007B75A8"/>
    <w:rsid w:val="0083243F"/>
    <w:rsid w:val="00862D0C"/>
    <w:rsid w:val="008C19B7"/>
    <w:rsid w:val="00987A9C"/>
    <w:rsid w:val="00992976"/>
    <w:rsid w:val="00996E5B"/>
    <w:rsid w:val="009A255D"/>
    <w:rsid w:val="009F1929"/>
    <w:rsid w:val="00A5040F"/>
    <w:rsid w:val="00B16056"/>
    <w:rsid w:val="00BA597B"/>
    <w:rsid w:val="00C43243"/>
    <w:rsid w:val="00C72E33"/>
    <w:rsid w:val="00D00B53"/>
    <w:rsid w:val="00D2740F"/>
    <w:rsid w:val="00F10737"/>
    <w:rsid w:val="00F5463E"/>
    <w:rsid w:val="00FA3142"/>
    <w:rsid w:val="00FE3A7F"/>
    <w:rsid w:val="014A4B87"/>
    <w:rsid w:val="01A6607A"/>
    <w:rsid w:val="03EB01E2"/>
    <w:rsid w:val="04DB1CFD"/>
    <w:rsid w:val="051C3140"/>
    <w:rsid w:val="05D2664E"/>
    <w:rsid w:val="05FD71E4"/>
    <w:rsid w:val="08174F89"/>
    <w:rsid w:val="084D0545"/>
    <w:rsid w:val="09605C8E"/>
    <w:rsid w:val="0A183E59"/>
    <w:rsid w:val="0AB237A4"/>
    <w:rsid w:val="0B0B792E"/>
    <w:rsid w:val="0DCC0FC7"/>
    <w:rsid w:val="0E491B8F"/>
    <w:rsid w:val="0EB62E0A"/>
    <w:rsid w:val="10C6391B"/>
    <w:rsid w:val="173B6FF4"/>
    <w:rsid w:val="17575E0D"/>
    <w:rsid w:val="17F33014"/>
    <w:rsid w:val="188E119C"/>
    <w:rsid w:val="18E25F77"/>
    <w:rsid w:val="19375784"/>
    <w:rsid w:val="1BC32FE7"/>
    <w:rsid w:val="1C111BBB"/>
    <w:rsid w:val="1E2150AF"/>
    <w:rsid w:val="20DE36C5"/>
    <w:rsid w:val="22202D62"/>
    <w:rsid w:val="22A02888"/>
    <w:rsid w:val="232C638A"/>
    <w:rsid w:val="23B13A56"/>
    <w:rsid w:val="26C04142"/>
    <w:rsid w:val="26EA1339"/>
    <w:rsid w:val="287F615A"/>
    <w:rsid w:val="28BB7A32"/>
    <w:rsid w:val="292330AC"/>
    <w:rsid w:val="2A0E7F48"/>
    <w:rsid w:val="2D2A44EA"/>
    <w:rsid w:val="2ED30927"/>
    <w:rsid w:val="2F0A6FD2"/>
    <w:rsid w:val="2F415A42"/>
    <w:rsid w:val="30453F1E"/>
    <w:rsid w:val="31236475"/>
    <w:rsid w:val="32412677"/>
    <w:rsid w:val="34956189"/>
    <w:rsid w:val="3660217B"/>
    <w:rsid w:val="37A3750E"/>
    <w:rsid w:val="38B3481F"/>
    <w:rsid w:val="3A7103D1"/>
    <w:rsid w:val="3A812469"/>
    <w:rsid w:val="3B503A3E"/>
    <w:rsid w:val="3B924ABB"/>
    <w:rsid w:val="3BAA715C"/>
    <w:rsid w:val="3BCE1958"/>
    <w:rsid w:val="3CC73F2F"/>
    <w:rsid w:val="3EC771D5"/>
    <w:rsid w:val="40B763D6"/>
    <w:rsid w:val="41476093"/>
    <w:rsid w:val="42663E0B"/>
    <w:rsid w:val="442A77DC"/>
    <w:rsid w:val="44376998"/>
    <w:rsid w:val="45F00102"/>
    <w:rsid w:val="47B40579"/>
    <w:rsid w:val="48036E0A"/>
    <w:rsid w:val="483C35C9"/>
    <w:rsid w:val="497D3AF7"/>
    <w:rsid w:val="4ADF7E12"/>
    <w:rsid w:val="4CDF1662"/>
    <w:rsid w:val="4CDF4478"/>
    <w:rsid w:val="4EDC0110"/>
    <w:rsid w:val="502A3F1E"/>
    <w:rsid w:val="52411FA3"/>
    <w:rsid w:val="53930044"/>
    <w:rsid w:val="53EC146A"/>
    <w:rsid w:val="55113EEC"/>
    <w:rsid w:val="561F5EA6"/>
    <w:rsid w:val="587A5946"/>
    <w:rsid w:val="5B975D90"/>
    <w:rsid w:val="5DE70F2D"/>
    <w:rsid w:val="5E887E50"/>
    <w:rsid w:val="5ED35331"/>
    <w:rsid w:val="5EFD2D73"/>
    <w:rsid w:val="5F270D3E"/>
    <w:rsid w:val="5FE16285"/>
    <w:rsid w:val="61E36346"/>
    <w:rsid w:val="62674102"/>
    <w:rsid w:val="638A60DC"/>
    <w:rsid w:val="64C90D6F"/>
    <w:rsid w:val="64D616D7"/>
    <w:rsid w:val="66900202"/>
    <w:rsid w:val="672D40EA"/>
    <w:rsid w:val="693E579C"/>
    <w:rsid w:val="69782D5D"/>
    <w:rsid w:val="69794D27"/>
    <w:rsid w:val="6A2C5C66"/>
    <w:rsid w:val="6AA5262E"/>
    <w:rsid w:val="6BE56AFB"/>
    <w:rsid w:val="6C020A6B"/>
    <w:rsid w:val="6CDA1F55"/>
    <w:rsid w:val="6DB5385F"/>
    <w:rsid w:val="6DE741C2"/>
    <w:rsid w:val="6E243B7A"/>
    <w:rsid w:val="6E3173BB"/>
    <w:rsid w:val="6EAE44F7"/>
    <w:rsid w:val="6F28107E"/>
    <w:rsid w:val="722318E9"/>
    <w:rsid w:val="729913A3"/>
    <w:rsid w:val="73565E9F"/>
    <w:rsid w:val="74A144B1"/>
    <w:rsid w:val="7606694E"/>
    <w:rsid w:val="76D05C77"/>
    <w:rsid w:val="77710EB6"/>
    <w:rsid w:val="79227FFD"/>
    <w:rsid w:val="7A69281E"/>
    <w:rsid w:val="7EFA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page number"/>
    <w:basedOn w:val="7"/>
    <w:qFormat/>
    <w:uiPriority w:val="0"/>
  </w:style>
  <w:style w:type="character" w:styleId="9">
    <w:name w:val="FollowedHyperlink"/>
    <w:basedOn w:val="7"/>
    <w:qFormat/>
    <w:uiPriority w:val="0"/>
    <w:rPr>
      <w:color w:val="0033CC"/>
      <w:u w:val="single"/>
    </w:rPr>
  </w:style>
  <w:style w:type="character" w:styleId="10">
    <w:name w:val="Hyperlink"/>
    <w:basedOn w:val="7"/>
    <w:qFormat/>
    <w:uiPriority w:val="0"/>
    <w:rPr>
      <w:color w:val="0033CC"/>
      <w:u w:val="single"/>
    </w:r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2863</Words>
  <Characters>3013</Characters>
  <Lines>16</Lines>
  <Paragraphs>4</Paragraphs>
  <TotalTime>2</TotalTime>
  <ScaleCrop>false</ScaleCrop>
  <LinksUpToDate>false</LinksUpToDate>
  <CharactersWithSpaces>3079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2017-10-29T06:56:00Z</dcterms:created>
  <dc:creator>dz</dc:creator>
  <cp:lastModifiedBy>东来</cp:lastModifiedBy>
  <cp:lastPrinted>2017-10-30T00:45:00Z</cp:lastPrinted>
  <dcterms:modified xsi:type="dcterms:W3CDTF">2023-11-08T01:27:50Z</dcterms:modified>
  <dc:title>永州市地震局预算支出绩效报告</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C704ABF6196541188FFE0DA8DC6C353D</vt:lpwstr>
  </property>
</Properties>
</file>