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仿宋_GB2312" w:hAnsi="仿宋_GB2312" w:eastAsia="仿宋_GB2312" w:cs="仿宋_GB2312"/>
          <w:sz w:val="30"/>
          <w:szCs w:val="30"/>
        </w:rPr>
      </w:pPr>
    </w:p>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1、贯彻执行国家、省有关国内外贸易、国际经济合作和区域经济合作的发展战略、政策，拟订全区国内外贸易、招商引资、承接产业转移、对外援助、对外投资和对外经济合作的规范性文件。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2、负责推进流通产业结构调整，指导流通企业改革，促进商贸服务业和社区商业发展，推动流通标准化和连锁经营、商业特许经营、物流配送、电子商务等现代流通方式的发展。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3、促进城乡市场发展，指导大宗产品批发市场规划和城区商业网点规划、商业体系建设工作，推进农村市场体系建设，组织实施农村现代流通网络工程。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4、负责牵头协调整顿和规范市场经济秩序有关工作，协调全区消除地区封锁、打破行业垄断的有关工作，规范商贸企业交易行为；推动商务领域信用建设，指导商业信用销售，建立市场诚信公共服务平台；按有关规定对特殊流通行业进行监督管理，负责组织协调反倾销、反补贴、保障措施及其他与进口公平贸易相关的工作，协助开展对外贸易调查和产业损害调查，指导协调产业安全应对工作，协助对经营者集中行为进行反垄断审查，指导企业在国外的反垄断应诉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5、贯彻执行国家进出口商品、加工贸易管理规定和进出口管理商品、技术目录，组织实施全区重要工业品、原材料和重要农产品进出口总量计划，会同有关部门协调大宗进出口商品工作，指导贸易促进活动和外贸促进体系建设。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6、贯彻执行国家对外技术贸易、出口管制以及鼓励技术和成套设备进出口的贸易政策，推进进出口贸易标准化工作，依法监督技术引进、设备进口、国家限制出口技术工作。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7、牵头拟订服务贸易发展规划，推动服务外包平台建设，依法管理和监督对外承包工程、对外劳务合作等，负责牵头外派劳务和境外就业人员的权益保护工作，依法核准区内企业对外投资开办企业（金融企业除外）。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8、贯彻执行我国多边双边（含区域、自由贸易区）经贸合作战略和政策，推进我区与其他国家（地区）的经贸往来与投资贸易合作；牵头承担全区商务领域涉及世界贸易组织事务的相关工作，负责对外经济贸易协调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9、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区外商投资企业审批工作，规范招商引资活动，协调港、澳、台商投资管理工作，指导区域内省级经济技术开发区的有关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10、贯彻执行国家对外援助政策和方案，协调管理全区承担的对外援助项目，协调管理多边双边对我区的无偿援助和赠款（不含财政合作项下外国政府及国际金融组织的赔款）等发展合作业务。 </w:t>
      </w:r>
    </w:p>
    <w:p>
      <w:pPr>
        <w:pStyle w:val="7"/>
        <w:widowControl/>
        <w:spacing w:beforeAutospacing="0" w:after="2" w:afterAutospacing="0"/>
        <w:ind w:firstLine="641"/>
        <w:rPr>
          <w:rFonts w:ascii="仿宋_GB2312" w:eastAsia="仿宋_GB2312" w:cs="仿宋_GB2312"/>
          <w:sz w:val="30"/>
          <w:szCs w:val="30"/>
        </w:rPr>
      </w:pPr>
      <w:r>
        <w:rPr>
          <w:rFonts w:hint="eastAsia" w:ascii="仿宋" w:hAnsi="仿宋" w:eastAsia="仿宋" w:cs="仿宋"/>
          <w:color w:val="000000"/>
          <w:sz w:val="30"/>
          <w:szCs w:val="30"/>
        </w:rPr>
        <w:t xml:space="preserve">11、做好异地冷水滩商会的联络、服务工作，承担区直招商小分队服务协调领导小组的日常工作。 </w:t>
      </w:r>
    </w:p>
    <w:p>
      <w:pPr>
        <w:ind w:firstLine="600" w:firstLineChars="200"/>
        <w:rPr>
          <w:rFonts w:ascii="宋体" w:hAnsi="宋体"/>
          <w:sz w:val="30"/>
          <w:szCs w:val="30"/>
        </w:rPr>
      </w:pPr>
      <w:r>
        <w:rPr>
          <w:rFonts w:ascii="仿宋_GB2312" w:eastAsia="仿宋_GB2312" w:cs="仿宋_GB2312"/>
          <w:color w:val="000000"/>
          <w:sz w:val="30"/>
          <w:szCs w:val="30"/>
        </w:rPr>
        <w:t>机构设置：共设有7个股室，即办公室、政工股、财务审计股、市场运行股、外经外贸股、投资促进股、市场建设和行业管理股。 人员编制情况：商务局共26个编制，其中11个行政编、15个事业编。现有在职人数为33人。 车辆编制情况：车辆编制为0台，实有车辆0台</w:t>
      </w:r>
      <w:r>
        <w:rPr>
          <w:rFonts w:hint="eastAsia" w:ascii="仿宋_GB2312" w:eastAsia="仿宋_GB2312" w:cs="仿宋_GB2312"/>
          <w:color w:val="000000"/>
          <w:sz w:val="30"/>
          <w:szCs w:val="30"/>
        </w:rPr>
        <w:t>。</w:t>
      </w:r>
    </w:p>
    <w:p>
      <w:pPr>
        <w:pStyle w:val="2"/>
      </w:pP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严格按照财务制度，规范各项经费的开支，根据项目支出的性质、范围、用途，坚持专款专用，严禁挤占挪用。我办事处申报的3项专项均从2021年初计划实施，并于2021年底前完成年度绩效目标。</w:t>
      </w:r>
    </w:p>
    <w:p>
      <w:pPr>
        <w:pStyle w:val="2"/>
      </w:pP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（二）项目管理情况分析，主要包括项目管理制度建设、日常检查监督管理等情况。</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pStyle w:val="2"/>
        <w:rPr>
          <w:rFonts w:ascii="Calibri" w:hAnsi="Calibri" w:eastAsia="仿宋_GB2312" w:cs="Calibri"/>
          <w:sz w:val="32"/>
          <w:szCs w:val="32"/>
        </w:rPr>
      </w:pPr>
      <w:r>
        <w:rPr>
          <w:rFonts w:hint="eastAsia"/>
        </w:rPr>
        <w:t xml:space="preserve">      </w:t>
      </w:r>
      <w:bookmarkStart w:id="0" w:name="OLE_LINK11"/>
      <w:bookmarkStart w:id="1" w:name="OLE_LINK10"/>
      <w:r>
        <w:rPr>
          <w:rFonts w:hint="eastAsia" w:ascii="Calibri" w:hAnsi="Calibri" w:eastAsia="仿宋_GB2312" w:cs="Calibri"/>
          <w:sz w:val="32"/>
          <w:szCs w:val="32"/>
        </w:rPr>
        <w:t>项目资金支出400.9</w:t>
      </w:r>
      <w:bookmarkEnd w:id="0"/>
      <w:bookmarkEnd w:id="1"/>
      <w:r>
        <w:rPr>
          <w:rFonts w:hint="eastAsia" w:ascii="Calibri" w:hAnsi="Calibri" w:eastAsia="仿宋_GB2312" w:cs="Calibri"/>
          <w:sz w:val="32"/>
          <w:szCs w:val="32"/>
        </w:rPr>
        <w:t>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（二）项目资金（主要是指财政资金）实际使用情况分析。</w:t>
      </w:r>
    </w:p>
    <w:p>
      <w:pPr>
        <w:pStyle w:val="2"/>
        <w:rPr>
          <w:rFonts w:ascii="Calibri" w:hAnsi="Calibri" w:eastAsia="仿宋_GB2312" w:cs="Calibri"/>
          <w:sz w:val="32"/>
          <w:szCs w:val="32"/>
        </w:rPr>
      </w:pPr>
      <w:r>
        <w:rPr>
          <w:rFonts w:hint="eastAsia"/>
        </w:rPr>
        <w:t xml:space="preserve">      </w:t>
      </w:r>
      <w:r>
        <w:rPr>
          <w:rFonts w:hint="eastAsia" w:ascii="Calibri" w:hAnsi="Calibri" w:eastAsia="仿宋_GB2312" w:cs="Calibri"/>
          <w:sz w:val="32"/>
          <w:szCs w:val="32"/>
        </w:rPr>
        <w:t>项目资金支出400.9万元，其中城乡社区支出50.45万元，商业服务业等支出92.03万元，商贸事务258.42万元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（三）项目资金管理情况分析，主要包括管理制度、办法的制订及执行情况。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项目本着节约的原则，没有增加任何经费。</w:t>
      </w:r>
    </w:p>
    <w:p>
      <w:pPr>
        <w:pStyle w:val="2"/>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color w:val="000000"/>
          <w:kern w:val="0"/>
          <w:sz w:val="32"/>
          <w:szCs w:val="32"/>
        </w:rPr>
        <w:t>五、</w:t>
      </w:r>
      <w:r>
        <w:rPr>
          <w:rFonts w:hint="eastAsia" w:ascii="黑体" w:hAnsi="黑体" w:eastAsia="黑体" w:cs="黑体"/>
          <w:b/>
          <w:bCs/>
          <w:sz w:val="32"/>
          <w:szCs w:val="32"/>
        </w:rPr>
        <w:t>绩效目标未完成原因和下一步改进措施</w:t>
      </w:r>
    </w:p>
    <w:p>
      <w:pPr>
        <w:pStyle w:val="2"/>
      </w:pPr>
      <w:r>
        <w:rPr>
          <w:rFonts w:hint="eastAsia"/>
        </w:rPr>
        <w:t>无</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六、绩效自评得分等级结果及拟应用和公开情况</w:t>
      </w:r>
    </w:p>
    <w:p>
      <w:pPr>
        <w:spacing w:line="540" w:lineRule="exact"/>
        <w:ind w:firstLine="600" w:firstLineChars="200"/>
        <w:rPr>
          <w:rFonts w:cs="黑体" w:asciiTheme="minorEastAsia" w:hAnsiTheme="minorEastAsia"/>
          <w:bCs/>
          <w:sz w:val="30"/>
          <w:szCs w:val="30"/>
        </w:rPr>
      </w:pPr>
      <w:r>
        <w:rPr>
          <w:rFonts w:hint="eastAsia" w:cs="黑体" w:asciiTheme="minorEastAsia" w:hAnsiTheme="minorEastAsia"/>
          <w:bCs/>
          <w:sz w:val="30"/>
          <w:szCs w:val="30"/>
        </w:rPr>
        <w:t>项目资金严格按照财务管理规定执行，大部分下拨及时，使用科目合理，程序合法，确保了项目的顺利完成。本项目综合考评得分为92分，评价等级确定为优。</w:t>
      </w:r>
    </w:p>
    <w:p>
      <w:pPr>
        <w:pStyle w:val="2"/>
      </w:pPr>
    </w:p>
    <w:p>
      <w:p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pStyle w:val="2"/>
      </w:pPr>
      <w:r>
        <w:rPr>
          <w:rFonts w:hint="eastAsia"/>
        </w:rPr>
        <w:t>无</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pStyle w:val="2"/>
      </w:pPr>
      <w:r>
        <w:rPr>
          <w:rFonts w:hint="eastAsia"/>
        </w:rPr>
        <w:t>无</w:t>
      </w:r>
    </w:p>
    <w:p>
      <w:pPr>
        <w:spacing w:line="540" w:lineRule="exact"/>
        <w:ind w:firstLine="640" w:firstLineChars="200"/>
        <w:rPr>
          <w:rFonts w:ascii="黑体" w:hAnsi="黑体" w:eastAsia="黑体" w:cs="黑体"/>
          <w:bCs/>
          <w:sz w:val="32"/>
          <w:szCs w:val="32"/>
        </w:rPr>
      </w:pPr>
    </w:p>
    <w:p>
      <w:pPr>
        <w:pStyle w:val="2"/>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8"/>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rPr>
        <w:t>区商务局</w:t>
      </w:r>
      <w:r>
        <w:rPr>
          <w:rFonts w:eastAsia="方正小标宋简体"/>
          <w:sz w:val="36"/>
          <w:szCs w:val="36"/>
        </w:rPr>
        <w:t>部门整体支出绩效自评报告</w:t>
      </w:r>
    </w:p>
    <w:p>
      <w:pPr>
        <w:ind w:firstLine="602" w:firstLineChars="200"/>
        <w:rPr>
          <w:rFonts w:ascii="宋体" w:hAnsi="宋体"/>
          <w:b/>
          <w:sz w:val="30"/>
          <w:szCs w:val="30"/>
        </w:rPr>
      </w:pPr>
    </w:p>
    <w:p>
      <w:pPr>
        <w:ind w:firstLine="602" w:firstLineChars="200"/>
        <w:rPr>
          <w:rFonts w:ascii="仿宋_GB2312" w:eastAsia="仿宋_GB2312" w:cs="仿宋_GB2312"/>
        </w:rPr>
      </w:pPr>
      <w:r>
        <w:rPr>
          <w:rFonts w:ascii="宋体" w:hAnsi="宋体"/>
          <w:b/>
          <w:sz w:val="30"/>
          <w:szCs w:val="30"/>
        </w:rPr>
        <w:t>一、部门概况</w:t>
      </w:r>
    </w:p>
    <w:p>
      <w:pPr>
        <w:widowControl/>
        <w:spacing w:after="2"/>
        <w:ind w:firstLine="628"/>
        <w:rPr>
          <w:rFonts w:ascii="仿宋" w:hAnsi="仿宋" w:eastAsia="仿宋" w:cs="仿宋"/>
          <w:sz w:val="30"/>
          <w:szCs w:val="30"/>
        </w:rPr>
      </w:pPr>
      <w:r>
        <w:rPr>
          <w:rFonts w:hint="eastAsia" w:ascii="仿宋" w:hAnsi="仿宋" w:eastAsia="仿宋" w:cs="仿宋"/>
          <w:b/>
          <w:color w:val="000000"/>
          <w:sz w:val="30"/>
          <w:szCs w:val="30"/>
        </w:rPr>
        <w:t>（一）部门基本情况</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1、贯彻执行国家、省有关国内外贸易、国际经济合作和区域经济合作的发展战略、政策，拟订全区国内外贸易、招商引资、承接产业转移、对外援助、对外投资和对外经济合作的规范性文件。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2、负责推进流通产业结构调整，指导流通企业改革，促进商贸服务业和社区商业发展，推动流通标准化和连锁经营、商业特许经营、物流配送、电子商务等现代流通方式的发展。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3、促进城乡市场发展，指导大宗产品批发市场规划和城区商业网点规划、商业体系建设工作，推进农村市场体系建设，组织实施农村现代流通网络工程。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4、负责牵头协调整顿和规范市场经济秩序有关工作，协调全区消除地区封锁、打破行业垄断的有关工作，规范商贸企业交易行为；推动商务领域信用建设，指导商业信用销售，建立市场诚信公共服务平台；按有关规定对特殊流通行业进行监督管理，负责组织协调反倾销、反补贴、保障措施及其他与进口公平贸易相关的工作，协助开展对外贸易调查和产业损害调查，指导协调产业安全应对工作，协助对经营者集中行为进行反垄断审查，指导企业在国外的反垄断应诉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5、贯彻执行国家进出口商品、加工贸易管理规定和进出口管理商品、技术目录，组织实施全区重要工业品、原材料和重要农产品进出口总量计划，会同有关部门协调大宗进出口商品工作，指导贸易促进活动和外贸促进体系建设。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6、贯彻执行国家对外技术贸易、出口管制以及鼓励技术和成套设备进出口的贸易政策，推进进出口贸易标准化工作，依法监督技术引进、设备进口、国家限制出口技术工作。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7、牵头拟订服务贸易发展规划，推动服务外包平台建设，依法管理和监督对外承包工程、对外劳务合作等，负责牵头外派劳务和境外就业人员的权益保护工作，依法核准区内企业对外投资开办企业（金融企业除外）。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8、贯彻执行我国多边双边（含区域、自由贸易区）经贸合作战略和政策，推进我区与其他国家（地区）的经贸往来与投资贸易合作；牵头承担全区商务领域涉及世界贸易组织事务的相关工作，负责对外经济贸易协调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9、组织实施招商引资和承接产业转移，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区外商投资企业审批工作，规范招商引资活动，协调港、澳、台商投资管理工作，指导区域内省级经济技术开发区的有关工作。 </w:t>
      </w:r>
    </w:p>
    <w:p>
      <w:pPr>
        <w:pStyle w:val="7"/>
        <w:widowControl/>
        <w:spacing w:beforeAutospacing="0" w:after="2" w:afterAutospacing="0"/>
        <w:ind w:firstLine="641"/>
        <w:rPr>
          <w:rFonts w:ascii="仿宋" w:hAnsi="仿宋" w:eastAsia="仿宋" w:cs="仿宋"/>
          <w:sz w:val="30"/>
          <w:szCs w:val="30"/>
        </w:rPr>
      </w:pPr>
      <w:r>
        <w:rPr>
          <w:rFonts w:hint="eastAsia" w:ascii="仿宋" w:hAnsi="仿宋" w:eastAsia="仿宋" w:cs="仿宋"/>
          <w:color w:val="000000"/>
          <w:sz w:val="30"/>
          <w:szCs w:val="30"/>
        </w:rPr>
        <w:t xml:space="preserve">10、贯彻执行国家对外援助政策和方案，协调管理全区承担的对外援助项目，协调管理多边双边对我区的无偿援助和赠款（不含财政合作项下外国政府及国际金融组织的赔款）等发展合作业务。 </w:t>
      </w:r>
    </w:p>
    <w:p>
      <w:pPr>
        <w:pStyle w:val="7"/>
        <w:widowControl/>
        <w:spacing w:beforeAutospacing="0" w:after="2" w:afterAutospacing="0"/>
        <w:ind w:firstLine="641"/>
        <w:rPr>
          <w:rFonts w:ascii="仿宋_GB2312" w:eastAsia="仿宋_GB2312" w:cs="仿宋_GB2312"/>
          <w:sz w:val="30"/>
          <w:szCs w:val="30"/>
        </w:rPr>
      </w:pPr>
      <w:r>
        <w:rPr>
          <w:rFonts w:hint="eastAsia" w:ascii="仿宋" w:hAnsi="仿宋" w:eastAsia="仿宋" w:cs="仿宋"/>
          <w:color w:val="000000"/>
          <w:sz w:val="30"/>
          <w:szCs w:val="30"/>
        </w:rPr>
        <w:t xml:space="preserve">11、做好异地冷水滩商会的联络、服务工作，承担区直招商小分队服务协调领导小组的日常工作。 </w:t>
      </w:r>
    </w:p>
    <w:p>
      <w:pPr>
        <w:ind w:firstLine="600" w:firstLineChars="200"/>
        <w:rPr>
          <w:rFonts w:ascii="宋体" w:hAnsi="宋体"/>
          <w:sz w:val="30"/>
          <w:szCs w:val="30"/>
        </w:rPr>
      </w:pPr>
      <w:r>
        <w:rPr>
          <w:rFonts w:ascii="仿宋_GB2312" w:eastAsia="仿宋_GB2312" w:cs="仿宋_GB2312"/>
          <w:color w:val="000000"/>
          <w:sz w:val="30"/>
          <w:szCs w:val="30"/>
        </w:rPr>
        <w:t>机构设置：共设有7个股室，即办公室、政工股、财务审计股、市场运行股、外经外贸股、投资促进股、市场建设和行业管理股。 人员编制情况：商务局共26个编制，其中11个行政编、15个事业编。现有在职人数为33人。 车辆编制情况：车辆编制为0台，实有车辆0台</w:t>
      </w:r>
      <w:r>
        <w:rPr>
          <w:rFonts w:hint="eastAsia" w:ascii="仿宋_GB2312" w:eastAsia="仿宋_GB2312" w:cs="仿宋_GB2312"/>
          <w:color w:val="000000"/>
          <w:sz w:val="30"/>
          <w:szCs w:val="30"/>
        </w:rPr>
        <w:t>。</w:t>
      </w:r>
    </w:p>
    <w:p>
      <w:pPr>
        <w:ind w:firstLine="602" w:firstLineChars="200"/>
        <w:rPr>
          <w:rFonts w:ascii="宋体" w:hAnsi="宋体"/>
          <w:b/>
          <w:bCs/>
          <w:sz w:val="30"/>
          <w:szCs w:val="30"/>
        </w:rPr>
      </w:pPr>
      <w:r>
        <w:rPr>
          <w:rFonts w:ascii="宋体" w:hAnsi="宋体"/>
          <w:b/>
          <w:bCs/>
          <w:sz w:val="30"/>
          <w:szCs w:val="30"/>
        </w:rPr>
        <w:t>（</w:t>
      </w:r>
      <w:r>
        <w:rPr>
          <w:rFonts w:hint="eastAsia" w:ascii="宋体" w:hAnsi="宋体"/>
          <w:b/>
          <w:bCs/>
          <w:sz w:val="30"/>
          <w:szCs w:val="30"/>
        </w:rPr>
        <w:t>二</w:t>
      </w:r>
      <w:r>
        <w:rPr>
          <w:rFonts w:ascii="宋体" w:hAnsi="宋体"/>
          <w:b/>
          <w:bCs/>
          <w:sz w:val="30"/>
          <w:szCs w:val="30"/>
        </w:rPr>
        <w:t>）</w:t>
      </w:r>
      <w:r>
        <w:rPr>
          <w:rFonts w:hint="eastAsia" w:ascii="宋体" w:hAnsi="宋体"/>
          <w:b/>
          <w:bCs/>
          <w:color w:val="000000"/>
          <w:sz w:val="30"/>
          <w:szCs w:val="30"/>
        </w:rPr>
        <w:t>2021</w:t>
      </w:r>
      <w:r>
        <w:rPr>
          <w:rFonts w:ascii="宋体" w:hAnsi="宋体"/>
          <w:b/>
          <w:bCs/>
          <w:sz w:val="30"/>
          <w:szCs w:val="30"/>
        </w:rPr>
        <w:t>年的重点工作</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 xml:space="preserve">1、招商引资方面 </w:t>
      </w:r>
    </w:p>
    <w:p>
      <w:pPr>
        <w:spacing w:line="560"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themeColor="text1"/>
          <w:sz w:val="32"/>
          <w:szCs w:val="32"/>
        </w:rPr>
        <w:t>2021年全区共签约项目30个，总投资80.95亿元；</w:t>
      </w:r>
      <w:r>
        <w:rPr>
          <w:rFonts w:hint="eastAsia" w:ascii="仿宋" w:hAnsi="仿宋" w:eastAsia="仿宋"/>
          <w:color w:val="000000" w:themeColor="text1"/>
          <w:sz w:val="32"/>
          <w:szCs w:val="32"/>
        </w:rPr>
        <w:t>引进三类500强企业4家（全年任务3个），其中注册企业1家；1-11月，外资目标任务完成767万美元，全市排名第二；1-11月，内联引资完成52.3亿元，全市排名第五，预计全年完成内联引资59.9亿元，预期同比增长28%</w:t>
      </w:r>
      <w:r>
        <w:rPr>
          <w:rFonts w:hint="eastAsia" w:ascii="仿宋" w:hAnsi="仿宋" w:eastAsia="仿宋" w:cs="仿宋"/>
          <w:color w:val="000000" w:themeColor="text1"/>
          <w:sz w:val="32"/>
          <w:szCs w:val="32"/>
        </w:rPr>
        <w:t>。</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2、外经外贸方面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外贸方面：2021年我区外贸进出口任务数为16.9亿元人民币，预计完成数为20亿人民币，预期同比增长30%，超额完成任务；新增外贸出口登记备案企业22家，其中12家企业实现破零，预计到年底将有5家新增企业进出口规模达到1亿元人民币。</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（2）外经方面：截止至9月，我区人均对外直接投资额为0.9万美元/万人，位居全市第一。</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3、商贸方面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2021年1-11月，全区累计实现社会消费品零售总额174.06亿元，占全市总量的21.1%，总量排名全市第一，同比增长17.4%，高于全市0.9个百分点，高于全省1.4个百分点，累计增速排名全市第三。</w:t>
      </w:r>
      <w:r>
        <w:rPr>
          <w:rFonts w:hint="eastAsia" w:ascii="仿宋" w:hAnsi="仿宋" w:eastAsia="仿宋" w:cs="仿宋"/>
          <w:color w:val="000000" w:themeColor="text1"/>
          <w:sz w:val="32"/>
          <w:szCs w:val="32"/>
          <w:lang w:eastAsia="zh-CN"/>
        </w:rPr>
        <w:t>截至目前</w:t>
      </w:r>
      <w:r>
        <w:rPr>
          <w:rFonts w:hint="eastAsia" w:ascii="仿宋" w:hAnsi="仿宋" w:eastAsia="仿宋" w:cs="仿宋"/>
          <w:color w:val="000000" w:themeColor="text1"/>
          <w:sz w:val="32"/>
          <w:szCs w:val="32"/>
        </w:rPr>
        <w:t>，全区共培育限上在库企业123家，其中：批零企业98家，住餐企业25家；全区限上大个体户45家，其中：批发零售大个体户20家，住宿餐饮个体户25家，入规入统工作稳步推进。</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4、电商方面</w:t>
      </w:r>
    </w:p>
    <w:p>
      <w:pPr>
        <w:ind w:firstLine="640" w:firstLineChars="200"/>
        <w:rPr>
          <w:rFonts w:ascii="宋体" w:hAnsi="宋体"/>
          <w:sz w:val="30"/>
          <w:szCs w:val="30"/>
        </w:rPr>
      </w:pPr>
      <w:r>
        <w:rPr>
          <w:rFonts w:hint="eastAsia" w:ascii="仿宋" w:hAnsi="仿宋" w:eastAsia="仿宋" w:cs="仿宋"/>
          <w:color w:val="000000" w:themeColor="text1"/>
          <w:sz w:val="32"/>
          <w:szCs w:val="32"/>
        </w:rPr>
        <w:t>我区与知名电商平台淘宝、京东、拼多多、芒果扶贫云、Better购等。社区团购美团优选、兴盛优选、京东到家、饿了么、沐林冷链、莲花购、淘鲜达等。短视频平台抖音小店、快手、微视频等对接合作并正式运营，目前已在市区覆盖率达75%，并往城边镇伊塘、蔡氏、上岭桥、马坪等乡镇进行覆盖。为了引导本地电商企业做强做大，目前全区共有省电子商务认定企业24家，省电子商务示范企业1家，省电子商务重点培育项目4家，位居全市第一。2021年冷水滩区电商销售农产品零售额约2.71亿元，超额完成30%。</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pStyle w:val="2"/>
        <w:rPr>
          <w:rFonts w:hAnsi="宋体"/>
          <w:sz w:val="30"/>
          <w:szCs w:val="30"/>
        </w:rPr>
      </w:pPr>
      <w:r>
        <w:rPr>
          <w:rFonts w:hint="eastAsia" w:ascii="仿宋_GB2312" w:eastAsia="仿宋_GB2312" w:cs="仿宋_GB2312"/>
          <w:sz w:val="32"/>
          <w:szCs w:val="32"/>
        </w:rPr>
        <w:t xml:space="preserve">    </w:t>
      </w:r>
      <w:r>
        <w:rPr>
          <w:rFonts w:ascii="仿宋_GB2312" w:eastAsia="仿宋_GB2312" w:cs="仿宋_GB2312"/>
          <w:sz w:val="32"/>
          <w:szCs w:val="32"/>
        </w:rPr>
        <w:t>2021年本部门基本支出预算数447.3</w:t>
      </w:r>
      <w:r>
        <w:rPr>
          <w:rFonts w:hint="eastAsia" w:ascii="仿宋_GB2312" w:eastAsia="仿宋_GB2312" w:cs="仿宋_GB2312"/>
          <w:sz w:val="32"/>
          <w:szCs w:val="32"/>
        </w:rPr>
        <w:t>39</w:t>
      </w:r>
      <w:r>
        <w:rPr>
          <w:rFonts w:ascii="仿宋_GB2312" w:eastAsia="仿宋_GB2312" w:cs="仿宋_GB2312"/>
          <w:sz w:val="32"/>
          <w:szCs w:val="32"/>
        </w:rPr>
        <w:t>万元，</w:t>
      </w:r>
      <w:r>
        <w:rPr>
          <w:rFonts w:hint="eastAsia" w:ascii="仿宋" w:hAnsi="仿宋" w:eastAsia="仿宋"/>
          <w:sz w:val="32"/>
          <w:szCs w:val="32"/>
        </w:rPr>
        <w:t>其中工资福利支出389.606万元、商品和服务支出55.837万元、对个人和家庭的补助1.896万元</w:t>
      </w:r>
      <w:r>
        <w:rPr>
          <w:rFonts w:ascii="仿宋_GB2312" w:eastAsia="仿宋_GB2312" w:cs="仿宋_GB2312"/>
          <w:sz w:val="32"/>
          <w:szCs w:val="32"/>
        </w:rPr>
        <w:t>。主要是为保障部门正常运转、完成日常工作任务而发生的各项支出，包括用于工资福利支出等人员经费以及办公费、印刷费、水电费、办公设备购置等公用经费。</w:t>
      </w:r>
    </w:p>
    <w:p>
      <w:pPr>
        <w:rPr>
          <w:rFonts w:ascii="宋体" w:hAnsi="宋体"/>
          <w:sz w:val="30"/>
          <w:szCs w:val="30"/>
        </w:rPr>
      </w:pPr>
      <w:r>
        <w:rPr>
          <w:rFonts w:ascii="宋体" w:hAnsi="宋体"/>
          <w:sz w:val="30"/>
          <w:szCs w:val="30"/>
        </w:rPr>
        <w:t>（二）项目支出情况。</w:t>
      </w:r>
    </w:p>
    <w:p>
      <w:pPr>
        <w:pStyle w:val="14"/>
        <w:tabs>
          <w:tab w:val="left" w:pos="1538"/>
        </w:tabs>
        <w:spacing w:line="614" w:lineRule="exact"/>
        <w:jc w:val="left"/>
        <w:rPr>
          <w:rFonts w:ascii="仿宋" w:hAnsi="仿宋" w:eastAsia="仿宋" w:cs="仿宋"/>
          <w:color w:val="000000"/>
          <w:sz w:val="32"/>
          <w:szCs w:val="32"/>
          <w:lang w:val="en-US" w:eastAsia="zh-CN"/>
        </w:rPr>
      </w:pPr>
      <w:bookmarkStart w:id="2" w:name="bookmark81"/>
      <w:r>
        <w:rPr>
          <w:rFonts w:hint="eastAsia" w:ascii="仿宋" w:hAnsi="仿宋" w:eastAsia="仿宋" w:cs="仿宋"/>
          <w:color w:val="000000"/>
          <w:sz w:val="32"/>
          <w:szCs w:val="32"/>
          <w:lang w:val="en-US" w:eastAsia="zh-CN"/>
        </w:rPr>
        <w:t xml:space="preserve"> 2021年项目支出400.9万元。</w:t>
      </w:r>
    </w:p>
    <w:bookmarkEnd w:id="2"/>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政府性基金预算支出情况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国有资本经营预算支出情况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ind w:firstLine="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社会保险基金预算支出情况</w:t>
      </w:r>
    </w:p>
    <w:p>
      <w:pPr>
        <w:pStyle w:val="14"/>
        <w:tabs>
          <w:tab w:val="left" w:pos="1538"/>
        </w:tabs>
        <w:spacing w:line="614" w:lineRule="exact"/>
        <w:ind w:left="900" w:firstLine="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无</w:t>
      </w:r>
    </w:p>
    <w:p>
      <w:pPr>
        <w:pStyle w:val="14"/>
        <w:tabs>
          <w:tab w:val="left" w:pos="1538"/>
        </w:tabs>
        <w:spacing w:line="614" w:lineRule="exact"/>
        <w:jc w:val="left"/>
        <w:rPr>
          <w:rFonts w:ascii="黑体" w:hAnsi="黑体" w:eastAsia="黑体" w:cs="黑体"/>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部门整体支出绩效情况</w:t>
      </w:r>
    </w:p>
    <w:p>
      <w:pPr>
        <w:spacing w:line="0" w:lineRule="atLeast"/>
        <w:ind w:right="-92" w:rightChars="-44" w:firstLine="643" w:firstLineChars="20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（一）招商引资方面</w:t>
      </w:r>
    </w:p>
    <w:p>
      <w:pPr>
        <w:spacing w:line="560" w:lineRule="exact"/>
        <w:ind w:firstLine="643" w:firstLineChars="200"/>
        <w:rPr>
          <w:rFonts w:ascii="仿宋" w:hAnsi="仿宋" w:eastAsia="仿宋" w:cs="仿宋"/>
          <w:color w:val="000000" w:themeColor="text1"/>
          <w:sz w:val="32"/>
          <w:szCs w:val="32"/>
        </w:rPr>
      </w:pPr>
      <w:r>
        <w:rPr>
          <w:rFonts w:hint="eastAsia" w:ascii="楷体" w:hAnsi="楷体" w:eastAsia="楷体" w:cs="楷体"/>
          <w:b/>
          <w:color w:val="000000" w:themeColor="text1"/>
          <w:sz w:val="32"/>
          <w:szCs w:val="32"/>
        </w:rPr>
        <w:t>1.领导重视，组织得力。</w:t>
      </w:r>
      <w:r>
        <w:rPr>
          <w:rFonts w:hint="eastAsia" w:ascii="仿宋" w:hAnsi="仿宋" w:eastAsia="仿宋"/>
          <w:color w:val="000000" w:themeColor="text1"/>
          <w:sz w:val="32"/>
          <w:szCs w:val="32"/>
        </w:rPr>
        <w:t>区委、区政府高度重视招商引资工作，</w:t>
      </w:r>
      <w:r>
        <w:rPr>
          <w:rFonts w:hint="eastAsia" w:ascii="仿宋" w:hAnsi="仿宋" w:eastAsia="仿宋" w:cs="仿宋"/>
          <w:color w:val="000000" w:themeColor="text1"/>
          <w:sz w:val="32"/>
          <w:szCs w:val="32"/>
        </w:rPr>
        <w:t>将招商引资工作纳入年度绩效考核内容，将工作任务层层进行了分解，明确目标任务。</w:t>
      </w:r>
    </w:p>
    <w:p>
      <w:pPr>
        <w:widowControl/>
        <w:spacing w:line="560" w:lineRule="exact"/>
        <w:ind w:firstLine="643" w:firstLineChars="200"/>
        <w:jc w:val="left"/>
        <w:rPr>
          <w:rFonts w:ascii="仿宋_GB2312" w:hAnsi="仿宋_GB2312" w:eastAsia="仿宋_GB2312" w:cs="仿宋_GB2312"/>
          <w:color w:val="000000" w:themeColor="text1"/>
          <w:sz w:val="32"/>
          <w:szCs w:val="32"/>
        </w:rPr>
      </w:pPr>
      <w:r>
        <w:rPr>
          <w:rFonts w:hint="eastAsia" w:ascii="楷体" w:hAnsi="楷体" w:eastAsia="楷体" w:cs="楷体"/>
          <w:b/>
          <w:color w:val="000000" w:themeColor="text1"/>
          <w:sz w:val="32"/>
          <w:szCs w:val="32"/>
        </w:rPr>
        <w:t>2.“走出去、请进来”力度加大。</w:t>
      </w:r>
      <w:r>
        <w:rPr>
          <w:rFonts w:hint="eastAsia" w:ascii="仿宋_GB2312" w:hAnsi="仿宋_GB2312" w:eastAsia="仿宋_GB2312" w:cs="仿宋_GB2312"/>
          <w:color w:val="000000" w:themeColor="text1"/>
          <w:sz w:val="32"/>
          <w:szCs w:val="32"/>
        </w:rPr>
        <w:t>今年我区通过公开选拔的方式成立了招商引资工作组，每月前往粤港澳大湾区、长三角地区开展精准招商，提供专业服务。</w:t>
      </w:r>
    </w:p>
    <w:p>
      <w:pPr>
        <w:widowControl/>
        <w:spacing w:line="560" w:lineRule="exact"/>
        <w:ind w:firstLine="643" w:firstLineChars="200"/>
        <w:jc w:val="left"/>
        <w:rPr>
          <w:rFonts w:ascii="仿宋_GB2312" w:hAnsi="仿宋_GB2312" w:eastAsia="仿宋_GB2312" w:cs="仿宋_GB2312"/>
          <w:color w:val="000000" w:themeColor="text1"/>
          <w:sz w:val="32"/>
          <w:szCs w:val="32"/>
        </w:rPr>
      </w:pPr>
      <w:r>
        <w:rPr>
          <w:rFonts w:hint="eastAsia" w:ascii="楷体" w:hAnsi="楷体" w:eastAsia="楷体" w:cs="楷体"/>
          <w:b/>
          <w:color w:val="000000" w:themeColor="text1"/>
          <w:sz w:val="32"/>
          <w:szCs w:val="32"/>
        </w:rPr>
        <w:t>3.坚持“客商为重，企业至上”。</w:t>
      </w:r>
      <w:r>
        <w:rPr>
          <w:rFonts w:ascii="仿宋_GB2312" w:hAnsi="仿宋_GB2312" w:eastAsia="仿宋_GB2312" w:cs="仿宋_GB2312"/>
          <w:color w:val="000000" w:themeColor="text1"/>
          <w:sz w:val="32"/>
          <w:szCs w:val="32"/>
        </w:rPr>
        <w:t>全区始终秉承</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重商、亲商、敬商、富商</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的理念，全力营造有利于项目建设的优质环境</w:t>
      </w:r>
      <w:r>
        <w:rPr>
          <w:rFonts w:hint="eastAsia" w:ascii="仿宋_GB2312" w:hAnsi="仿宋_GB2312" w:eastAsia="仿宋_GB2312" w:cs="仿宋_GB2312"/>
          <w:color w:val="000000" w:themeColor="text1"/>
          <w:sz w:val="32"/>
          <w:szCs w:val="32"/>
        </w:rPr>
        <w:t>。</w:t>
      </w:r>
    </w:p>
    <w:p>
      <w:pPr>
        <w:spacing w:line="560" w:lineRule="exact"/>
        <w:ind w:firstLine="643" w:firstLineChars="200"/>
        <w:rPr>
          <w:rFonts w:ascii="仿宋" w:hAnsi="仿宋" w:eastAsia="仿宋" w:cs="仿宋_GB2312"/>
          <w:color w:val="000000" w:themeColor="text1"/>
          <w:sz w:val="32"/>
          <w:szCs w:val="32"/>
        </w:rPr>
      </w:pPr>
      <w:r>
        <w:rPr>
          <w:rFonts w:hint="eastAsia" w:ascii="楷体" w:hAnsi="楷体" w:eastAsia="楷体" w:cs="楷体"/>
          <w:b/>
          <w:bCs/>
          <w:color w:val="000000" w:themeColor="text1"/>
          <w:sz w:val="32"/>
          <w:szCs w:val="32"/>
        </w:rPr>
        <w:t>4.搭建平台、优化服务。</w:t>
      </w:r>
      <w:r>
        <w:rPr>
          <w:rFonts w:hint="eastAsia" w:ascii="仿宋" w:hAnsi="仿宋" w:eastAsia="仿宋" w:cs="仿宋_GB2312"/>
          <w:color w:val="000000" w:themeColor="text1"/>
          <w:sz w:val="32"/>
          <w:szCs w:val="32"/>
        </w:rPr>
        <w:t>坚持管理智能化，以高科园区发展为导向，以服务企业为目的，创新园区管理体制，创优园区发展环境，激发园区发展活力和内生动力。</w:t>
      </w:r>
    </w:p>
    <w:p>
      <w:pPr>
        <w:spacing w:line="56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（二）外经外贸方面</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1、积极调度生产型和贸易型外贸企业，通过奖励和补贴政策的落地，鼓励企业扩大出口，2021年全年共有9家企业进出口突破1亿人民币，高质高量的完成全年的外贸进出口任务。</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2、积极开展的铁海联运工作，降低企业出口运输成本。为降低企业运输成本，助力外贸企业更好的实现出口，我区积极配合市里铁海联运的筹备工作，截止2021年12月，铁海联运工作已成功签约第一批企业。</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（三）商贸方面</w:t>
      </w:r>
    </w:p>
    <w:p>
      <w:pPr>
        <w:pStyle w:val="3"/>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1、稳市场、保供应、促销费成效显著。</w:t>
      </w:r>
      <w:r>
        <w:rPr>
          <w:rFonts w:hint="eastAsia" w:ascii="仿宋" w:hAnsi="仿宋" w:eastAsia="仿宋" w:cs="仿宋"/>
          <w:color w:val="000000" w:themeColor="text1"/>
          <w:sz w:val="32"/>
          <w:szCs w:val="32"/>
        </w:rPr>
        <w:t>今年以来，持续挖掘消费潜力，促进消费活动百花齐放仍是我们的工作重点，</w:t>
      </w:r>
      <w:bookmarkStart w:id="3" w:name="_GoBack"/>
      <w:bookmarkEnd w:id="3"/>
      <w:r>
        <w:rPr>
          <w:rFonts w:hint="eastAsia" w:ascii="仿宋" w:hAnsi="仿宋" w:eastAsia="仿宋" w:cs="仿宋"/>
          <w:color w:val="000000" w:themeColor="text1"/>
          <w:sz w:val="32"/>
          <w:szCs w:val="32"/>
          <w:lang w:eastAsia="zh-CN"/>
        </w:rPr>
        <w:t>截至目前</w:t>
      </w:r>
      <w:r>
        <w:rPr>
          <w:rFonts w:hint="eastAsia" w:ascii="仿宋" w:hAnsi="仿宋" w:eastAsia="仿宋" w:cs="仿宋"/>
          <w:color w:val="000000" w:themeColor="text1"/>
          <w:sz w:val="32"/>
          <w:szCs w:val="32"/>
        </w:rPr>
        <w:t>，促消费专项投入245.16万元。一是开展冷水滩区“十大网红打卡店”评选活动。为促进商贸经济的复苏，冷水滩区推出了2021年度系列“十大网红打卡店”推介评选活动，评选出冷水滩区第一批共40家“十大网红打卡店”。二是举办了2021年永州市春、夏、秋、冬季车展。四次车展均在万商红会展中心举行，每次车展均有40家左右直接汽车经销商参展，数百款车型集体亮相，超齐全的参展阵容和超大力度的优惠，让车展人气爆棚。销售车辆分别达 780、462、560、700多台，销售金额分别达9360万、5544万、6800万元、8400万余元。三是推出了各类促销活动和节会活动。如在近期的中秋节、国庆节，中心城区各大商超积极举办节会活动，刺激节日消费，推动商业市场繁荣。四是举办了 2021年“味道湖南”永州味道美食季暨永州味道·冷水滩美食周等消费促进活动。活动以美食为媒介，致力于打造地方特色餐饮品牌，采取线上与线下相结合、专业品鉴与大众评选相结合的方式，挖掘出一批永州道地名菜、名厨、名店。</w:t>
      </w:r>
    </w:p>
    <w:p>
      <w:pPr>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2、市场监测有的放矢，数据上报准确及时。</w:t>
      </w:r>
      <w:r>
        <w:rPr>
          <w:rFonts w:hint="eastAsia" w:ascii="仿宋" w:hAnsi="仿宋" w:eastAsia="仿宋" w:cs="仿宋"/>
          <w:color w:val="000000" w:themeColor="text1"/>
          <w:sz w:val="32"/>
          <w:szCs w:val="32"/>
          <w:lang w:eastAsia="zh-CN"/>
        </w:rPr>
        <w:t>截至目前</w:t>
      </w:r>
      <w:r>
        <w:rPr>
          <w:rFonts w:hint="eastAsia" w:ascii="仿宋" w:hAnsi="仿宋" w:eastAsia="仿宋" w:cs="仿宋"/>
          <w:color w:val="000000" w:themeColor="text1"/>
          <w:sz w:val="32"/>
          <w:szCs w:val="32"/>
        </w:rPr>
        <w:t>，我区在库样本监测企业23家，占全市样本监测企业总量的27.4%。我局不断优化样本企业结构,加强数据督报，确保数据报送的及时性和稳定性。针对不同时期的工作需要，我们采取不同的分析方法，做到有的放矢。</w:t>
      </w:r>
      <w:r>
        <w:rPr>
          <w:rFonts w:hint="eastAsia" w:ascii="仿宋" w:hAnsi="仿宋" w:eastAsia="仿宋" w:cs="仿宋"/>
          <w:b/>
          <w:bCs/>
          <w:color w:val="000000" w:themeColor="text1"/>
          <w:sz w:val="32"/>
          <w:szCs w:val="32"/>
        </w:rPr>
        <w:t>一是坚持搞好日常性的市场监测分析。</w:t>
      </w:r>
      <w:r>
        <w:rPr>
          <w:rFonts w:hint="eastAsia" w:ascii="仿宋" w:hAnsi="仿宋" w:eastAsia="仿宋" w:cs="仿宋"/>
          <w:color w:val="000000" w:themeColor="text1"/>
          <w:sz w:val="32"/>
          <w:szCs w:val="32"/>
        </w:rPr>
        <w:t>按照商务部的报表制度，对全市城市生活必需品、重点流通企业、重要生产资料企业等运行情况进行日常监测，依据监测数据，进行汇总、整理、加工和分析。</w:t>
      </w:r>
      <w:r>
        <w:rPr>
          <w:rFonts w:hint="eastAsia" w:ascii="仿宋" w:hAnsi="仿宋" w:eastAsia="仿宋" w:cs="仿宋"/>
          <w:b/>
          <w:bCs/>
          <w:color w:val="000000" w:themeColor="text1"/>
          <w:sz w:val="32"/>
          <w:szCs w:val="32"/>
        </w:rPr>
        <w:t>二是搞好特殊时期的市场监测分析。</w:t>
      </w:r>
      <w:r>
        <w:rPr>
          <w:rFonts w:hint="eastAsia" w:ascii="仿宋" w:hAnsi="仿宋" w:eastAsia="仿宋" w:cs="仿宋"/>
          <w:color w:val="000000" w:themeColor="text1"/>
          <w:sz w:val="32"/>
          <w:szCs w:val="32"/>
        </w:rPr>
        <w:t>建立了特殊时期的市场监测分析报告制度。如春节、“十一”黄金周期间均实行日报告制度，及时掌握市场运行情况，并及时向市商务局、区委区政府反映，在引导企业扩大假日销售，促进我市假日经济持续健康发展起到了积极的作用。</w:t>
      </w:r>
    </w:p>
    <w:p>
      <w:pPr>
        <w:pStyle w:val="3"/>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（四）电商方面</w:t>
      </w:r>
    </w:p>
    <w:p>
      <w:pPr>
        <w:pStyle w:val="3"/>
      </w:pPr>
      <w:r>
        <w:rPr>
          <w:rFonts w:hint="eastAsia" w:ascii="仿宋" w:hAnsi="仿宋" w:eastAsia="仿宋" w:cs="仿宋"/>
          <w:b/>
          <w:bCs/>
          <w:color w:val="000000" w:themeColor="text1"/>
          <w:sz w:val="32"/>
          <w:szCs w:val="32"/>
        </w:rPr>
        <w:t xml:space="preserve">    湖南省电商直播带货暨短视频大赛。</w:t>
      </w:r>
      <w:r>
        <w:rPr>
          <w:rFonts w:hint="eastAsia" w:ascii="仿宋" w:hAnsi="仿宋" w:eastAsia="仿宋" w:cs="仿宋"/>
          <w:color w:val="000000" w:themeColor="text1"/>
          <w:sz w:val="32"/>
          <w:szCs w:val="32"/>
        </w:rPr>
        <w:t>通过参加省电商直播带货暨短视频大赛推荐湖南果秀食品南瓜玉米汁、凤梨汁、橘子罐头、牛肉酱、舜皇山土鸡酱芯乳酸味吐司等冷水滩特产和美食，共销售农产品约126.7万元，其中直播带货组罗伟明通过市直播带货初赛将代表市里参加省直播决赛。</w:t>
      </w:r>
    </w:p>
    <w:p>
      <w:pPr>
        <w:numPr>
          <w:ilvl w:val="0"/>
          <w:numId w:val="1"/>
        </w:numPr>
        <w:ind w:firstLine="602" w:firstLineChars="200"/>
        <w:rPr>
          <w:rFonts w:ascii="宋体" w:hAnsi="宋体"/>
          <w:b/>
          <w:sz w:val="30"/>
          <w:szCs w:val="30"/>
        </w:rPr>
      </w:pPr>
      <w:r>
        <w:rPr>
          <w:rFonts w:hint="eastAsia" w:ascii="宋体" w:hAnsi="宋体"/>
          <w:b/>
          <w:sz w:val="30"/>
          <w:szCs w:val="30"/>
        </w:rPr>
        <w:t>绩效自评得分情况及绩效等级。</w:t>
      </w:r>
    </w:p>
    <w:p>
      <w:pPr>
        <w:pStyle w:val="3"/>
      </w:pPr>
      <w:r>
        <w:rPr>
          <w:rFonts w:hint="eastAsia" w:ascii="仿宋" w:hAnsi="仿宋" w:eastAsia="仿宋" w:cs="仿宋"/>
          <w:bCs/>
          <w:sz w:val="32"/>
          <w:szCs w:val="32"/>
        </w:rPr>
        <w:t xml:space="preserve">    投入预算配制得分10分，预算执行得20分，预算管理得分36分，产出及效率得分26分，共计92分。绩效等级为优。</w:t>
      </w:r>
    </w:p>
    <w:p>
      <w:pPr>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pPr>
        <w:spacing w:line="560" w:lineRule="exact"/>
        <w:ind w:firstLine="640" w:firstLineChars="200"/>
        <w:rPr>
          <w:rFonts w:ascii="宋体" w:hAnsi="宋体" w:eastAsia="仿宋_GB2312"/>
          <w:b/>
          <w:sz w:val="30"/>
          <w:szCs w:val="30"/>
        </w:rPr>
      </w:pPr>
      <w:r>
        <w:rPr>
          <w:rFonts w:hint="eastAsia" w:eastAsia="仿宋_GB2312"/>
          <w:color w:val="000000"/>
          <w:kern w:val="0"/>
          <w:sz w:val="32"/>
          <w:szCs w:val="32"/>
        </w:rPr>
        <w:t>在资金使用过程中，招商引资资金和本单位公用经费没有完全分开，影响了预算专项的执行率。</w:t>
      </w:r>
    </w:p>
    <w:p>
      <w:pPr>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加强对财政资金拨付和使用的管理。</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进一步加强指导，根据实际情况不断调整预算编制与拨付方式，真正做到提高项目预算编制和资金使用评审的科学性和合理性。</w:t>
      </w:r>
    </w:p>
    <w:p>
      <w:pPr>
        <w:numPr>
          <w:ilvl w:val="0"/>
          <w:numId w:val="2"/>
        </w:num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进一步加强会计核算，强化预算管理意识，严格执行预算。专项资金应当按照批准的项目和用途使用，做到专帐核算，确保专款专用。</w:t>
      </w:r>
    </w:p>
    <w:p>
      <w:pPr>
        <w:spacing w:line="560" w:lineRule="exact"/>
        <w:rPr>
          <w:rFonts w:eastAsia="仿宋_GB2312"/>
          <w:color w:val="000000"/>
          <w:kern w:val="0"/>
          <w:sz w:val="32"/>
          <w:szCs w:val="32"/>
        </w:rPr>
      </w:pPr>
      <w:r>
        <w:rPr>
          <w:rFonts w:hint="eastAsia" w:ascii="宋体" w:hAnsi="宋体"/>
          <w:b/>
          <w:sz w:val="30"/>
          <w:szCs w:val="30"/>
        </w:rPr>
        <w:t xml:space="preserve">    4、</w:t>
      </w:r>
      <w:r>
        <w:rPr>
          <w:rFonts w:hint="eastAsia" w:eastAsia="仿宋_GB2312"/>
          <w:color w:val="000000"/>
          <w:kern w:val="0"/>
          <w:sz w:val="32"/>
          <w:szCs w:val="32"/>
        </w:rPr>
        <w:t>进一步健全和完善财务管理制度及内部控制制度，改进完善财务管理方法。</w:t>
      </w:r>
    </w:p>
    <w:p>
      <w:pPr>
        <w:pStyle w:val="2"/>
      </w:pPr>
    </w:p>
    <w:p>
      <w:pPr>
        <w:ind w:firstLine="602" w:firstLineChars="200"/>
        <w:rPr>
          <w:rFonts w:ascii="宋体" w:hAnsi="宋体"/>
          <w:b/>
          <w:sz w:val="30"/>
          <w:szCs w:val="30"/>
        </w:rPr>
      </w:pPr>
      <w:r>
        <w:rPr>
          <w:rFonts w:hint="eastAsia" w:ascii="宋体" w:hAnsi="宋体"/>
          <w:b/>
          <w:sz w:val="30"/>
          <w:szCs w:val="30"/>
        </w:rPr>
        <w:t>十、其他需要说明的情况</w:t>
      </w:r>
    </w:p>
    <w:p>
      <w:pPr>
        <w:ind w:firstLine="602" w:firstLineChars="200"/>
        <w:rPr>
          <w:rFonts w:ascii="宋体" w:hAnsi="宋体"/>
          <w:b/>
          <w:sz w:val="30"/>
          <w:szCs w:val="30"/>
        </w:rPr>
      </w:pPr>
      <w:r>
        <w:rPr>
          <w:rFonts w:hint="eastAsia" w:ascii="宋体" w:hAnsi="宋体"/>
          <w:b/>
          <w:sz w:val="30"/>
          <w:szCs w:val="30"/>
        </w:rPr>
        <w:t>无</w:t>
      </w:r>
    </w:p>
    <w:p>
      <w:pPr>
        <w:ind w:firstLine="602" w:firstLineChars="200"/>
        <w:rPr>
          <w:rFonts w:ascii="宋体"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pStyle w:val="2"/>
        <w:rPr>
          <w:rFonts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pStyle w:val="2"/>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36"/>
          <w:szCs w:val="36"/>
        </w:rPr>
      </w:pPr>
      <w:r>
        <w:rPr>
          <w:rFonts w:hint="eastAsia" w:eastAsia="方正小标宋_GBK"/>
          <w:kern w:val="0"/>
          <w:sz w:val="36"/>
          <w:szCs w:val="36"/>
        </w:rPr>
        <w:t>2021</w:t>
      </w:r>
      <w:r>
        <w:rPr>
          <w:rFonts w:hint="eastAsia" w:ascii="宋体" w:hAnsi="宋体" w:cs="宋体"/>
          <w:kern w:val="0"/>
          <w:sz w:val="36"/>
          <w:szCs w:val="36"/>
        </w:rPr>
        <w:t>年度区商务局</w:t>
      </w:r>
      <w:r>
        <w:rPr>
          <w:rFonts w:hint="eastAsia" w:eastAsia="方正小标宋_GBK"/>
          <w:kern w:val="0"/>
          <w:sz w:val="36"/>
          <w:szCs w:val="36"/>
        </w:rPr>
        <w:t>部门整体支出绩效评价表</w:t>
      </w:r>
    </w:p>
    <w:tbl>
      <w:tblPr>
        <w:tblStyle w:val="8"/>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7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92</w:t>
            </w:r>
          </w:p>
        </w:tc>
      </w:tr>
    </w:tbl>
    <w:p>
      <w:pPr>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35668"/>
    <w:multiLevelType w:val="singleLevel"/>
    <w:tmpl w:val="54535668"/>
    <w:lvl w:ilvl="0" w:tentative="0">
      <w:start w:val="1"/>
      <w:numFmt w:val="decimal"/>
      <w:suff w:val="nothing"/>
      <w:lvlText w:val="%1、"/>
      <w:lvlJc w:val="left"/>
    </w:lvl>
  </w:abstractNum>
  <w:abstractNum w:abstractNumId="1">
    <w:nsid w:val="63034714"/>
    <w:multiLevelType w:val="singleLevel"/>
    <w:tmpl w:val="63034714"/>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YWI3YTkyOGEyMjNjYTE0ZDIwNDc5YzQ2MTY1NjFjZTE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67D8A"/>
    <w:rsid w:val="00882801"/>
    <w:rsid w:val="008F5953"/>
    <w:rsid w:val="00914854"/>
    <w:rsid w:val="009D4482"/>
    <w:rsid w:val="00A106DA"/>
    <w:rsid w:val="00A5026F"/>
    <w:rsid w:val="00A736E6"/>
    <w:rsid w:val="00B72CBB"/>
    <w:rsid w:val="00BA0CDC"/>
    <w:rsid w:val="00BD0B8D"/>
    <w:rsid w:val="00BD2F3F"/>
    <w:rsid w:val="00C4025D"/>
    <w:rsid w:val="00D27866"/>
    <w:rsid w:val="00D55742"/>
    <w:rsid w:val="00D72963"/>
    <w:rsid w:val="00E410D0"/>
    <w:rsid w:val="00EA694F"/>
    <w:rsid w:val="00EC6119"/>
    <w:rsid w:val="00F17319"/>
    <w:rsid w:val="01540DA8"/>
    <w:rsid w:val="02D10E10"/>
    <w:rsid w:val="03AE7CEF"/>
    <w:rsid w:val="051832C7"/>
    <w:rsid w:val="051D30EA"/>
    <w:rsid w:val="06127C5E"/>
    <w:rsid w:val="06AC0092"/>
    <w:rsid w:val="07CE4C09"/>
    <w:rsid w:val="08B235BF"/>
    <w:rsid w:val="09C31645"/>
    <w:rsid w:val="0A193011"/>
    <w:rsid w:val="0C1D6C41"/>
    <w:rsid w:val="0C947A05"/>
    <w:rsid w:val="0D3419B4"/>
    <w:rsid w:val="0DC650AE"/>
    <w:rsid w:val="104A59B1"/>
    <w:rsid w:val="108A2FEB"/>
    <w:rsid w:val="109D248C"/>
    <w:rsid w:val="114C59C8"/>
    <w:rsid w:val="12426120"/>
    <w:rsid w:val="12840FF1"/>
    <w:rsid w:val="14996F59"/>
    <w:rsid w:val="14A8424C"/>
    <w:rsid w:val="15517EE9"/>
    <w:rsid w:val="158045C2"/>
    <w:rsid w:val="17E31494"/>
    <w:rsid w:val="17F71488"/>
    <w:rsid w:val="185D692E"/>
    <w:rsid w:val="198F6483"/>
    <w:rsid w:val="19DD25E4"/>
    <w:rsid w:val="1A304F0B"/>
    <w:rsid w:val="1C7C6CF9"/>
    <w:rsid w:val="1CE6192C"/>
    <w:rsid w:val="1D5132B3"/>
    <w:rsid w:val="1D6B0BB6"/>
    <w:rsid w:val="1DF8008D"/>
    <w:rsid w:val="1F8501A4"/>
    <w:rsid w:val="201F698E"/>
    <w:rsid w:val="21D267A7"/>
    <w:rsid w:val="22D740B8"/>
    <w:rsid w:val="22DB77CF"/>
    <w:rsid w:val="22DF4A34"/>
    <w:rsid w:val="22E90356"/>
    <w:rsid w:val="23243032"/>
    <w:rsid w:val="23943EF5"/>
    <w:rsid w:val="240B63D5"/>
    <w:rsid w:val="24793C83"/>
    <w:rsid w:val="258018C0"/>
    <w:rsid w:val="259D3570"/>
    <w:rsid w:val="25EA2F93"/>
    <w:rsid w:val="2659509A"/>
    <w:rsid w:val="26B11A3A"/>
    <w:rsid w:val="2791110F"/>
    <w:rsid w:val="281E74E4"/>
    <w:rsid w:val="28983B43"/>
    <w:rsid w:val="28EF06F0"/>
    <w:rsid w:val="29EC32BE"/>
    <w:rsid w:val="2A655FB9"/>
    <w:rsid w:val="2C1710C9"/>
    <w:rsid w:val="2D420088"/>
    <w:rsid w:val="2DAA381D"/>
    <w:rsid w:val="2E3511A9"/>
    <w:rsid w:val="2F4B29B9"/>
    <w:rsid w:val="32093491"/>
    <w:rsid w:val="34003C9C"/>
    <w:rsid w:val="3417744D"/>
    <w:rsid w:val="357B7AED"/>
    <w:rsid w:val="358D7AC9"/>
    <w:rsid w:val="36F764EF"/>
    <w:rsid w:val="37234ADD"/>
    <w:rsid w:val="374E666C"/>
    <w:rsid w:val="37EB5A18"/>
    <w:rsid w:val="385B3896"/>
    <w:rsid w:val="39D864CC"/>
    <w:rsid w:val="3AAB44BD"/>
    <w:rsid w:val="3AFE5B8C"/>
    <w:rsid w:val="3B900107"/>
    <w:rsid w:val="3BE06DF3"/>
    <w:rsid w:val="3DC46684"/>
    <w:rsid w:val="3E493596"/>
    <w:rsid w:val="3F880CCF"/>
    <w:rsid w:val="402A3780"/>
    <w:rsid w:val="404F0CAC"/>
    <w:rsid w:val="418B0C90"/>
    <w:rsid w:val="42206BAB"/>
    <w:rsid w:val="44966123"/>
    <w:rsid w:val="459B564D"/>
    <w:rsid w:val="47264D1B"/>
    <w:rsid w:val="47D827AB"/>
    <w:rsid w:val="48035DFE"/>
    <w:rsid w:val="4A820533"/>
    <w:rsid w:val="4B251FCA"/>
    <w:rsid w:val="4B7F71D1"/>
    <w:rsid w:val="4B9879B3"/>
    <w:rsid w:val="4CD96523"/>
    <w:rsid w:val="4CF657D3"/>
    <w:rsid w:val="4E1F59D2"/>
    <w:rsid w:val="4F564F38"/>
    <w:rsid w:val="50EF391A"/>
    <w:rsid w:val="514209A3"/>
    <w:rsid w:val="51524FCA"/>
    <w:rsid w:val="51D7639A"/>
    <w:rsid w:val="527F4A87"/>
    <w:rsid w:val="529C32C6"/>
    <w:rsid w:val="53A73ADE"/>
    <w:rsid w:val="53F605A7"/>
    <w:rsid w:val="54040CEA"/>
    <w:rsid w:val="54D7618A"/>
    <w:rsid w:val="54FF0268"/>
    <w:rsid w:val="55526E69"/>
    <w:rsid w:val="566468C9"/>
    <w:rsid w:val="56AE6C81"/>
    <w:rsid w:val="58231176"/>
    <w:rsid w:val="58793B7E"/>
    <w:rsid w:val="589D2CCD"/>
    <w:rsid w:val="595F096B"/>
    <w:rsid w:val="59793404"/>
    <w:rsid w:val="59D722C0"/>
    <w:rsid w:val="5AE64F25"/>
    <w:rsid w:val="5C531035"/>
    <w:rsid w:val="5C8A4591"/>
    <w:rsid w:val="5E4540E6"/>
    <w:rsid w:val="620C7F2C"/>
    <w:rsid w:val="63FD4981"/>
    <w:rsid w:val="64642938"/>
    <w:rsid w:val="64BC353F"/>
    <w:rsid w:val="6524032D"/>
    <w:rsid w:val="68532135"/>
    <w:rsid w:val="68C32CA2"/>
    <w:rsid w:val="6B187AD2"/>
    <w:rsid w:val="6CF33CCC"/>
    <w:rsid w:val="6D03067C"/>
    <w:rsid w:val="6D127AE1"/>
    <w:rsid w:val="6D1F6202"/>
    <w:rsid w:val="6D535020"/>
    <w:rsid w:val="6DC31AA8"/>
    <w:rsid w:val="6DF36BBE"/>
    <w:rsid w:val="6EDC1FE0"/>
    <w:rsid w:val="6F816AC5"/>
    <w:rsid w:val="6FAB550E"/>
    <w:rsid w:val="6FEC6C62"/>
    <w:rsid w:val="70A55C94"/>
    <w:rsid w:val="71184DC4"/>
    <w:rsid w:val="71AE7FEB"/>
    <w:rsid w:val="71F0545F"/>
    <w:rsid w:val="726620A5"/>
    <w:rsid w:val="72CA214F"/>
    <w:rsid w:val="735D0D8C"/>
    <w:rsid w:val="739A5AFB"/>
    <w:rsid w:val="73C23E03"/>
    <w:rsid w:val="74660149"/>
    <w:rsid w:val="747C7913"/>
    <w:rsid w:val="74DE4FB2"/>
    <w:rsid w:val="75871E6E"/>
    <w:rsid w:val="75940776"/>
    <w:rsid w:val="75AB21CA"/>
    <w:rsid w:val="75C076F3"/>
    <w:rsid w:val="776C2435"/>
    <w:rsid w:val="776C2973"/>
    <w:rsid w:val="7777743F"/>
    <w:rsid w:val="785137E4"/>
    <w:rsid w:val="7863396B"/>
    <w:rsid w:val="78F5454B"/>
    <w:rsid w:val="79274980"/>
    <w:rsid w:val="7B2E4CBA"/>
    <w:rsid w:val="7C4D42B1"/>
    <w:rsid w:val="7CA20544"/>
    <w:rsid w:val="7F362D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unhideWhenUsed/>
    <w:locked/>
    <w:uiPriority w:val="99"/>
    <w:pPr>
      <w:spacing w:after="120"/>
    </w:pPr>
  </w:style>
  <w:style w:type="paragraph" w:customStyle="1" w:styleId="4">
    <w:name w:val="彩色列表1"/>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character" w:customStyle="1" w:styleId="12">
    <w:name w:val="页脚 Char"/>
    <w:basedOn w:val="10"/>
    <w:link w:val="5"/>
    <w:semiHidden/>
    <w:qFormat/>
    <w:locked/>
    <w:uiPriority w:val="99"/>
    <w:rPr>
      <w:rFonts w:ascii="Calibri" w:hAnsi="Calibri" w:eastAsia="宋体" w:cs="Calibri"/>
      <w:sz w:val="18"/>
      <w:szCs w:val="18"/>
    </w:rPr>
  </w:style>
  <w:style w:type="character" w:customStyle="1" w:styleId="13">
    <w:name w:val="页眉 Char"/>
    <w:basedOn w:val="10"/>
    <w:link w:val="6"/>
    <w:semiHidden/>
    <w:qFormat/>
    <w:locked/>
    <w:uiPriority w:val="99"/>
    <w:rPr>
      <w:rFonts w:ascii="Calibri" w:hAnsi="Calibri" w:eastAsia="宋体" w:cs="Calibri"/>
      <w:sz w:val="18"/>
      <w:szCs w:val="18"/>
    </w:rPr>
  </w:style>
  <w:style w:type="paragraph" w:customStyle="1" w:styleId="14">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Normal.dotm</Template>
  <Company>ABC</Company>
  <Pages>19</Pages>
  <Words>1674</Words>
  <Characters>9547</Characters>
  <Lines>79</Lines>
  <Paragraphs>22</Paragraphs>
  <TotalTime>8</TotalTime>
  <ScaleCrop>false</ScaleCrop>
  <LinksUpToDate>false</LinksUpToDate>
  <CharactersWithSpaces>11199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cp:lastModifiedBy>
  <cp:lastPrinted>2022-08-15T07:38:00Z</cp:lastPrinted>
  <dcterms:modified xsi:type="dcterms:W3CDTF">2023-10-13T03:10:44Z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6D15349204EB47C29F6FB1574B111696</vt:lpwstr>
  </property>
</Properties>
</file>