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F5ACBF">
      <w:pPr>
        <w:jc w:val="center"/>
        <w:rPr>
          <w:rFonts w:eastAsia="方正小标宋简体"/>
          <w:sz w:val="44"/>
          <w:szCs w:val="44"/>
        </w:rPr>
      </w:pPr>
      <w:bookmarkStart w:id="3" w:name="_GoBack"/>
      <w:bookmarkEnd w:id="3"/>
      <w:r>
        <w:rPr>
          <w:rFonts w:hint="eastAsia" w:ascii="方正小标宋简体" w:eastAsia="方正小标宋简体"/>
          <w:color w:val="000000"/>
          <w:sz w:val="44"/>
          <w:szCs w:val="44"/>
        </w:rPr>
        <w:t>2021</w:t>
      </w:r>
      <w:r>
        <w:rPr>
          <w:rFonts w:eastAsia="方正小标宋简体"/>
          <w:sz w:val="44"/>
          <w:szCs w:val="44"/>
        </w:rPr>
        <w:t>年度部门整体支出绩效自评报告</w:t>
      </w:r>
    </w:p>
    <w:p w14:paraId="17A513C4">
      <w:pPr>
        <w:ind w:firstLine="420" w:firstLineChars="200"/>
        <w:jc w:val="center"/>
      </w:pPr>
    </w:p>
    <w:p w14:paraId="22DE9EE3">
      <w:pPr>
        <w:ind w:firstLine="602" w:firstLineChars="200"/>
        <w:rPr>
          <w:rFonts w:ascii="宋体" w:hAnsi="宋体"/>
          <w:b/>
          <w:sz w:val="30"/>
          <w:szCs w:val="30"/>
        </w:rPr>
      </w:pPr>
      <w:r>
        <w:rPr>
          <w:rFonts w:ascii="宋体" w:hAnsi="宋体"/>
          <w:b/>
          <w:sz w:val="30"/>
          <w:szCs w:val="30"/>
        </w:rPr>
        <w:t>一、部门概况</w:t>
      </w:r>
    </w:p>
    <w:p w14:paraId="58FBFB43">
      <w:pPr>
        <w:ind w:firstLine="600" w:firstLineChars="200"/>
        <w:rPr>
          <w:rFonts w:ascii="宋体" w:hAnsi="宋体"/>
          <w:sz w:val="30"/>
          <w:szCs w:val="30"/>
        </w:rPr>
      </w:pPr>
      <w:r>
        <w:rPr>
          <w:rFonts w:ascii="宋体" w:hAnsi="宋体"/>
          <w:sz w:val="30"/>
          <w:szCs w:val="30"/>
        </w:rPr>
        <w:t>（一）部门基本情况。</w:t>
      </w:r>
    </w:p>
    <w:p w14:paraId="2CBE78ED">
      <w:pPr>
        <w:ind w:firstLine="640" w:firstLineChars="200"/>
        <w:rPr>
          <w:rFonts w:hint="eastAsia" w:ascii="仿宋" w:hAnsi="仿宋" w:eastAsia="仿宋" w:cs="仿宋"/>
          <w:color w:val="000000"/>
          <w:spacing w:val="0"/>
          <w:w w:val="100"/>
          <w:kern w:val="2"/>
          <w:position w:val="0"/>
          <w:sz w:val="32"/>
          <w:szCs w:val="32"/>
          <w:u w:val="none"/>
          <w:shd w:val="clear" w:color="auto" w:fill="auto"/>
          <w:lang w:val="zh-TW" w:eastAsia="zh-TW" w:bidi="zh-TW"/>
        </w:rPr>
      </w:pPr>
      <w:r>
        <w:rPr>
          <w:rFonts w:hint="eastAsia" w:ascii="仿宋" w:hAnsi="仿宋" w:eastAsia="仿宋" w:cs="仿宋"/>
          <w:color w:val="000000"/>
          <w:spacing w:val="0"/>
          <w:w w:val="100"/>
          <w:kern w:val="2"/>
          <w:position w:val="0"/>
          <w:sz w:val="32"/>
          <w:szCs w:val="32"/>
          <w:u w:val="none"/>
          <w:shd w:val="clear" w:color="auto" w:fill="auto"/>
          <w:lang w:val="zh-TW" w:eastAsia="zh-CN" w:bidi="zh-TW"/>
        </w:rPr>
        <w:t>内设办公室、法规信访室、人事教育股、就业促进与失业保险股（扶贫办公室）、专业技术人员管理股、事业单位人事管理股（区人事考试、事业单位工作人员培训办公室）、职业能力建设股、农民工工作股、劳动关系股（行政审批股）、工资福利股、养老保险股、工伤保险股（区劳动能力鉴定工作委员会办公室）、社会保险基金监管股（规划财务股）、绩效考核和表彰奖励股、纪检（监察）联络室、机关工会</w:t>
      </w:r>
      <w:r>
        <w:rPr>
          <w:rFonts w:hint="eastAsia" w:ascii="仿宋" w:hAnsi="仿宋" w:eastAsia="仿宋" w:cs="仿宋"/>
          <w:color w:val="000000"/>
          <w:spacing w:val="0"/>
          <w:w w:val="100"/>
          <w:kern w:val="2"/>
          <w:position w:val="0"/>
          <w:sz w:val="32"/>
          <w:szCs w:val="32"/>
          <w:u w:val="none"/>
          <w:shd w:val="clear" w:color="auto" w:fill="auto"/>
          <w:lang w:val="zh-TW" w:eastAsia="zh-TW" w:bidi="zh-TW"/>
        </w:rPr>
        <w:t>等1</w:t>
      </w:r>
      <w:r>
        <w:rPr>
          <w:rFonts w:hint="eastAsia" w:ascii="仿宋" w:hAnsi="仿宋" w:eastAsia="仿宋" w:cs="仿宋"/>
          <w:color w:val="000000"/>
          <w:spacing w:val="0"/>
          <w:w w:val="100"/>
          <w:kern w:val="2"/>
          <w:position w:val="0"/>
          <w:sz w:val="32"/>
          <w:szCs w:val="32"/>
          <w:u w:val="none"/>
          <w:shd w:val="clear" w:color="auto" w:fill="auto"/>
          <w:lang w:val="en-US" w:eastAsia="zh-CN" w:bidi="zh-TW"/>
        </w:rPr>
        <w:t>6</w:t>
      </w:r>
      <w:r>
        <w:rPr>
          <w:rFonts w:hint="eastAsia" w:ascii="仿宋" w:hAnsi="仿宋" w:eastAsia="仿宋" w:cs="仿宋"/>
          <w:color w:val="000000"/>
          <w:spacing w:val="0"/>
          <w:w w:val="100"/>
          <w:kern w:val="2"/>
          <w:position w:val="0"/>
          <w:sz w:val="32"/>
          <w:szCs w:val="32"/>
          <w:u w:val="none"/>
          <w:shd w:val="clear" w:color="auto" w:fill="auto"/>
          <w:lang w:val="zh-TW" w:eastAsia="zh-TW" w:bidi="zh-TW"/>
        </w:rPr>
        <w:t>个股室，</w:t>
      </w:r>
      <w:r>
        <w:rPr>
          <w:rFonts w:hint="eastAsia" w:ascii="仿宋" w:hAnsi="仿宋" w:eastAsia="仿宋" w:cs="仿宋"/>
          <w:color w:val="000000"/>
          <w:spacing w:val="0"/>
          <w:w w:val="100"/>
          <w:kern w:val="2"/>
          <w:position w:val="0"/>
          <w:sz w:val="32"/>
          <w:szCs w:val="32"/>
          <w:u w:val="none"/>
          <w:shd w:val="clear" w:color="auto" w:fill="auto"/>
          <w:lang w:val="zh-TW" w:eastAsia="zh-CN" w:bidi="zh-TW"/>
        </w:rPr>
        <w:t>在编在岗</w:t>
      </w:r>
      <w:r>
        <w:rPr>
          <w:rFonts w:hint="eastAsia" w:ascii="仿宋" w:hAnsi="仿宋" w:eastAsia="仿宋" w:cs="仿宋"/>
          <w:color w:val="000000"/>
          <w:spacing w:val="0"/>
          <w:w w:val="100"/>
          <w:kern w:val="2"/>
          <w:position w:val="0"/>
          <w:sz w:val="32"/>
          <w:szCs w:val="32"/>
          <w:u w:val="none"/>
          <w:shd w:val="clear" w:color="auto" w:fill="auto"/>
          <w:lang w:val="zh-TW" w:eastAsia="zh-TW" w:bidi="zh-TW"/>
        </w:rPr>
        <w:t>人员</w:t>
      </w:r>
      <w:r>
        <w:rPr>
          <w:rFonts w:hint="eastAsia" w:ascii="仿宋" w:hAnsi="仿宋" w:eastAsia="仿宋" w:cs="仿宋"/>
          <w:color w:val="000000"/>
          <w:spacing w:val="0"/>
          <w:w w:val="100"/>
          <w:kern w:val="2"/>
          <w:position w:val="0"/>
          <w:sz w:val="32"/>
          <w:szCs w:val="32"/>
          <w:u w:val="none"/>
          <w:shd w:val="clear" w:color="auto" w:fill="auto"/>
          <w:lang w:val="en-US" w:eastAsia="zh-CN" w:bidi="zh-TW"/>
        </w:rPr>
        <w:t>43</w:t>
      </w:r>
      <w:r>
        <w:rPr>
          <w:rFonts w:hint="eastAsia" w:ascii="仿宋" w:hAnsi="仿宋" w:eastAsia="仿宋" w:cs="仿宋"/>
          <w:color w:val="000000"/>
          <w:spacing w:val="0"/>
          <w:w w:val="100"/>
          <w:kern w:val="2"/>
          <w:position w:val="0"/>
          <w:sz w:val="32"/>
          <w:szCs w:val="32"/>
          <w:u w:val="none"/>
          <w:shd w:val="clear" w:color="auto" w:fill="auto"/>
          <w:lang w:val="zh-TW" w:eastAsia="zh-TW" w:bidi="zh-TW"/>
        </w:rPr>
        <w:t>人</w:t>
      </w:r>
      <w:r>
        <w:rPr>
          <w:rFonts w:hint="eastAsia" w:ascii="仿宋" w:hAnsi="仿宋" w:eastAsia="仿宋" w:cs="仿宋"/>
          <w:color w:val="000000"/>
          <w:spacing w:val="0"/>
          <w:w w:val="100"/>
          <w:kern w:val="2"/>
          <w:position w:val="0"/>
          <w:sz w:val="32"/>
          <w:szCs w:val="32"/>
          <w:u w:val="none"/>
          <w:shd w:val="clear" w:color="auto" w:fill="auto"/>
          <w:lang w:val="zh-TW" w:eastAsia="zh-CN" w:bidi="zh-TW"/>
        </w:rPr>
        <w:t>，</w:t>
      </w:r>
      <w:r>
        <w:rPr>
          <w:rFonts w:hint="eastAsia" w:ascii="仿宋" w:hAnsi="仿宋" w:eastAsia="仿宋" w:cs="仿宋"/>
          <w:color w:val="000000"/>
          <w:spacing w:val="0"/>
          <w:w w:val="100"/>
          <w:kern w:val="2"/>
          <w:position w:val="0"/>
          <w:sz w:val="32"/>
          <w:szCs w:val="32"/>
          <w:u w:val="none"/>
          <w:shd w:val="clear" w:color="auto" w:fill="auto"/>
          <w:lang w:val="zh-TW" w:eastAsia="zh-TW" w:bidi="zh-TW"/>
        </w:rPr>
        <w:t>退休人员</w:t>
      </w:r>
      <w:r>
        <w:rPr>
          <w:rFonts w:hint="eastAsia" w:ascii="仿宋" w:hAnsi="仿宋" w:eastAsia="仿宋" w:cs="仿宋"/>
          <w:color w:val="000000"/>
          <w:spacing w:val="0"/>
          <w:w w:val="100"/>
          <w:kern w:val="2"/>
          <w:position w:val="0"/>
          <w:sz w:val="32"/>
          <w:szCs w:val="32"/>
          <w:u w:val="none"/>
          <w:shd w:val="clear" w:color="auto" w:fill="auto"/>
          <w:lang w:val="en-US" w:eastAsia="zh-CN" w:bidi="zh-TW"/>
        </w:rPr>
        <w:t>27</w:t>
      </w:r>
      <w:r>
        <w:rPr>
          <w:rFonts w:hint="eastAsia" w:ascii="仿宋" w:hAnsi="仿宋" w:eastAsia="仿宋" w:cs="仿宋"/>
          <w:color w:val="000000"/>
          <w:spacing w:val="0"/>
          <w:w w:val="100"/>
          <w:kern w:val="2"/>
          <w:position w:val="0"/>
          <w:sz w:val="32"/>
          <w:szCs w:val="32"/>
          <w:u w:val="none"/>
          <w:shd w:val="clear" w:color="auto" w:fill="auto"/>
          <w:lang w:val="zh-TW" w:eastAsia="zh-TW" w:bidi="zh-TW"/>
        </w:rPr>
        <w:t>人。</w:t>
      </w:r>
    </w:p>
    <w:p w14:paraId="5F9043EC">
      <w:pPr>
        <w:ind w:firstLine="600" w:firstLineChars="200"/>
        <w:rPr>
          <w:rFonts w:ascii="宋体" w:hAnsi="宋体"/>
          <w:sz w:val="30"/>
          <w:szCs w:val="30"/>
        </w:rPr>
      </w:pPr>
      <w:r>
        <w:rPr>
          <w:rFonts w:ascii="宋体" w:hAnsi="宋体"/>
          <w:sz w:val="30"/>
          <w:szCs w:val="30"/>
        </w:rPr>
        <w:t>（二）</w:t>
      </w:r>
      <w:r>
        <w:rPr>
          <w:rFonts w:hint="eastAsia" w:ascii="宋体" w:hAnsi="宋体"/>
          <w:color w:val="000000"/>
          <w:sz w:val="30"/>
          <w:szCs w:val="30"/>
        </w:rPr>
        <w:t>2021</w:t>
      </w:r>
      <w:r>
        <w:rPr>
          <w:rFonts w:ascii="宋体" w:hAnsi="宋体"/>
          <w:sz w:val="30"/>
          <w:szCs w:val="30"/>
        </w:rPr>
        <w:t>年的重点工作</w:t>
      </w:r>
    </w:p>
    <w:p w14:paraId="105EF3A6">
      <w:pPr>
        <w:ind w:firstLine="640" w:firstLineChars="200"/>
        <w:rPr>
          <w:rFonts w:hint="eastAsia" w:ascii="仿宋" w:hAnsi="仿宋" w:eastAsia="仿宋" w:cs="仿宋"/>
          <w:color w:val="000000"/>
          <w:spacing w:val="0"/>
          <w:w w:val="100"/>
          <w:kern w:val="2"/>
          <w:position w:val="0"/>
          <w:sz w:val="32"/>
          <w:szCs w:val="32"/>
          <w:u w:val="none"/>
          <w:shd w:val="clear" w:color="auto" w:fill="auto"/>
          <w:lang w:val="zh-TW" w:eastAsia="zh-CN" w:bidi="zh-TW"/>
        </w:rPr>
      </w:pPr>
      <w:r>
        <w:rPr>
          <w:rFonts w:hint="eastAsia" w:ascii="仿宋" w:hAnsi="仿宋" w:eastAsia="仿宋" w:cs="仿宋"/>
          <w:color w:val="000000"/>
          <w:spacing w:val="0"/>
          <w:w w:val="100"/>
          <w:kern w:val="2"/>
          <w:position w:val="0"/>
          <w:sz w:val="32"/>
          <w:szCs w:val="32"/>
          <w:u w:val="none"/>
          <w:shd w:val="clear" w:color="auto" w:fill="auto"/>
          <w:lang w:val="zh-TW" w:eastAsia="zh-CN" w:bidi="zh-TW"/>
        </w:rPr>
        <w:t>1、进一步促进就业，采取措施保证下岗失业人员再就业，加强农村劳动力转移就业，保证城镇零就业家庭动态援助率100%。2、开展各类技能培训、职业技能鉴定。3、各大社会保险在保证完成任务的情况下，尽量争取超额完成任务，做到全区范围内应保尽保。4、组织全区各部门、单位的人事招聘考试，为我区引进优秀人才。5、组织参与全区绩效评估考核工作，完善考核细则，成立绩效考核长效机制。6、完成全区行政事业单位人员年终考核工作，审核各单位评选出的先进个人；根据政策做好年度全区人事调配工作，保障人才的正常流动。7、完成全区机关事业单位人员工资调资工作，审核审批退休人员养老金待遇。8、实施劳动保障监察，协调处理劳动纠纷、争议，依法查处违法案件，注重保障农民权益，做农民工最强有力的后盾。9、加强社保基金的监督，保证社保基金规范运作率和安全完整率均达到100%。</w:t>
      </w:r>
    </w:p>
    <w:p w14:paraId="030BA1B5">
      <w:pPr>
        <w:ind w:firstLine="602" w:firstLineChars="200"/>
        <w:rPr>
          <w:rFonts w:ascii="宋体" w:hAnsi="宋体"/>
          <w:b/>
          <w:sz w:val="30"/>
          <w:szCs w:val="30"/>
        </w:rPr>
      </w:pPr>
      <w:r>
        <w:rPr>
          <w:rFonts w:ascii="宋体" w:hAnsi="宋体"/>
          <w:b/>
          <w:sz w:val="30"/>
          <w:szCs w:val="30"/>
        </w:rPr>
        <w:t>二、</w:t>
      </w:r>
      <w:r>
        <w:rPr>
          <w:rFonts w:hint="eastAsia" w:ascii="宋体" w:hAnsi="宋体"/>
          <w:b/>
          <w:sz w:val="30"/>
          <w:szCs w:val="30"/>
          <w:lang w:val="en-US" w:eastAsia="zh-CN"/>
        </w:rPr>
        <w:t>一般公共预算</w:t>
      </w:r>
      <w:r>
        <w:rPr>
          <w:rFonts w:ascii="宋体" w:hAnsi="宋体"/>
          <w:b/>
          <w:sz w:val="30"/>
          <w:szCs w:val="30"/>
        </w:rPr>
        <w:t>支出情况</w:t>
      </w:r>
    </w:p>
    <w:p w14:paraId="6FDCFEDE">
      <w:pPr>
        <w:ind w:firstLine="600" w:firstLineChars="200"/>
        <w:rPr>
          <w:rFonts w:ascii="宋体" w:hAnsi="宋体"/>
          <w:sz w:val="30"/>
          <w:szCs w:val="30"/>
        </w:rPr>
      </w:pPr>
      <w:r>
        <w:rPr>
          <w:rFonts w:ascii="宋体" w:hAnsi="宋体"/>
          <w:sz w:val="30"/>
          <w:szCs w:val="30"/>
        </w:rPr>
        <w:t>（一）基本支出情况。</w:t>
      </w:r>
    </w:p>
    <w:p w14:paraId="57BAB9CE">
      <w:pPr>
        <w:ind w:firstLine="640" w:firstLineChars="200"/>
        <w:rPr>
          <w:rFonts w:hint="eastAsia"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2021</w:t>
      </w:r>
      <w:r>
        <w:rPr>
          <w:rFonts w:hint="eastAsia" w:ascii="仿宋" w:hAnsi="仿宋" w:eastAsia="仿宋" w:cs="仿宋"/>
          <w:color w:val="000000"/>
          <w:spacing w:val="0"/>
          <w:w w:val="100"/>
          <w:kern w:val="2"/>
          <w:position w:val="0"/>
          <w:sz w:val="32"/>
          <w:szCs w:val="32"/>
          <w:u w:val="none"/>
          <w:shd w:val="clear" w:color="auto" w:fill="auto"/>
          <w:lang w:val="zh-TW" w:eastAsia="zh-CN" w:bidi="zh-TW"/>
        </w:rPr>
        <w:t>年预算执行总支出</w:t>
      </w:r>
      <w:r>
        <w:rPr>
          <w:rFonts w:hint="eastAsia" w:ascii="仿宋" w:hAnsi="仿宋" w:eastAsia="仿宋" w:cs="仿宋"/>
          <w:color w:val="000000"/>
          <w:spacing w:val="0"/>
          <w:w w:val="100"/>
          <w:kern w:val="2"/>
          <w:position w:val="0"/>
          <w:sz w:val="32"/>
          <w:szCs w:val="32"/>
          <w:u w:val="none"/>
          <w:shd w:val="clear" w:color="auto" w:fill="auto"/>
          <w:lang w:val="en-US" w:eastAsia="zh-CN" w:bidi="zh-TW"/>
        </w:rPr>
        <w:t>838.44万元</w:t>
      </w:r>
      <w:r>
        <w:rPr>
          <w:rFonts w:hint="eastAsia" w:ascii="仿宋" w:hAnsi="仿宋" w:eastAsia="仿宋" w:cs="仿宋"/>
          <w:color w:val="000000"/>
          <w:spacing w:val="0"/>
          <w:w w:val="100"/>
          <w:kern w:val="2"/>
          <w:position w:val="0"/>
          <w:sz w:val="32"/>
          <w:szCs w:val="32"/>
          <w:u w:val="none"/>
          <w:shd w:val="clear" w:color="auto" w:fill="auto"/>
          <w:lang w:val="zh-TW" w:eastAsia="zh-CN" w:bidi="zh-TW"/>
        </w:rPr>
        <w:t>，同比</w:t>
      </w:r>
      <w:r>
        <w:rPr>
          <w:rFonts w:hint="eastAsia" w:ascii="仿宋" w:hAnsi="仿宋" w:eastAsia="仿宋" w:cs="仿宋"/>
          <w:color w:val="000000"/>
          <w:spacing w:val="0"/>
          <w:w w:val="100"/>
          <w:kern w:val="2"/>
          <w:position w:val="0"/>
          <w:sz w:val="32"/>
          <w:szCs w:val="32"/>
          <w:u w:val="none"/>
          <w:shd w:val="clear" w:color="auto" w:fill="auto"/>
          <w:lang w:val="en-US" w:eastAsia="zh-CN" w:bidi="zh-TW"/>
        </w:rPr>
        <w:t>减少477.45</w:t>
      </w:r>
      <w:r>
        <w:rPr>
          <w:rFonts w:hint="eastAsia" w:ascii="仿宋" w:hAnsi="仿宋" w:eastAsia="仿宋" w:cs="仿宋"/>
          <w:color w:val="000000"/>
          <w:spacing w:val="0"/>
          <w:w w:val="100"/>
          <w:kern w:val="2"/>
          <w:position w:val="0"/>
          <w:sz w:val="32"/>
          <w:szCs w:val="32"/>
          <w:u w:val="none"/>
          <w:shd w:val="clear" w:color="auto" w:fill="auto"/>
          <w:lang w:val="zh-TW" w:eastAsia="zh-CN" w:bidi="zh-TW"/>
        </w:rPr>
        <w:t>万元，</w:t>
      </w:r>
      <w:r>
        <w:rPr>
          <w:rFonts w:hint="eastAsia" w:ascii="仿宋" w:hAnsi="仿宋" w:eastAsia="仿宋" w:cs="仿宋"/>
          <w:color w:val="000000"/>
          <w:spacing w:val="0"/>
          <w:w w:val="100"/>
          <w:kern w:val="2"/>
          <w:position w:val="0"/>
          <w:sz w:val="32"/>
          <w:szCs w:val="32"/>
          <w:u w:val="none"/>
          <w:shd w:val="clear" w:color="auto" w:fill="auto"/>
          <w:lang w:val="en-US" w:eastAsia="zh-CN" w:bidi="zh-TW"/>
        </w:rPr>
        <w:t>增长率-5.37</w:t>
      </w:r>
      <w:r>
        <w:rPr>
          <w:rFonts w:hint="eastAsia" w:ascii="仿宋" w:hAnsi="仿宋" w:eastAsia="仿宋" w:cs="仿宋"/>
          <w:color w:val="000000"/>
          <w:spacing w:val="0"/>
          <w:w w:val="100"/>
          <w:kern w:val="2"/>
          <w:position w:val="0"/>
          <w:sz w:val="32"/>
          <w:szCs w:val="32"/>
          <w:u w:val="none"/>
          <w:shd w:val="clear" w:color="auto" w:fill="auto"/>
          <w:lang w:val="zh-TW" w:eastAsia="zh-CN" w:bidi="zh-TW"/>
        </w:rPr>
        <w:t>%。</w:t>
      </w:r>
      <w:r>
        <w:rPr>
          <w:rFonts w:hint="eastAsia" w:ascii="仿宋" w:hAnsi="仿宋" w:eastAsia="仿宋" w:cs="仿宋"/>
          <w:color w:val="000000"/>
          <w:spacing w:val="0"/>
          <w:w w:val="100"/>
          <w:kern w:val="2"/>
          <w:position w:val="0"/>
          <w:sz w:val="32"/>
          <w:szCs w:val="32"/>
          <w:u w:val="none"/>
          <w:shd w:val="clear" w:color="auto" w:fill="auto"/>
          <w:lang w:val="en-US" w:eastAsia="zh-CN" w:bidi="zh-TW"/>
        </w:rPr>
        <w:t>按支出功能分类为</w:t>
      </w:r>
      <w:r>
        <w:rPr>
          <w:rFonts w:hint="eastAsia" w:ascii="仿宋" w:hAnsi="仿宋" w:eastAsia="仿宋" w:cs="仿宋"/>
          <w:color w:val="000000"/>
          <w:spacing w:val="0"/>
          <w:w w:val="100"/>
          <w:kern w:val="2"/>
          <w:position w:val="0"/>
          <w:sz w:val="32"/>
          <w:szCs w:val="32"/>
          <w:u w:val="none"/>
          <w:shd w:val="clear" w:color="auto" w:fill="auto"/>
          <w:lang w:val="zh-TW" w:eastAsia="zh-CN" w:bidi="zh-TW"/>
        </w:rPr>
        <w:t>社会保障和就业支出</w:t>
      </w:r>
      <w:r>
        <w:rPr>
          <w:rFonts w:hint="eastAsia" w:ascii="仿宋" w:hAnsi="仿宋" w:eastAsia="仿宋" w:cs="仿宋"/>
          <w:color w:val="000000"/>
          <w:spacing w:val="0"/>
          <w:w w:val="100"/>
          <w:kern w:val="2"/>
          <w:position w:val="0"/>
          <w:sz w:val="32"/>
          <w:szCs w:val="32"/>
          <w:u w:val="none"/>
          <w:shd w:val="clear" w:color="auto" w:fill="auto"/>
          <w:lang w:val="en-US" w:eastAsia="zh-CN" w:bidi="zh-TW"/>
        </w:rPr>
        <w:t>838.44</w:t>
      </w:r>
      <w:r>
        <w:rPr>
          <w:rFonts w:hint="eastAsia" w:ascii="仿宋" w:hAnsi="仿宋" w:eastAsia="仿宋" w:cs="仿宋"/>
          <w:color w:val="000000"/>
          <w:spacing w:val="0"/>
          <w:w w:val="100"/>
          <w:kern w:val="2"/>
          <w:position w:val="0"/>
          <w:sz w:val="32"/>
          <w:szCs w:val="32"/>
          <w:u w:val="none"/>
          <w:shd w:val="clear" w:color="auto" w:fill="auto"/>
          <w:lang w:val="zh-TW" w:eastAsia="zh-CN" w:bidi="zh-TW"/>
        </w:rPr>
        <w:t>万元，</w:t>
      </w:r>
      <w:r>
        <w:rPr>
          <w:rFonts w:hint="eastAsia" w:ascii="仿宋" w:hAnsi="仿宋" w:eastAsia="仿宋" w:cs="仿宋"/>
          <w:color w:val="000000"/>
          <w:spacing w:val="0"/>
          <w:w w:val="100"/>
          <w:kern w:val="2"/>
          <w:position w:val="0"/>
          <w:sz w:val="32"/>
          <w:szCs w:val="32"/>
          <w:u w:val="none"/>
          <w:shd w:val="clear" w:color="auto" w:fill="auto"/>
          <w:lang w:val="en-US" w:eastAsia="zh-CN" w:bidi="zh-TW"/>
        </w:rPr>
        <w:t>占比100%</w:t>
      </w:r>
      <w:r>
        <w:rPr>
          <w:rFonts w:hint="eastAsia" w:ascii="仿宋" w:hAnsi="仿宋" w:eastAsia="仿宋" w:cs="仿宋"/>
          <w:color w:val="000000"/>
          <w:spacing w:val="0"/>
          <w:w w:val="100"/>
          <w:kern w:val="2"/>
          <w:position w:val="0"/>
          <w:sz w:val="32"/>
          <w:szCs w:val="32"/>
          <w:u w:val="none"/>
          <w:shd w:val="clear" w:color="auto" w:fill="auto"/>
          <w:lang w:val="zh-TW" w:eastAsia="zh-CN" w:bidi="zh-TW"/>
        </w:rPr>
        <w:t>。</w:t>
      </w:r>
      <w:r>
        <w:rPr>
          <w:rFonts w:hint="eastAsia" w:ascii="仿宋" w:hAnsi="仿宋" w:eastAsia="仿宋" w:cs="仿宋"/>
          <w:color w:val="000000"/>
          <w:spacing w:val="0"/>
          <w:w w:val="100"/>
          <w:kern w:val="2"/>
          <w:position w:val="0"/>
          <w:sz w:val="32"/>
          <w:szCs w:val="32"/>
          <w:u w:val="none"/>
          <w:shd w:val="clear" w:color="auto" w:fill="auto"/>
          <w:lang w:val="en-US" w:eastAsia="zh-CN" w:bidi="zh-TW"/>
        </w:rPr>
        <w:t>按安支出性质分类：基本支出476.18万元，其中人员经费457.68万元，公用经费18.5万元；项目支出362.27万元。按经济分类：工资福利支出456.78万元，商品和服务支出373.67万元，对个人和家庭补助0.89万元，资本性支出7.1万元。</w:t>
      </w:r>
    </w:p>
    <w:p w14:paraId="35E20166">
      <w:pPr>
        <w:ind w:firstLine="640" w:firstLineChars="200"/>
        <w:rPr>
          <w:rFonts w:hint="eastAsia" w:ascii="仿宋" w:hAnsi="仿宋" w:eastAsia="仿宋" w:cs="仿宋"/>
          <w:color w:val="000000"/>
          <w:spacing w:val="0"/>
          <w:w w:val="100"/>
          <w:kern w:val="2"/>
          <w:position w:val="0"/>
          <w:sz w:val="32"/>
          <w:szCs w:val="32"/>
          <w:u w:val="none"/>
          <w:shd w:val="clear" w:color="auto" w:fill="auto"/>
          <w:lang w:val="zh-TW"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一般公共预算财政拨款收入838.44万元，</w:t>
      </w:r>
      <w:r>
        <w:rPr>
          <w:rFonts w:hint="eastAsia" w:ascii="仿宋" w:hAnsi="仿宋" w:eastAsia="仿宋" w:cs="仿宋"/>
          <w:color w:val="000000"/>
          <w:spacing w:val="0"/>
          <w:w w:val="100"/>
          <w:kern w:val="2"/>
          <w:position w:val="0"/>
          <w:sz w:val="32"/>
          <w:szCs w:val="32"/>
          <w:u w:val="none"/>
          <w:shd w:val="clear" w:color="auto" w:fill="auto"/>
          <w:lang w:val="zh-TW" w:eastAsia="zh-CN" w:bidi="zh-TW"/>
        </w:rPr>
        <w:t>当年</w:t>
      </w:r>
      <w:r>
        <w:rPr>
          <w:rFonts w:hint="eastAsia" w:ascii="仿宋" w:hAnsi="仿宋" w:eastAsia="仿宋" w:cs="仿宋"/>
          <w:color w:val="000000"/>
          <w:spacing w:val="0"/>
          <w:w w:val="100"/>
          <w:kern w:val="2"/>
          <w:position w:val="0"/>
          <w:sz w:val="32"/>
          <w:szCs w:val="32"/>
          <w:u w:val="none"/>
          <w:shd w:val="clear" w:color="auto" w:fill="auto"/>
          <w:lang w:val="en-US" w:eastAsia="zh-CN" w:bidi="zh-TW"/>
        </w:rPr>
        <w:t>预算执行</w:t>
      </w:r>
      <w:r>
        <w:rPr>
          <w:rFonts w:hint="eastAsia" w:ascii="仿宋" w:hAnsi="仿宋" w:eastAsia="仿宋" w:cs="仿宋"/>
          <w:color w:val="000000"/>
          <w:spacing w:val="0"/>
          <w:w w:val="100"/>
          <w:kern w:val="2"/>
          <w:position w:val="0"/>
          <w:sz w:val="32"/>
          <w:szCs w:val="32"/>
          <w:u w:val="none"/>
          <w:shd w:val="clear" w:color="auto" w:fill="auto"/>
          <w:lang w:val="zh-TW" w:eastAsia="zh-CN" w:bidi="zh-TW"/>
        </w:rPr>
        <w:t>收支平衡。</w:t>
      </w:r>
    </w:p>
    <w:p w14:paraId="21841D81">
      <w:pPr>
        <w:ind w:firstLine="600" w:firstLineChars="200"/>
        <w:rPr>
          <w:rFonts w:ascii="宋体" w:hAnsi="宋体"/>
          <w:sz w:val="30"/>
          <w:szCs w:val="30"/>
        </w:rPr>
      </w:pPr>
      <w:r>
        <w:rPr>
          <w:rFonts w:ascii="宋体" w:hAnsi="宋体"/>
          <w:sz w:val="30"/>
          <w:szCs w:val="30"/>
        </w:rPr>
        <w:t>（二）项目支出情况。</w:t>
      </w:r>
    </w:p>
    <w:p w14:paraId="207EE2CA">
      <w:pPr>
        <w:pStyle w:val="4"/>
        <w:keepNext w:val="0"/>
        <w:keepLines w:val="0"/>
        <w:widowControl w:val="0"/>
        <w:shd w:val="clear" w:color="auto" w:fill="auto"/>
        <w:bidi w:val="0"/>
        <w:spacing w:before="0" w:after="0" w:line="614" w:lineRule="exact"/>
        <w:ind w:left="280" w:right="0" w:firstLine="660"/>
        <w:jc w:val="both"/>
        <w:rPr>
          <w:rFonts w:hint="eastAsia" w:ascii="仿宋" w:hAnsi="仿宋" w:eastAsia="仿宋" w:cs="仿宋"/>
          <w:color w:val="000000"/>
          <w:spacing w:val="0"/>
          <w:w w:val="100"/>
          <w:position w:val="0"/>
          <w:sz w:val="32"/>
          <w:szCs w:val="32"/>
          <w:lang w:val="en-US" w:eastAsia="zh-CN"/>
        </w:rPr>
      </w:pPr>
      <w:r>
        <w:rPr>
          <w:rFonts w:hint="eastAsia" w:ascii="仿宋" w:hAnsi="仿宋" w:eastAsia="仿宋" w:cs="仿宋"/>
          <w:color w:val="000000"/>
          <w:spacing w:val="0"/>
          <w:w w:val="100"/>
          <w:position w:val="0"/>
          <w:sz w:val="32"/>
          <w:szCs w:val="32"/>
          <w:lang w:val="en-US" w:eastAsia="zh-CN"/>
        </w:rPr>
        <w:t>2021</w:t>
      </w:r>
      <w:r>
        <w:rPr>
          <w:rFonts w:hint="eastAsia" w:ascii="仿宋" w:hAnsi="仿宋" w:eastAsia="仿宋" w:cs="仿宋"/>
          <w:color w:val="000000"/>
          <w:spacing w:val="0"/>
          <w:w w:val="100"/>
          <w:position w:val="0"/>
          <w:sz w:val="32"/>
          <w:szCs w:val="32"/>
        </w:rPr>
        <w:t>年度</w:t>
      </w:r>
      <w:r>
        <w:rPr>
          <w:rFonts w:hint="eastAsia" w:ascii="仿宋" w:hAnsi="仿宋" w:eastAsia="仿宋" w:cs="仿宋"/>
          <w:color w:val="000000"/>
          <w:spacing w:val="0"/>
          <w:w w:val="100"/>
          <w:position w:val="0"/>
          <w:sz w:val="32"/>
          <w:szCs w:val="32"/>
          <w:lang w:val="en-US" w:eastAsia="zh-CN"/>
        </w:rPr>
        <w:t>未安排</w:t>
      </w:r>
      <w:r>
        <w:rPr>
          <w:rFonts w:hint="eastAsia" w:ascii="仿宋" w:hAnsi="仿宋" w:eastAsia="仿宋" w:cs="仿宋"/>
          <w:color w:val="000000"/>
          <w:spacing w:val="0"/>
          <w:w w:val="100"/>
          <w:position w:val="0"/>
          <w:sz w:val="32"/>
          <w:szCs w:val="32"/>
        </w:rPr>
        <w:t>专项资金</w:t>
      </w:r>
      <w:r>
        <w:rPr>
          <w:rFonts w:hint="eastAsia" w:ascii="仿宋" w:hAnsi="仿宋" w:eastAsia="仿宋" w:cs="仿宋"/>
          <w:color w:val="000000"/>
          <w:spacing w:val="0"/>
          <w:w w:val="100"/>
          <w:position w:val="0"/>
          <w:sz w:val="32"/>
          <w:szCs w:val="32"/>
          <w:lang w:eastAsia="zh-CN"/>
        </w:rPr>
        <w:t>，</w:t>
      </w:r>
      <w:r>
        <w:rPr>
          <w:rFonts w:hint="eastAsia" w:ascii="仿宋" w:hAnsi="仿宋" w:eastAsia="仿宋" w:cs="仿宋"/>
          <w:color w:val="000000"/>
          <w:spacing w:val="0"/>
          <w:w w:val="100"/>
          <w:position w:val="0"/>
          <w:sz w:val="32"/>
          <w:szCs w:val="32"/>
        </w:rPr>
        <w:t>除专项资金以外的其他项目支出</w:t>
      </w:r>
      <w:r>
        <w:rPr>
          <w:rFonts w:hint="eastAsia" w:ascii="仿宋" w:hAnsi="仿宋" w:eastAsia="仿宋" w:cs="仿宋"/>
          <w:color w:val="000000"/>
          <w:spacing w:val="0"/>
          <w:w w:val="100"/>
          <w:position w:val="0"/>
          <w:sz w:val="32"/>
          <w:szCs w:val="32"/>
          <w:lang w:val="en-US" w:eastAsia="zh-CN"/>
        </w:rPr>
        <w:t>362.27万元</w:t>
      </w:r>
      <w:r>
        <w:rPr>
          <w:rFonts w:hint="eastAsia" w:ascii="仿宋" w:hAnsi="仿宋" w:eastAsia="仿宋" w:cs="仿宋"/>
          <w:color w:val="000000"/>
          <w:spacing w:val="0"/>
          <w:w w:val="100"/>
          <w:position w:val="0"/>
          <w:sz w:val="32"/>
          <w:szCs w:val="32"/>
        </w:rPr>
        <w:t>。</w:t>
      </w:r>
      <w:r>
        <w:rPr>
          <w:rFonts w:hint="eastAsia" w:ascii="仿宋" w:hAnsi="仿宋" w:eastAsia="仿宋" w:cs="仿宋"/>
          <w:color w:val="000000"/>
          <w:spacing w:val="0"/>
          <w:w w:val="100"/>
          <w:position w:val="0"/>
          <w:sz w:val="32"/>
          <w:szCs w:val="32"/>
          <w:lang w:val="en-US" w:eastAsia="zh-CN"/>
        </w:rPr>
        <w:t>其中人社工作经费60万元，19年绩效考核表彰经费（区直单位负责人）103.78万元，19年就业、社会保障、治欠保支工作先进奖励27.6万元，19年绩效考核工作经费3万元，档案整理工作经费18.08万元，事业单位招聘考试工作经费27万元，养老保险待遇“回头看”工作经费41.92万元，人力资源服务中心维修资金3.13万元，人社专线资费8.16，“三支一扶”大学生生活补助及社会保险费用69.6万元。</w:t>
      </w:r>
    </w:p>
    <w:p w14:paraId="07427211">
      <w:pPr>
        <w:ind w:firstLine="600" w:firstLineChars="200"/>
        <w:rPr>
          <w:rFonts w:ascii="宋体" w:hAnsi="宋体"/>
          <w:sz w:val="30"/>
          <w:szCs w:val="30"/>
        </w:rPr>
      </w:pPr>
      <w:r>
        <w:rPr>
          <w:rFonts w:ascii="宋体" w:hAnsi="宋体"/>
          <w:sz w:val="30"/>
          <w:szCs w:val="30"/>
        </w:rPr>
        <w:t>（三）“三公”经费情况</w:t>
      </w:r>
    </w:p>
    <w:p w14:paraId="5A726775">
      <w:pPr>
        <w:ind w:firstLine="640" w:firstLineChars="200"/>
        <w:rPr>
          <w:rFonts w:hint="eastAsia"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1．因公出国（境）费用；</w:t>
      </w:r>
    </w:p>
    <w:p w14:paraId="4F039BE1">
      <w:pPr>
        <w:ind w:firstLine="640" w:firstLineChars="200"/>
        <w:rPr>
          <w:rFonts w:hint="default"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2021年因公出国（境）0次，费用为0元。</w:t>
      </w:r>
    </w:p>
    <w:p w14:paraId="1C4308A6">
      <w:pPr>
        <w:numPr>
          <w:ilvl w:val="0"/>
          <w:numId w:val="1"/>
        </w:numPr>
        <w:ind w:left="30" w:leftChars="0" w:firstLine="600" w:firstLineChars="0"/>
        <w:rPr>
          <w:rFonts w:hint="eastAsia"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公务接待费；</w:t>
      </w:r>
    </w:p>
    <w:p w14:paraId="53FD4C06">
      <w:pPr>
        <w:spacing w:line="520" w:lineRule="exact"/>
        <w:ind w:firstLine="640" w:firstLineChars="200"/>
        <w:jc w:val="left"/>
        <w:rPr>
          <w:rFonts w:hint="default"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2021年公务接待经费3.8万元，同比减少0.2万元，增长率-5%。主要原因是贯彻执行党中央、国务院厉行节约精神，采取有效措施严格控制和压缩“三公”经费支出。</w:t>
      </w:r>
    </w:p>
    <w:p w14:paraId="342E5732">
      <w:pPr>
        <w:numPr>
          <w:ilvl w:val="0"/>
          <w:numId w:val="1"/>
        </w:numPr>
        <w:ind w:left="30" w:leftChars="0" w:firstLine="600" w:firstLineChars="0"/>
        <w:rPr>
          <w:rFonts w:hint="eastAsia" w:ascii="仿宋" w:hAnsi="仿宋" w:eastAsia="仿宋" w:cs="仿宋"/>
          <w:color w:val="000000"/>
          <w:spacing w:val="0"/>
          <w:w w:val="100"/>
          <w:kern w:val="2"/>
          <w:position w:val="0"/>
          <w:sz w:val="32"/>
          <w:szCs w:val="32"/>
          <w:u w:val="none"/>
          <w:shd w:val="clear" w:color="auto" w:fill="auto"/>
          <w:lang w:val="en-US" w:eastAsia="zh-CN" w:bidi="zh-TW"/>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公务用车购置及运行费。</w:t>
      </w:r>
    </w:p>
    <w:p w14:paraId="6E9723C6">
      <w:pPr>
        <w:numPr>
          <w:ilvl w:val="0"/>
          <w:numId w:val="0"/>
        </w:numPr>
        <w:ind w:leftChars="200"/>
        <w:rPr>
          <w:rFonts w:hint="default" w:ascii="仿宋" w:hAnsi="仿宋" w:eastAsia="仿宋" w:cs="仿宋"/>
          <w:color w:val="000000"/>
          <w:spacing w:val="0"/>
          <w:w w:val="100"/>
          <w:position w:val="0"/>
          <w:sz w:val="32"/>
          <w:szCs w:val="32"/>
          <w:lang w:val="en-US" w:eastAsia="zh-CN"/>
        </w:rPr>
      </w:pPr>
      <w:r>
        <w:rPr>
          <w:rFonts w:hint="eastAsia" w:ascii="仿宋" w:hAnsi="仿宋" w:eastAsia="仿宋" w:cs="仿宋"/>
          <w:color w:val="000000"/>
          <w:spacing w:val="0"/>
          <w:w w:val="100"/>
          <w:kern w:val="2"/>
          <w:position w:val="0"/>
          <w:sz w:val="32"/>
          <w:szCs w:val="32"/>
          <w:u w:val="none"/>
          <w:shd w:val="clear" w:color="auto" w:fill="auto"/>
          <w:lang w:val="en-US" w:eastAsia="zh-CN" w:bidi="zh-TW"/>
        </w:rPr>
        <w:t xml:space="preserve"> 2021年公务用车购置及运行费为0元。</w:t>
      </w:r>
    </w:p>
    <w:p w14:paraId="5D143983">
      <w:pPr>
        <w:pStyle w:val="4"/>
        <w:keepNext w:val="0"/>
        <w:keepLines w:val="0"/>
        <w:widowControl w:val="0"/>
        <w:numPr>
          <w:ilvl w:val="0"/>
          <w:numId w:val="2"/>
        </w:numPr>
        <w:shd w:val="clear" w:color="auto" w:fill="auto"/>
        <w:tabs>
          <w:tab w:val="left" w:pos="1538"/>
        </w:tabs>
        <w:bidi w:val="0"/>
        <w:spacing w:before="0" w:after="0" w:line="614" w:lineRule="exact"/>
        <w:ind w:left="0" w:right="0" w:firstLine="900"/>
        <w:jc w:val="left"/>
        <w:rPr>
          <w:rFonts w:hint="eastAsia" w:ascii="黑体" w:hAnsi="黑体" w:eastAsia="黑体" w:cs="黑体"/>
          <w:color w:val="000000"/>
          <w:spacing w:val="0"/>
          <w:w w:val="100"/>
          <w:position w:val="0"/>
          <w:sz w:val="32"/>
          <w:szCs w:val="32"/>
          <w:lang w:val="en-US" w:eastAsia="zh-CN"/>
        </w:rPr>
      </w:pPr>
      <w:r>
        <w:rPr>
          <w:rFonts w:hint="eastAsia" w:ascii="黑体" w:hAnsi="黑体" w:eastAsia="黑体" w:cs="黑体"/>
          <w:color w:val="000000"/>
          <w:spacing w:val="0"/>
          <w:w w:val="100"/>
          <w:position w:val="0"/>
          <w:sz w:val="32"/>
          <w:szCs w:val="32"/>
        </w:rPr>
        <w:t>政府性基金预算支出情况</w:t>
      </w:r>
      <w:r>
        <w:rPr>
          <w:rFonts w:hint="eastAsia" w:ascii="黑体" w:hAnsi="黑体" w:eastAsia="黑体" w:cs="黑体"/>
          <w:color w:val="000000"/>
          <w:spacing w:val="0"/>
          <w:w w:val="100"/>
          <w:position w:val="0"/>
          <w:sz w:val="32"/>
          <w:szCs w:val="32"/>
          <w:lang w:eastAsia="zh-CN"/>
        </w:rPr>
        <w:t>：</w:t>
      </w:r>
      <w:r>
        <w:rPr>
          <w:rFonts w:hint="eastAsia" w:ascii="黑体" w:hAnsi="黑体" w:eastAsia="黑体" w:cs="黑体"/>
          <w:color w:val="000000"/>
          <w:spacing w:val="0"/>
          <w:w w:val="100"/>
          <w:position w:val="0"/>
          <w:sz w:val="32"/>
          <w:szCs w:val="32"/>
          <w:lang w:val="en-US" w:eastAsia="zh-CN"/>
        </w:rPr>
        <w:t>无</w:t>
      </w:r>
    </w:p>
    <w:p w14:paraId="6878A5AA">
      <w:pPr>
        <w:pStyle w:val="4"/>
        <w:keepNext w:val="0"/>
        <w:keepLines w:val="0"/>
        <w:widowControl w:val="0"/>
        <w:shd w:val="clear" w:color="auto" w:fill="auto"/>
        <w:tabs>
          <w:tab w:val="left" w:pos="1538"/>
        </w:tabs>
        <w:bidi w:val="0"/>
        <w:spacing w:before="0" w:after="0" w:line="614" w:lineRule="exact"/>
        <w:ind w:left="0" w:right="0" w:firstLine="900"/>
        <w:jc w:val="left"/>
        <w:rPr>
          <w:rFonts w:hint="default" w:ascii="黑体" w:hAnsi="黑体" w:eastAsia="黑体" w:cs="黑体"/>
          <w:sz w:val="32"/>
          <w:szCs w:val="32"/>
          <w:lang w:val="en-US" w:eastAsia="zh-CN"/>
        </w:rPr>
      </w:pPr>
      <w:bookmarkStart w:id="0" w:name="bookmark82"/>
      <w:r>
        <w:rPr>
          <w:rFonts w:hint="eastAsia" w:ascii="黑体" w:hAnsi="黑体" w:eastAsia="黑体" w:cs="黑体"/>
          <w:color w:val="000000"/>
          <w:spacing w:val="0"/>
          <w:w w:val="100"/>
          <w:position w:val="0"/>
          <w:sz w:val="32"/>
          <w:szCs w:val="32"/>
        </w:rPr>
        <w:t>四</w:t>
      </w:r>
      <w:bookmarkEnd w:id="0"/>
      <w:r>
        <w:rPr>
          <w:rFonts w:hint="eastAsia" w:ascii="黑体" w:hAnsi="黑体" w:eastAsia="黑体" w:cs="黑体"/>
          <w:color w:val="000000"/>
          <w:spacing w:val="0"/>
          <w:w w:val="100"/>
          <w:position w:val="0"/>
          <w:sz w:val="32"/>
          <w:szCs w:val="32"/>
        </w:rPr>
        <w:t>、国有资本经营预算支出情况</w:t>
      </w:r>
      <w:r>
        <w:rPr>
          <w:rFonts w:hint="eastAsia" w:ascii="黑体" w:hAnsi="黑体" w:eastAsia="黑体" w:cs="黑体"/>
          <w:color w:val="000000"/>
          <w:spacing w:val="0"/>
          <w:w w:val="100"/>
          <w:position w:val="0"/>
          <w:sz w:val="32"/>
          <w:szCs w:val="32"/>
          <w:lang w:eastAsia="zh-CN"/>
        </w:rPr>
        <w:t>：</w:t>
      </w:r>
      <w:r>
        <w:rPr>
          <w:rFonts w:hint="eastAsia" w:ascii="黑体" w:hAnsi="黑体" w:eastAsia="黑体" w:cs="黑体"/>
          <w:color w:val="000000"/>
          <w:spacing w:val="0"/>
          <w:w w:val="100"/>
          <w:position w:val="0"/>
          <w:sz w:val="32"/>
          <w:szCs w:val="32"/>
          <w:lang w:val="en-US" w:eastAsia="zh-CN"/>
        </w:rPr>
        <w:t>无</w:t>
      </w:r>
    </w:p>
    <w:p w14:paraId="4A8907FE">
      <w:pPr>
        <w:pStyle w:val="4"/>
        <w:keepNext w:val="0"/>
        <w:keepLines w:val="0"/>
        <w:widowControl w:val="0"/>
        <w:shd w:val="clear" w:color="auto" w:fill="auto"/>
        <w:tabs>
          <w:tab w:val="left" w:pos="1538"/>
        </w:tabs>
        <w:bidi w:val="0"/>
        <w:spacing w:before="0" w:after="0" w:line="614" w:lineRule="exact"/>
        <w:ind w:left="0" w:right="0" w:firstLine="900"/>
        <w:jc w:val="left"/>
        <w:rPr>
          <w:rFonts w:hint="default" w:ascii="黑体" w:hAnsi="黑体" w:eastAsia="黑体" w:cs="黑体"/>
          <w:sz w:val="32"/>
          <w:szCs w:val="32"/>
          <w:lang w:val="en-US" w:eastAsia="zh-CN"/>
        </w:rPr>
      </w:pPr>
      <w:bookmarkStart w:id="1" w:name="bookmark83"/>
      <w:r>
        <w:rPr>
          <w:rFonts w:hint="eastAsia" w:ascii="黑体" w:hAnsi="黑体" w:eastAsia="黑体" w:cs="黑体"/>
          <w:color w:val="000000"/>
          <w:spacing w:val="0"/>
          <w:w w:val="100"/>
          <w:position w:val="0"/>
          <w:sz w:val="32"/>
          <w:szCs w:val="32"/>
        </w:rPr>
        <w:t>五</w:t>
      </w:r>
      <w:bookmarkEnd w:id="1"/>
      <w:r>
        <w:rPr>
          <w:rFonts w:hint="eastAsia" w:ascii="黑体" w:hAnsi="黑体" w:eastAsia="黑体" w:cs="黑体"/>
          <w:color w:val="000000"/>
          <w:spacing w:val="0"/>
          <w:w w:val="100"/>
          <w:position w:val="0"/>
          <w:sz w:val="32"/>
          <w:szCs w:val="32"/>
        </w:rPr>
        <w:t>、社会保险基金预算支出情况</w:t>
      </w:r>
      <w:r>
        <w:rPr>
          <w:rFonts w:hint="eastAsia" w:ascii="黑体" w:hAnsi="黑体" w:eastAsia="黑体" w:cs="黑体"/>
          <w:color w:val="000000"/>
          <w:spacing w:val="0"/>
          <w:w w:val="100"/>
          <w:position w:val="0"/>
          <w:sz w:val="32"/>
          <w:szCs w:val="32"/>
          <w:lang w:eastAsia="zh-CN"/>
        </w:rPr>
        <w:t>：</w:t>
      </w:r>
      <w:r>
        <w:rPr>
          <w:rFonts w:hint="eastAsia" w:ascii="黑体" w:hAnsi="黑体" w:eastAsia="黑体" w:cs="黑体"/>
          <w:color w:val="000000"/>
          <w:spacing w:val="0"/>
          <w:w w:val="100"/>
          <w:position w:val="0"/>
          <w:sz w:val="32"/>
          <w:szCs w:val="32"/>
          <w:lang w:val="en-US" w:eastAsia="zh-CN"/>
        </w:rPr>
        <w:t>无</w:t>
      </w:r>
    </w:p>
    <w:p w14:paraId="547F67DD">
      <w:pPr>
        <w:pStyle w:val="4"/>
        <w:keepNext w:val="0"/>
        <w:keepLines w:val="0"/>
        <w:widowControl w:val="0"/>
        <w:shd w:val="clear" w:color="auto" w:fill="auto"/>
        <w:tabs>
          <w:tab w:val="left" w:pos="1538"/>
        </w:tabs>
        <w:bidi w:val="0"/>
        <w:spacing w:before="0" w:after="0" w:line="614" w:lineRule="exact"/>
        <w:ind w:left="0" w:right="0" w:firstLine="900"/>
        <w:jc w:val="left"/>
        <w:rPr>
          <w:rFonts w:hint="eastAsia" w:ascii="黑体" w:hAnsi="黑体" w:eastAsia="黑体" w:cs="黑体"/>
          <w:color w:val="000000"/>
          <w:spacing w:val="0"/>
          <w:w w:val="100"/>
          <w:position w:val="0"/>
          <w:sz w:val="32"/>
          <w:szCs w:val="32"/>
        </w:rPr>
      </w:pPr>
      <w:bookmarkStart w:id="2" w:name="bookmark84"/>
      <w:r>
        <w:rPr>
          <w:rFonts w:hint="eastAsia" w:ascii="黑体" w:hAnsi="黑体" w:eastAsia="黑体" w:cs="黑体"/>
          <w:color w:val="000000"/>
          <w:spacing w:val="0"/>
          <w:w w:val="100"/>
          <w:position w:val="0"/>
          <w:sz w:val="32"/>
          <w:szCs w:val="32"/>
        </w:rPr>
        <w:t>六</w:t>
      </w:r>
      <w:bookmarkEnd w:id="2"/>
      <w:r>
        <w:rPr>
          <w:rFonts w:hint="eastAsia" w:ascii="黑体" w:hAnsi="黑体" w:eastAsia="黑体" w:cs="黑体"/>
          <w:color w:val="000000"/>
          <w:spacing w:val="0"/>
          <w:w w:val="100"/>
          <w:position w:val="0"/>
          <w:sz w:val="32"/>
          <w:szCs w:val="32"/>
        </w:rPr>
        <w:t>、部门整体支出绩效情况</w:t>
      </w:r>
    </w:p>
    <w:p w14:paraId="2556B86C">
      <w:pPr>
        <w:ind w:firstLine="640" w:firstLineChars="200"/>
        <w:rPr>
          <w:rFonts w:hint="default" w:ascii="仿宋" w:hAnsi="仿宋" w:eastAsia="仿宋" w:cs="仿宋"/>
          <w:color w:val="000000"/>
          <w:spacing w:val="0"/>
          <w:w w:val="100"/>
          <w:position w:val="0"/>
          <w:sz w:val="32"/>
          <w:szCs w:val="32"/>
          <w:lang w:val="en-US" w:eastAsia="zh-CN"/>
        </w:rPr>
      </w:pPr>
      <w:r>
        <w:rPr>
          <w:rFonts w:hint="eastAsia" w:ascii="仿宋" w:hAnsi="仿宋" w:eastAsia="仿宋" w:cs="仿宋"/>
          <w:color w:val="000000"/>
          <w:spacing w:val="0"/>
          <w:w w:val="100"/>
          <w:position w:val="0"/>
          <w:sz w:val="32"/>
          <w:szCs w:val="32"/>
          <w:lang w:eastAsia="zh-CN"/>
        </w:rPr>
        <w:t>20</w:t>
      </w:r>
      <w:r>
        <w:rPr>
          <w:rFonts w:hint="eastAsia" w:ascii="仿宋" w:hAnsi="仿宋" w:eastAsia="仿宋" w:cs="仿宋"/>
          <w:color w:val="000000"/>
          <w:spacing w:val="0"/>
          <w:w w:val="100"/>
          <w:position w:val="0"/>
          <w:sz w:val="32"/>
          <w:szCs w:val="32"/>
          <w:lang w:val="en-US" w:eastAsia="zh-CN"/>
        </w:rPr>
        <w:t>21</w:t>
      </w:r>
      <w:r>
        <w:rPr>
          <w:rFonts w:hint="eastAsia" w:ascii="仿宋" w:hAnsi="仿宋" w:eastAsia="仿宋" w:cs="仿宋"/>
          <w:color w:val="000000"/>
          <w:spacing w:val="0"/>
          <w:w w:val="100"/>
          <w:position w:val="0"/>
          <w:sz w:val="32"/>
          <w:szCs w:val="32"/>
          <w:lang w:eastAsia="zh-CN"/>
        </w:rPr>
        <w:t>年在</w:t>
      </w:r>
      <w:r>
        <w:rPr>
          <w:rFonts w:hint="eastAsia" w:ascii="仿宋" w:hAnsi="仿宋" w:eastAsia="仿宋" w:cs="仿宋"/>
          <w:color w:val="000000"/>
          <w:spacing w:val="0"/>
          <w:w w:val="100"/>
          <w:kern w:val="2"/>
          <w:position w:val="0"/>
          <w:sz w:val="32"/>
          <w:szCs w:val="32"/>
          <w:u w:val="none"/>
          <w:shd w:val="clear" w:color="auto" w:fill="auto"/>
          <w:lang w:val="en-US" w:eastAsia="zh-CN" w:bidi="zh-TW"/>
        </w:rPr>
        <w:t>一般公共预算财政拨款收入838.44万元</w:t>
      </w:r>
      <w:r>
        <w:rPr>
          <w:rFonts w:hint="eastAsia" w:ascii="仿宋" w:hAnsi="仿宋" w:eastAsia="仿宋" w:cs="仿宋"/>
          <w:color w:val="000000"/>
          <w:spacing w:val="0"/>
          <w:w w:val="100"/>
          <w:position w:val="0"/>
          <w:sz w:val="32"/>
          <w:szCs w:val="32"/>
          <w:lang w:eastAsia="zh-CN"/>
        </w:rPr>
        <w:t>以内，完成本单位正常工作和</w:t>
      </w:r>
      <w:r>
        <w:rPr>
          <w:rFonts w:hint="eastAsia" w:ascii="仿宋" w:hAnsi="仿宋" w:eastAsia="仿宋" w:cs="仿宋"/>
          <w:color w:val="000000"/>
          <w:spacing w:val="0"/>
          <w:w w:val="100"/>
          <w:position w:val="0"/>
          <w:sz w:val="32"/>
          <w:szCs w:val="32"/>
          <w:lang w:val="en-US" w:eastAsia="zh-CN"/>
        </w:rPr>
        <w:t>区委</w:t>
      </w:r>
      <w:r>
        <w:rPr>
          <w:rFonts w:hint="eastAsia" w:ascii="仿宋" w:hAnsi="仿宋" w:eastAsia="仿宋" w:cs="仿宋"/>
          <w:color w:val="000000"/>
          <w:spacing w:val="0"/>
          <w:w w:val="100"/>
          <w:position w:val="0"/>
          <w:sz w:val="32"/>
          <w:szCs w:val="32"/>
          <w:lang w:eastAsia="zh-CN"/>
        </w:rPr>
        <w:t>区政府</w:t>
      </w:r>
      <w:r>
        <w:rPr>
          <w:rFonts w:hint="eastAsia" w:ascii="仿宋" w:hAnsi="仿宋" w:eastAsia="仿宋" w:cs="仿宋"/>
          <w:color w:val="000000"/>
          <w:spacing w:val="0"/>
          <w:w w:val="100"/>
          <w:position w:val="0"/>
          <w:sz w:val="32"/>
          <w:szCs w:val="32"/>
          <w:lang w:val="en-US" w:eastAsia="zh-CN"/>
        </w:rPr>
        <w:t>安排的</w:t>
      </w:r>
      <w:r>
        <w:rPr>
          <w:rFonts w:hint="eastAsia" w:ascii="仿宋" w:hAnsi="仿宋" w:eastAsia="仿宋" w:cs="仿宋"/>
          <w:color w:val="000000"/>
          <w:spacing w:val="0"/>
          <w:w w:val="100"/>
          <w:position w:val="0"/>
          <w:sz w:val="32"/>
          <w:szCs w:val="32"/>
          <w:lang w:eastAsia="zh-CN"/>
        </w:rPr>
        <w:t>重点工作，确保干部职工工资福利发放；合法开支，在政策允许的范围内使用工作经费。</w:t>
      </w:r>
    </w:p>
    <w:p w14:paraId="70A612A6">
      <w:pPr>
        <w:numPr>
          <w:ilvl w:val="0"/>
          <w:numId w:val="3"/>
        </w:numPr>
        <w:ind w:firstLine="602" w:firstLineChars="200"/>
        <w:rPr>
          <w:rFonts w:hint="eastAsia" w:ascii="宋体" w:hAnsi="宋体"/>
          <w:b/>
          <w:sz w:val="30"/>
          <w:szCs w:val="30"/>
        </w:rPr>
      </w:pPr>
      <w:r>
        <w:rPr>
          <w:rFonts w:hint="eastAsia" w:ascii="宋体" w:hAnsi="宋体"/>
          <w:b/>
          <w:sz w:val="30"/>
          <w:szCs w:val="30"/>
        </w:rPr>
        <w:t>绩效自评得分情况及绩效等级。</w:t>
      </w:r>
    </w:p>
    <w:p w14:paraId="28DAEF08">
      <w:pPr>
        <w:numPr>
          <w:ilvl w:val="0"/>
          <w:numId w:val="0"/>
        </w:numPr>
        <w:rPr>
          <w:rFonts w:hint="default" w:ascii="仿宋" w:hAnsi="仿宋" w:eastAsia="仿宋" w:cs="仿宋"/>
          <w:color w:val="000000"/>
          <w:spacing w:val="0"/>
          <w:w w:val="100"/>
          <w:position w:val="0"/>
          <w:sz w:val="32"/>
          <w:szCs w:val="32"/>
          <w:lang w:val="en-US" w:eastAsia="zh-CN"/>
        </w:rPr>
      </w:pPr>
      <w:r>
        <w:rPr>
          <w:rFonts w:hint="default" w:ascii="宋体" w:hAnsi="宋体"/>
          <w:b/>
          <w:sz w:val="30"/>
          <w:szCs w:val="30"/>
          <w:lang w:val="en-US"/>
        </w:rPr>
        <w:t xml:space="preserve">     </w:t>
      </w:r>
      <w:r>
        <w:rPr>
          <w:rFonts w:hint="eastAsia" w:ascii="仿宋" w:hAnsi="仿宋" w:eastAsia="仿宋" w:cs="仿宋"/>
          <w:color w:val="000000"/>
          <w:spacing w:val="0"/>
          <w:w w:val="100"/>
          <w:position w:val="0"/>
          <w:sz w:val="32"/>
          <w:szCs w:val="32"/>
          <w:lang w:val="en-US" w:eastAsia="zh-CN"/>
        </w:rPr>
        <w:t>绩效自评得分95分，等级为优秀。</w:t>
      </w:r>
    </w:p>
    <w:p w14:paraId="5D5B4052">
      <w:pPr>
        <w:ind w:firstLine="602" w:firstLineChars="200"/>
        <w:rPr>
          <w:rFonts w:hint="eastAsia" w:ascii="宋体" w:hAnsi="宋体"/>
          <w:b/>
          <w:sz w:val="30"/>
          <w:szCs w:val="30"/>
          <w:lang w:eastAsia="zh-CN"/>
        </w:rPr>
      </w:pPr>
      <w:r>
        <w:rPr>
          <w:rFonts w:hint="eastAsia" w:ascii="宋体" w:hAnsi="宋体"/>
          <w:b/>
          <w:sz w:val="30"/>
          <w:szCs w:val="30"/>
          <w:lang w:eastAsia="zh-CN"/>
        </w:rPr>
        <w:t>八</w:t>
      </w:r>
      <w:r>
        <w:rPr>
          <w:rFonts w:ascii="宋体" w:hAnsi="宋体"/>
          <w:b/>
          <w:sz w:val="30"/>
          <w:szCs w:val="30"/>
        </w:rPr>
        <w:t>、存在的问题</w:t>
      </w:r>
      <w:r>
        <w:rPr>
          <w:rFonts w:hint="eastAsia" w:ascii="宋体" w:hAnsi="宋体"/>
          <w:b/>
          <w:sz w:val="30"/>
          <w:szCs w:val="30"/>
          <w:lang w:eastAsia="zh-CN"/>
        </w:rPr>
        <w:t>及原因分析</w:t>
      </w:r>
    </w:p>
    <w:p w14:paraId="3C093402">
      <w:pPr>
        <w:numPr>
          <w:ilvl w:val="0"/>
          <w:numId w:val="0"/>
        </w:numPr>
        <w:spacing w:line="520" w:lineRule="exact"/>
        <w:ind w:firstLine="640" w:firstLineChars="200"/>
        <w:jc w:val="left"/>
        <w:rPr>
          <w:rFonts w:hint="eastAsia" w:ascii="宋体" w:hAnsi="宋体"/>
          <w:b/>
          <w:sz w:val="30"/>
          <w:szCs w:val="30"/>
          <w:lang w:eastAsia="zh-CN"/>
        </w:rPr>
      </w:pPr>
      <w:r>
        <w:rPr>
          <w:rFonts w:hint="eastAsia" w:ascii="仿宋" w:hAnsi="仿宋" w:eastAsia="仿宋" w:cs="仿宋"/>
          <w:color w:val="000000"/>
          <w:spacing w:val="0"/>
          <w:w w:val="100"/>
          <w:position w:val="0"/>
          <w:sz w:val="32"/>
          <w:szCs w:val="32"/>
          <w:lang w:val="en-US" w:eastAsia="zh-CN"/>
        </w:rPr>
        <w:t>预算执行支出的公用经费大于预算安排的公用经费，主要原因是本单位承担的全区性工作量大，预算外支出多。</w:t>
      </w:r>
    </w:p>
    <w:p w14:paraId="75213E95">
      <w:pPr>
        <w:numPr>
          <w:ilvl w:val="0"/>
          <w:numId w:val="4"/>
        </w:numPr>
        <w:ind w:firstLine="602" w:firstLineChars="200"/>
        <w:rPr>
          <w:rFonts w:ascii="宋体" w:hAnsi="宋体"/>
          <w:b/>
          <w:sz w:val="30"/>
          <w:szCs w:val="30"/>
        </w:rPr>
      </w:pPr>
      <w:r>
        <w:rPr>
          <w:rFonts w:ascii="宋体" w:hAnsi="宋体"/>
          <w:b/>
          <w:sz w:val="30"/>
          <w:szCs w:val="30"/>
        </w:rPr>
        <w:t>改进措施和有关建议</w:t>
      </w:r>
    </w:p>
    <w:p w14:paraId="18D92693">
      <w:pPr>
        <w:numPr>
          <w:ilvl w:val="0"/>
          <w:numId w:val="0"/>
        </w:numPr>
        <w:spacing w:line="520" w:lineRule="exact"/>
        <w:ind w:firstLine="640" w:firstLineChars="200"/>
        <w:jc w:val="left"/>
        <w:rPr>
          <w:rFonts w:hint="default" w:ascii="仿宋" w:hAnsi="仿宋" w:eastAsia="仿宋" w:cs="仿宋"/>
          <w:color w:val="000000"/>
          <w:spacing w:val="0"/>
          <w:w w:val="100"/>
          <w:position w:val="0"/>
          <w:sz w:val="32"/>
          <w:szCs w:val="32"/>
          <w:lang w:val="en-US" w:eastAsia="zh-CN"/>
        </w:rPr>
      </w:pPr>
      <w:r>
        <w:rPr>
          <w:rFonts w:hint="eastAsia" w:ascii="仿宋" w:hAnsi="仿宋" w:eastAsia="仿宋" w:cs="仿宋"/>
          <w:color w:val="000000"/>
          <w:spacing w:val="0"/>
          <w:w w:val="100"/>
          <w:position w:val="0"/>
          <w:sz w:val="32"/>
          <w:szCs w:val="32"/>
          <w:lang w:val="en-US" w:eastAsia="zh-CN"/>
        </w:rPr>
        <w:t>贯彻落实节约制度，尽力压缩支出，将节约开支作为一项制度来执行，确保国有资产用之有度、用之有效、用之有方。</w:t>
      </w:r>
    </w:p>
    <w:p w14:paraId="7537FCB8">
      <w:pPr>
        <w:ind w:firstLine="602" w:firstLineChars="200"/>
        <w:rPr>
          <w:rFonts w:hint="default" w:ascii="宋体" w:hAnsi="宋体" w:eastAsia="宋体"/>
          <w:b/>
          <w:sz w:val="30"/>
          <w:szCs w:val="30"/>
          <w:lang w:val="en-US" w:eastAsia="zh-CN"/>
        </w:rPr>
      </w:pPr>
      <w:r>
        <w:rPr>
          <w:rFonts w:hint="eastAsia" w:ascii="宋体" w:hAnsi="宋体"/>
          <w:b/>
          <w:sz w:val="30"/>
          <w:szCs w:val="30"/>
          <w:lang w:eastAsia="zh-CN"/>
        </w:rPr>
        <w:t>十、其他需要说明的情况：</w:t>
      </w:r>
      <w:r>
        <w:rPr>
          <w:rFonts w:hint="eastAsia" w:ascii="宋体" w:hAnsi="宋体"/>
          <w:b/>
          <w:sz w:val="30"/>
          <w:szCs w:val="30"/>
          <w:lang w:val="en-US" w:eastAsia="zh-CN"/>
        </w:rPr>
        <w:t>无</w:t>
      </w:r>
    </w:p>
    <w:p w14:paraId="220E191E">
      <w:pPr>
        <w:ind w:firstLine="602" w:firstLineChars="200"/>
        <w:rPr>
          <w:rFonts w:ascii="宋体" w:hAnsi="宋体"/>
          <w:b/>
          <w:sz w:val="30"/>
          <w:szCs w:val="30"/>
        </w:rPr>
      </w:pPr>
    </w:p>
    <w:p w14:paraId="16A4C904">
      <w:pPr>
        <w:ind w:firstLine="602" w:firstLineChars="200"/>
        <w:rPr>
          <w:rFonts w:hint="eastAsia" w:ascii="仿宋" w:hAnsi="仿宋" w:eastAsia="仿宋" w:cs="仿宋"/>
          <w:color w:val="000000"/>
          <w:spacing w:val="0"/>
          <w:w w:val="100"/>
          <w:position w:val="0"/>
          <w:sz w:val="32"/>
          <w:szCs w:val="32"/>
          <w:lang w:val="en-US" w:eastAsia="zh-CN"/>
        </w:rPr>
      </w:pPr>
      <w:r>
        <w:rPr>
          <w:rFonts w:hint="eastAsia" w:ascii="宋体" w:hAnsi="宋体"/>
          <w:b/>
          <w:sz w:val="30"/>
          <w:szCs w:val="30"/>
          <w:lang w:val="en-US" w:eastAsia="zh-CN"/>
        </w:rPr>
        <w:t xml:space="preserve">                   </w:t>
      </w:r>
      <w:r>
        <w:rPr>
          <w:rFonts w:hint="eastAsia" w:ascii="仿宋" w:hAnsi="仿宋" w:eastAsia="仿宋" w:cs="仿宋"/>
          <w:color w:val="000000"/>
          <w:spacing w:val="0"/>
          <w:w w:val="100"/>
          <w:position w:val="0"/>
          <w:sz w:val="32"/>
          <w:szCs w:val="32"/>
          <w:lang w:val="en-US" w:eastAsia="zh-CN"/>
        </w:rPr>
        <w:t>冷水滩区人力资源和社会保障局</w:t>
      </w:r>
    </w:p>
    <w:p w14:paraId="7181B68E">
      <w:pPr>
        <w:ind w:firstLine="640" w:firstLineChars="200"/>
        <w:rPr>
          <w:rFonts w:hint="default" w:ascii="仿宋" w:hAnsi="仿宋" w:eastAsia="仿宋" w:cs="仿宋"/>
          <w:color w:val="000000"/>
          <w:spacing w:val="0"/>
          <w:w w:val="100"/>
          <w:position w:val="0"/>
          <w:sz w:val="32"/>
          <w:szCs w:val="32"/>
          <w:lang w:val="en-US" w:eastAsia="zh-CN"/>
        </w:rPr>
      </w:pPr>
      <w:r>
        <w:rPr>
          <w:rFonts w:hint="eastAsia" w:ascii="仿宋" w:hAnsi="仿宋" w:eastAsia="仿宋" w:cs="仿宋"/>
          <w:color w:val="000000"/>
          <w:spacing w:val="0"/>
          <w:w w:val="100"/>
          <w:position w:val="0"/>
          <w:sz w:val="32"/>
          <w:szCs w:val="32"/>
          <w:lang w:val="en-US" w:eastAsia="zh-CN"/>
        </w:rPr>
        <w:t xml:space="preserve">                        2022年8月24日</w:t>
      </w:r>
    </w:p>
    <w:p w14:paraId="00C57377">
      <w:pPr>
        <w:ind w:firstLine="602" w:firstLineChars="200"/>
        <w:rPr>
          <w:rFonts w:ascii="宋体" w:hAnsi="宋体"/>
          <w:b/>
          <w:sz w:val="30"/>
          <w:szCs w:val="30"/>
        </w:rPr>
      </w:pPr>
    </w:p>
    <w:p w14:paraId="5BC1CC1F">
      <w:pPr>
        <w:ind w:firstLine="602" w:firstLineChars="200"/>
        <w:rPr>
          <w:rFonts w:ascii="宋体" w:hAnsi="宋体"/>
          <w:b/>
          <w:sz w:val="30"/>
          <w:szCs w:val="30"/>
        </w:rPr>
      </w:pPr>
    </w:p>
    <w:p w14:paraId="03AA8A2B">
      <w:pPr>
        <w:ind w:firstLine="602" w:firstLineChars="200"/>
        <w:rPr>
          <w:rFonts w:ascii="宋体" w:hAnsi="宋体"/>
          <w:b/>
          <w:sz w:val="30"/>
          <w:szCs w:val="30"/>
        </w:rPr>
      </w:pPr>
    </w:p>
    <w:p w14:paraId="7C97BFB8">
      <w:pPr>
        <w:spacing w:line="560" w:lineRule="exact"/>
        <w:rPr>
          <w:rFonts w:ascii="仿宋_GB2312" w:eastAsia="仿宋_GB2312"/>
          <w:color w:val="000000"/>
          <w:sz w:val="32"/>
        </w:rPr>
      </w:pPr>
    </w:p>
    <w:p w14:paraId="2ED46BC9">
      <w:pPr>
        <w:widowControl/>
        <w:rPr>
          <w:rFonts w:hint="eastAsia" w:ascii="黑体" w:hAnsi="宋体" w:eastAsia="黑体" w:cs="宋体"/>
          <w:bCs/>
          <w:kern w:val="0"/>
          <w:sz w:val="32"/>
          <w:szCs w:val="32"/>
        </w:rPr>
      </w:pPr>
    </w:p>
    <w:p w14:paraId="39A6990B">
      <w:pPr>
        <w:widowControl/>
        <w:rPr>
          <w:rFonts w:hint="eastAsia" w:ascii="黑体" w:hAnsi="宋体" w:eastAsia="黑体" w:cs="宋体"/>
          <w:bCs/>
          <w:kern w:val="0"/>
          <w:sz w:val="32"/>
          <w:szCs w:val="32"/>
        </w:rPr>
      </w:pPr>
    </w:p>
    <w:p w14:paraId="15D76DA7">
      <w:pPr>
        <w:widowControl/>
        <w:rPr>
          <w:rFonts w:hint="eastAsia" w:ascii="黑体" w:hAnsi="宋体" w:eastAsia="黑体" w:cs="宋体"/>
          <w:bCs/>
          <w:kern w:val="0"/>
          <w:sz w:val="32"/>
          <w:szCs w:val="32"/>
        </w:rPr>
      </w:pPr>
    </w:p>
    <w:p w14:paraId="425DEC05">
      <w:pPr>
        <w:widowControl/>
        <w:rPr>
          <w:rFonts w:hint="eastAsia" w:ascii="黑体" w:hAnsi="宋体" w:eastAsia="黑体" w:cs="宋体"/>
          <w:bCs/>
          <w:kern w:val="0"/>
          <w:sz w:val="32"/>
          <w:szCs w:val="32"/>
        </w:rPr>
      </w:pPr>
    </w:p>
    <w:p w14:paraId="32C040AD">
      <w:pPr>
        <w:widowControl/>
        <w:rPr>
          <w:rFonts w:hint="eastAsia" w:ascii="黑体" w:hAnsi="宋体" w:eastAsia="黑体" w:cs="宋体"/>
          <w:bCs/>
          <w:kern w:val="0"/>
          <w:sz w:val="32"/>
          <w:szCs w:val="32"/>
        </w:rPr>
      </w:pPr>
    </w:p>
    <w:p w14:paraId="212C2099">
      <w:pPr>
        <w:widowControl/>
        <w:rPr>
          <w:rFonts w:hint="eastAsia" w:ascii="黑体" w:hAnsi="宋体" w:eastAsia="黑体" w:cs="宋体"/>
          <w:bCs/>
          <w:kern w:val="0"/>
          <w:sz w:val="32"/>
          <w:szCs w:val="32"/>
        </w:rPr>
      </w:pPr>
    </w:p>
    <w:p w14:paraId="0623B54D">
      <w:pPr>
        <w:widowControl/>
        <w:rPr>
          <w:rFonts w:hint="eastAsia" w:ascii="黑体" w:hAnsi="宋体" w:eastAsia="黑体" w:cs="宋体"/>
          <w:bCs/>
          <w:kern w:val="0"/>
          <w:sz w:val="32"/>
          <w:szCs w:val="32"/>
        </w:rPr>
      </w:pPr>
    </w:p>
    <w:p w14:paraId="6BCE3874">
      <w:pPr>
        <w:widowControl/>
        <w:rPr>
          <w:rFonts w:hint="eastAsia" w:ascii="黑体" w:hAnsi="宋体" w:eastAsia="黑体" w:cs="宋体"/>
          <w:bCs/>
          <w:kern w:val="0"/>
          <w:sz w:val="32"/>
          <w:szCs w:val="32"/>
        </w:rPr>
      </w:pPr>
    </w:p>
    <w:p w14:paraId="4990D138">
      <w:pPr>
        <w:widowControl/>
        <w:rPr>
          <w:rFonts w:hint="eastAsia" w:ascii="黑体" w:hAnsi="宋体" w:eastAsia="黑体" w:cs="宋体"/>
          <w:bCs/>
          <w:kern w:val="0"/>
          <w:sz w:val="32"/>
          <w:szCs w:val="32"/>
        </w:rPr>
      </w:pPr>
    </w:p>
    <w:p w14:paraId="38F1F7A1">
      <w:pPr>
        <w:widowControl/>
        <w:rPr>
          <w:rFonts w:ascii="黑体" w:hAnsi="宋体" w:eastAsia="黑体" w:cs="宋体"/>
          <w:bCs/>
          <w:kern w:val="0"/>
          <w:sz w:val="32"/>
          <w:szCs w:val="32"/>
        </w:rPr>
      </w:pPr>
      <w:r>
        <w:rPr>
          <w:rFonts w:hint="eastAsia" w:ascii="黑体" w:hAnsi="宋体" w:eastAsia="黑体" w:cs="宋体"/>
          <w:bCs/>
          <w:kern w:val="0"/>
          <w:sz w:val="32"/>
          <w:szCs w:val="32"/>
        </w:rPr>
        <w:t>附件4</w:t>
      </w:r>
    </w:p>
    <w:p w14:paraId="18D1EA2C">
      <w:pPr>
        <w:spacing w:line="560" w:lineRule="exact"/>
        <w:jc w:val="center"/>
        <w:rPr>
          <w:rFonts w:eastAsia="方正小标宋_GBK"/>
          <w:kern w:val="0"/>
          <w:sz w:val="44"/>
          <w:szCs w:val="44"/>
        </w:rPr>
      </w:pPr>
      <w:r>
        <w:rPr>
          <w:rFonts w:hint="eastAsia" w:eastAsia="方正小标宋_GBK"/>
          <w:kern w:val="0"/>
          <w:sz w:val="44"/>
          <w:szCs w:val="44"/>
        </w:rPr>
        <w:t>2021</w:t>
      </w:r>
      <w:r>
        <w:rPr>
          <w:rFonts w:hint="eastAsia" w:ascii="宋体" w:hAnsi="宋体" w:cs="宋体"/>
          <w:kern w:val="0"/>
          <w:sz w:val="44"/>
          <w:szCs w:val="44"/>
        </w:rPr>
        <w:t>年度</w:t>
      </w:r>
      <w:r>
        <w:rPr>
          <w:rFonts w:hint="eastAsia" w:eastAsia="方正小标宋_GBK"/>
          <w:kern w:val="0"/>
          <w:sz w:val="44"/>
          <w:szCs w:val="44"/>
        </w:rPr>
        <w:t>部门整体支出绩效评价表</w:t>
      </w:r>
    </w:p>
    <w:tbl>
      <w:tblPr>
        <w:tblStyle w:val="2"/>
        <w:tblW w:w="10676" w:type="dxa"/>
        <w:jc w:val="center"/>
        <w:tblLayout w:type="fixed"/>
        <w:tblCellMar>
          <w:top w:w="0" w:type="dxa"/>
          <w:left w:w="108" w:type="dxa"/>
          <w:bottom w:w="0" w:type="dxa"/>
          <w:right w:w="108" w:type="dxa"/>
        </w:tblCellMar>
      </w:tblPr>
      <w:tblGrid>
        <w:gridCol w:w="521"/>
        <w:gridCol w:w="419"/>
        <w:gridCol w:w="682"/>
        <w:gridCol w:w="419"/>
        <w:gridCol w:w="1203"/>
        <w:gridCol w:w="481"/>
        <w:gridCol w:w="2999"/>
        <w:gridCol w:w="3427"/>
        <w:gridCol w:w="525"/>
      </w:tblGrid>
      <w:tr w14:paraId="22C2E6C2">
        <w:tblPrEx>
          <w:tblCellMar>
            <w:top w:w="0" w:type="dxa"/>
            <w:left w:w="108" w:type="dxa"/>
            <w:bottom w:w="0" w:type="dxa"/>
            <w:right w:w="108" w:type="dxa"/>
          </w:tblCellMar>
        </w:tblPrEx>
        <w:trPr>
          <w:trHeight w:val="952" w:hRule="atLeast"/>
          <w:tblHeader/>
          <w:jc w:val="center"/>
        </w:trPr>
        <w:tc>
          <w:tcPr>
            <w:tcW w:w="521" w:type="dxa"/>
            <w:tcBorders>
              <w:top w:val="single" w:color="auto" w:sz="4" w:space="0"/>
              <w:left w:val="single" w:color="auto" w:sz="4" w:space="0"/>
              <w:bottom w:val="single" w:color="auto" w:sz="4" w:space="0"/>
              <w:right w:val="single" w:color="auto" w:sz="4" w:space="0"/>
            </w:tcBorders>
            <w:vAlign w:val="center"/>
          </w:tcPr>
          <w:p w14:paraId="24DFB4AC">
            <w:pPr>
              <w:widowControl/>
              <w:jc w:val="left"/>
              <w:rPr>
                <w:rFonts w:eastAsia="仿宋_GB2312"/>
                <w:kern w:val="0"/>
                <w:sz w:val="20"/>
                <w:szCs w:val="20"/>
              </w:rPr>
            </w:pPr>
            <w:r>
              <w:rPr>
                <w:rFonts w:hint="eastAsia" w:eastAsia="仿宋_GB2312"/>
                <w:kern w:val="0"/>
                <w:sz w:val="20"/>
                <w:szCs w:val="20"/>
              </w:rPr>
              <w:t>一级指标</w:t>
            </w:r>
          </w:p>
        </w:tc>
        <w:tc>
          <w:tcPr>
            <w:tcW w:w="419" w:type="dxa"/>
            <w:tcBorders>
              <w:top w:val="single" w:color="auto" w:sz="4" w:space="0"/>
              <w:left w:val="nil"/>
              <w:bottom w:val="single" w:color="auto" w:sz="4" w:space="0"/>
              <w:right w:val="single" w:color="auto" w:sz="4" w:space="0"/>
            </w:tcBorders>
            <w:vAlign w:val="center"/>
          </w:tcPr>
          <w:p w14:paraId="6F5C40C4">
            <w:pPr>
              <w:widowControl/>
              <w:jc w:val="center"/>
              <w:rPr>
                <w:rFonts w:eastAsia="仿宋_GB2312"/>
                <w:kern w:val="0"/>
                <w:sz w:val="20"/>
                <w:szCs w:val="20"/>
              </w:rPr>
            </w:pPr>
            <w:r>
              <w:rPr>
                <w:rFonts w:hint="eastAsia" w:eastAsia="仿宋_GB2312"/>
                <w:kern w:val="0"/>
                <w:sz w:val="20"/>
                <w:szCs w:val="20"/>
              </w:rPr>
              <w:t>分值</w:t>
            </w:r>
          </w:p>
        </w:tc>
        <w:tc>
          <w:tcPr>
            <w:tcW w:w="682" w:type="dxa"/>
            <w:tcBorders>
              <w:top w:val="single" w:color="auto" w:sz="4" w:space="0"/>
              <w:left w:val="nil"/>
              <w:bottom w:val="single" w:color="auto" w:sz="4" w:space="0"/>
              <w:right w:val="single" w:color="auto" w:sz="4" w:space="0"/>
            </w:tcBorders>
            <w:vAlign w:val="center"/>
          </w:tcPr>
          <w:p w14:paraId="52CA987F">
            <w:pPr>
              <w:widowControl/>
              <w:jc w:val="center"/>
              <w:rPr>
                <w:rFonts w:eastAsia="仿宋_GB2312"/>
                <w:kern w:val="0"/>
                <w:sz w:val="20"/>
                <w:szCs w:val="20"/>
              </w:rPr>
            </w:pPr>
            <w:r>
              <w:rPr>
                <w:rFonts w:hint="eastAsia" w:eastAsia="仿宋_GB2312"/>
                <w:kern w:val="0"/>
                <w:sz w:val="20"/>
                <w:szCs w:val="20"/>
              </w:rPr>
              <w:t>二级指标</w:t>
            </w:r>
          </w:p>
        </w:tc>
        <w:tc>
          <w:tcPr>
            <w:tcW w:w="419" w:type="dxa"/>
            <w:tcBorders>
              <w:top w:val="single" w:color="auto" w:sz="4" w:space="0"/>
              <w:left w:val="nil"/>
              <w:bottom w:val="single" w:color="auto" w:sz="4" w:space="0"/>
              <w:right w:val="single" w:color="auto" w:sz="4" w:space="0"/>
            </w:tcBorders>
            <w:vAlign w:val="center"/>
          </w:tcPr>
          <w:p w14:paraId="0F291435">
            <w:pPr>
              <w:widowControl/>
              <w:jc w:val="center"/>
              <w:rPr>
                <w:rFonts w:eastAsia="仿宋_GB2312"/>
                <w:kern w:val="0"/>
                <w:sz w:val="20"/>
                <w:szCs w:val="20"/>
              </w:rPr>
            </w:pPr>
            <w:r>
              <w:rPr>
                <w:rFonts w:hint="eastAsia" w:eastAsia="仿宋_GB2312"/>
                <w:kern w:val="0"/>
                <w:sz w:val="20"/>
                <w:szCs w:val="20"/>
              </w:rPr>
              <w:t>分值</w:t>
            </w:r>
          </w:p>
        </w:tc>
        <w:tc>
          <w:tcPr>
            <w:tcW w:w="1203" w:type="dxa"/>
            <w:tcBorders>
              <w:top w:val="single" w:color="auto" w:sz="4" w:space="0"/>
              <w:left w:val="nil"/>
              <w:bottom w:val="single" w:color="auto" w:sz="4" w:space="0"/>
              <w:right w:val="single" w:color="auto" w:sz="4" w:space="0"/>
            </w:tcBorders>
            <w:vAlign w:val="center"/>
          </w:tcPr>
          <w:p w14:paraId="6277BB4F">
            <w:pPr>
              <w:widowControl/>
              <w:jc w:val="center"/>
              <w:rPr>
                <w:rFonts w:eastAsia="仿宋_GB2312"/>
                <w:kern w:val="0"/>
                <w:sz w:val="20"/>
                <w:szCs w:val="20"/>
              </w:rPr>
            </w:pPr>
            <w:r>
              <w:rPr>
                <w:rFonts w:hint="eastAsia" w:eastAsia="仿宋_GB2312"/>
                <w:kern w:val="0"/>
                <w:sz w:val="20"/>
                <w:szCs w:val="20"/>
              </w:rPr>
              <w:t>三级</w:t>
            </w:r>
          </w:p>
          <w:p w14:paraId="2EAEC59C">
            <w:pPr>
              <w:widowControl/>
              <w:jc w:val="center"/>
              <w:rPr>
                <w:rFonts w:eastAsia="仿宋_GB2312"/>
                <w:kern w:val="0"/>
                <w:sz w:val="20"/>
                <w:szCs w:val="20"/>
              </w:rPr>
            </w:pPr>
            <w:r>
              <w:rPr>
                <w:rFonts w:hint="eastAsia" w:eastAsia="仿宋_GB2312"/>
                <w:kern w:val="0"/>
                <w:sz w:val="20"/>
                <w:szCs w:val="20"/>
              </w:rPr>
              <w:t>指标</w:t>
            </w:r>
          </w:p>
        </w:tc>
        <w:tc>
          <w:tcPr>
            <w:tcW w:w="481" w:type="dxa"/>
            <w:tcBorders>
              <w:top w:val="single" w:color="auto" w:sz="4" w:space="0"/>
              <w:left w:val="nil"/>
              <w:bottom w:val="single" w:color="auto" w:sz="4" w:space="0"/>
              <w:right w:val="single" w:color="auto" w:sz="4" w:space="0"/>
            </w:tcBorders>
            <w:vAlign w:val="center"/>
          </w:tcPr>
          <w:p w14:paraId="5BFE90C4">
            <w:pPr>
              <w:widowControl/>
              <w:jc w:val="center"/>
              <w:rPr>
                <w:rFonts w:eastAsia="仿宋_GB2312"/>
                <w:kern w:val="0"/>
                <w:sz w:val="20"/>
                <w:szCs w:val="20"/>
              </w:rPr>
            </w:pPr>
            <w:r>
              <w:rPr>
                <w:rFonts w:hint="eastAsia" w:eastAsia="仿宋_GB2312"/>
                <w:kern w:val="0"/>
                <w:sz w:val="20"/>
                <w:szCs w:val="20"/>
              </w:rPr>
              <w:t>分值</w:t>
            </w:r>
          </w:p>
        </w:tc>
        <w:tc>
          <w:tcPr>
            <w:tcW w:w="2999" w:type="dxa"/>
            <w:tcBorders>
              <w:top w:val="single" w:color="auto" w:sz="4" w:space="0"/>
              <w:left w:val="nil"/>
              <w:bottom w:val="single" w:color="auto" w:sz="4" w:space="0"/>
              <w:right w:val="single" w:color="auto" w:sz="4" w:space="0"/>
            </w:tcBorders>
            <w:vAlign w:val="center"/>
          </w:tcPr>
          <w:p w14:paraId="7E702C9B">
            <w:pPr>
              <w:widowControl/>
              <w:jc w:val="center"/>
              <w:rPr>
                <w:rFonts w:eastAsia="仿宋_GB2312"/>
                <w:kern w:val="0"/>
                <w:sz w:val="20"/>
                <w:szCs w:val="20"/>
              </w:rPr>
            </w:pPr>
            <w:r>
              <w:rPr>
                <w:rFonts w:hint="eastAsia" w:eastAsia="仿宋_GB2312"/>
                <w:kern w:val="0"/>
                <w:sz w:val="20"/>
                <w:szCs w:val="20"/>
              </w:rPr>
              <w:t>评价标准</w:t>
            </w:r>
          </w:p>
        </w:tc>
        <w:tc>
          <w:tcPr>
            <w:tcW w:w="3427" w:type="dxa"/>
            <w:tcBorders>
              <w:top w:val="single" w:color="auto" w:sz="4" w:space="0"/>
              <w:left w:val="nil"/>
              <w:bottom w:val="single" w:color="auto" w:sz="4" w:space="0"/>
              <w:right w:val="single" w:color="auto" w:sz="4" w:space="0"/>
            </w:tcBorders>
            <w:vAlign w:val="center"/>
          </w:tcPr>
          <w:p w14:paraId="0DCBFCFE">
            <w:pPr>
              <w:widowControl/>
              <w:jc w:val="center"/>
              <w:rPr>
                <w:rFonts w:eastAsia="仿宋_GB2312"/>
                <w:kern w:val="0"/>
                <w:sz w:val="20"/>
                <w:szCs w:val="20"/>
              </w:rPr>
            </w:pPr>
            <w:r>
              <w:rPr>
                <w:rFonts w:hint="eastAsia" w:eastAsia="仿宋_GB2312"/>
                <w:kern w:val="0"/>
                <w:sz w:val="20"/>
                <w:szCs w:val="20"/>
              </w:rPr>
              <w:t>指标说明</w:t>
            </w:r>
          </w:p>
        </w:tc>
        <w:tc>
          <w:tcPr>
            <w:tcW w:w="525" w:type="dxa"/>
            <w:tcBorders>
              <w:top w:val="single" w:color="auto" w:sz="4" w:space="0"/>
              <w:left w:val="nil"/>
              <w:bottom w:val="single" w:color="auto" w:sz="4" w:space="0"/>
              <w:right w:val="single" w:color="auto" w:sz="4" w:space="0"/>
            </w:tcBorders>
            <w:vAlign w:val="center"/>
          </w:tcPr>
          <w:p w14:paraId="1D93BDA2">
            <w:pPr>
              <w:widowControl/>
              <w:jc w:val="center"/>
              <w:rPr>
                <w:rFonts w:eastAsia="仿宋_GB2312"/>
                <w:kern w:val="0"/>
                <w:sz w:val="20"/>
                <w:szCs w:val="20"/>
              </w:rPr>
            </w:pPr>
            <w:r>
              <w:rPr>
                <w:rFonts w:hint="eastAsia" w:eastAsia="仿宋_GB2312"/>
                <w:kern w:val="0"/>
                <w:sz w:val="20"/>
                <w:szCs w:val="20"/>
              </w:rPr>
              <w:t>得分</w:t>
            </w:r>
          </w:p>
        </w:tc>
      </w:tr>
      <w:tr w14:paraId="56CB254B">
        <w:tblPrEx>
          <w:tblCellMar>
            <w:top w:w="0" w:type="dxa"/>
            <w:left w:w="108" w:type="dxa"/>
            <w:bottom w:w="0" w:type="dxa"/>
            <w:right w:w="108" w:type="dxa"/>
          </w:tblCellMar>
        </w:tblPrEx>
        <w:trPr>
          <w:trHeight w:val="1423" w:hRule="atLeast"/>
          <w:jc w:val="center"/>
        </w:trPr>
        <w:tc>
          <w:tcPr>
            <w:tcW w:w="521" w:type="dxa"/>
            <w:vMerge w:val="restart"/>
            <w:tcBorders>
              <w:top w:val="nil"/>
              <w:left w:val="single" w:color="auto" w:sz="4" w:space="0"/>
              <w:bottom w:val="single" w:color="auto" w:sz="4" w:space="0"/>
              <w:right w:val="single" w:color="auto" w:sz="4" w:space="0"/>
            </w:tcBorders>
            <w:vAlign w:val="center"/>
          </w:tcPr>
          <w:p w14:paraId="5696C6FA">
            <w:pPr>
              <w:widowControl/>
              <w:jc w:val="center"/>
              <w:rPr>
                <w:rFonts w:eastAsia="仿宋_GB2312"/>
                <w:kern w:val="0"/>
                <w:sz w:val="20"/>
                <w:szCs w:val="20"/>
              </w:rPr>
            </w:pPr>
            <w:r>
              <w:rPr>
                <w:rFonts w:hint="eastAsia" w:eastAsia="仿宋_GB2312"/>
                <w:kern w:val="0"/>
                <w:sz w:val="20"/>
                <w:szCs w:val="20"/>
              </w:rPr>
              <w:t>投入</w:t>
            </w:r>
          </w:p>
        </w:tc>
        <w:tc>
          <w:tcPr>
            <w:tcW w:w="419" w:type="dxa"/>
            <w:vMerge w:val="restart"/>
            <w:tcBorders>
              <w:top w:val="nil"/>
              <w:left w:val="single" w:color="auto" w:sz="4" w:space="0"/>
              <w:bottom w:val="single" w:color="000000" w:sz="4" w:space="0"/>
              <w:right w:val="single" w:color="auto" w:sz="4" w:space="0"/>
            </w:tcBorders>
            <w:vAlign w:val="center"/>
          </w:tcPr>
          <w:p w14:paraId="4632FA3E">
            <w:pPr>
              <w:widowControl/>
              <w:jc w:val="center"/>
              <w:rPr>
                <w:rFonts w:eastAsia="仿宋_GB2312"/>
                <w:kern w:val="0"/>
                <w:sz w:val="20"/>
                <w:szCs w:val="20"/>
              </w:rPr>
            </w:pPr>
            <w:r>
              <w:rPr>
                <w:rFonts w:eastAsia="仿宋_GB2312"/>
                <w:kern w:val="0"/>
                <w:sz w:val="20"/>
                <w:szCs w:val="20"/>
              </w:rPr>
              <w:t>10</w:t>
            </w:r>
          </w:p>
        </w:tc>
        <w:tc>
          <w:tcPr>
            <w:tcW w:w="682" w:type="dxa"/>
            <w:vMerge w:val="restart"/>
            <w:tcBorders>
              <w:top w:val="nil"/>
              <w:left w:val="nil"/>
              <w:bottom w:val="single" w:color="auto" w:sz="4" w:space="0"/>
              <w:right w:val="single" w:color="auto" w:sz="4" w:space="0"/>
            </w:tcBorders>
            <w:vAlign w:val="center"/>
          </w:tcPr>
          <w:p w14:paraId="0DCB1E5E">
            <w:pPr>
              <w:widowControl/>
              <w:jc w:val="center"/>
              <w:rPr>
                <w:rFonts w:eastAsia="仿宋_GB2312"/>
                <w:kern w:val="0"/>
                <w:sz w:val="20"/>
                <w:szCs w:val="20"/>
              </w:rPr>
            </w:pPr>
            <w:r>
              <w:rPr>
                <w:rFonts w:hint="eastAsia" w:eastAsia="仿宋_GB2312"/>
                <w:kern w:val="0"/>
                <w:sz w:val="20"/>
                <w:szCs w:val="20"/>
              </w:rPr>
              <w:t>预算配置</w:t>
            </w:r>
          </w:p>
        </w:tc>
        <w:tc>
          <w:tcPr>
            <w:tcW w:w="419" w:type="dxa"/>
            <w:vMerge w:val="restart"/>
            <w:tcBorders>
              <w:top w:val="nil"/>
              <w:left w:val="single" w:color="auto" w:sz="4" w:space="0"/>
              <w:bottom w:val="single" w:color="000000" w:sz="4" w:space="0"/>
              <w:right w:val="single" w:color="auto" w:sz="4" w:space="0"/>
            </w:tcBorders>
            <w:vAlign w:val="center"/>
          </w:tcPr>
          <w:p w14:paraId="6B1214E3">
            <w:pPr>
              <w:widowControl/>
              <w:jc w:val="center"/>
              <w:rPr>
                <w:rFonts w:eastAsia="仿宋_GB2312"/>
                <w:kern w:val="0"/>
                <w:sz w:val="20"/>
                <w:szCs w:val="20"/>
              </w:rPr>
            </w:pPr>
            <w:r>
              <w:rPr>
                <w:rFonts w:eastAsia="仿宋_GB2312"/>
                <w:kern w:val="0"/>
                <w:sz w:val="20"/>
                <w:szCs w:val="20"/>
              </w:rPr>
              <w:t>10</w:t>
            </w:r>
          </w:p>
        </w:tc>
        <w:tc>
          <w:tcPr>
            <w:tcW w:w="1203" w:type="dxa"/>
            <w:tcBorders>
              <w:top w:val="nil"/>
              <w:left w:val="nil"/>
              <w:bottom w:val="single" w:color="auto" w:sz="4" w:space="0"/>
              <w:right w:val="single" w:color="auto" w:sz="4" w:space="0"/>
            </w:tcBorders>
            <w:vAlign w:val="center"/>
          </w:tcPr>
          <w:p w14:paraId="4B387411">
            <w:pPr>
              <w:widowControl/>
              <w:jc w:val="left"/>
              <w:rPr>
                <w:rFonts w:eastAsia="仿宋_GB2312"/>
                <w:kern w:val="0"/>
                <w:sz w:val="20"/>
                <w:szCs w:val="20"/>
              </w:rPr>
            </w:pPr>
            <w:r>
              <w:rPr>
                <w:rFonts w:hint="eastAsia" w:eastAsia="仿宋_GB2312"/>
                <w:kern w:val="0"/>
                <w:sz w:val="20"/>
                <w:szCs w:val="20"/>
              </w:rPr>
              <w:t>在职人员控制率</w:t>
            </w:r>
          </w:p>
        </w:tc>
        <w:tc>
          <w:tcPr>
            <w:tcW w:w="481" w:type="dxa"/>
            <w:tcBorders>
              <w:top w:val="nil"/>
              <w:left w:val="nil"/>
              <w:bottom w:val="single" w:color="auto" w:sz="4" w:space="0"/>
              <w:right w:val="single" w:color="auto" w:sz="4" w:space="0"/>
            </w:tcBorders>
            <w:vAlign w:val="center"/>
          </w:tcPr>
          <w:p w14:paraId="3F78341A">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nil"/>
              <w:right w:val="nil"/>
            </w:tcBorders>
            <w:vAlign w:val="center"/>
          </w:tcPr>
          <w:p w14:paraId="4E2629A8">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3427" w:type="dxa"/>
            <w:tcBorders>
              <w:top w:val="nil"/>
              <w:left w:val="single" w:color="auto" w:sz="4" w:space="0"/>
              <w:bottom w:val="single" w:color="auto" w:sz="4" w:space="0"/>
              <w:right w:val="single" w:color="auto" w:sz="4" w:space="0"/>
            </w:tcBorders>
            <w:vAlign w:val="center"/>
          </w:tcPr>
          <w:p w14:paraId="4C29B1C0">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，在职人员数：部门（单位）实际在职人数，以市财政局确定的部门决算编制口径为准。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525" w:type="dxa"/>
            <w:tcBorders>
              <w:top w:val="nil"/>
              <w:left w:val="nil"/>
              <w:bottom w:val="single" w:color="auto" w:sz="4" w:space="0"/>
              <w:right w:val="single" w:color="auto" w:sz="4" w:space="0"/>
            </w:tcBorders>
            <w:vAlign w:val="center"/>
          </w:tcPr>
          <w:p w14:paraId="4A4E9DE4">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5</w:t>
            </w:r>
          </w:p>
        </w:tc>
      </w:tr>
      <w:tr w14:paraId="233C9784">
        <w:tblPrEx>
          <w:tblCellMar>
            <w:top w:w="0" w:type="dxa"/>
            <w:left w:w="108" w:type="dxa"/>
            <w:bottom w:w="0" w:type="dxa"/>
            <w:right w:w="108" w:type="dxa"/>
          </w:tblCellMar>
        </w:tblPrEx>
        <w:trPr>
          <w:trHeight w:val="716"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3ABF85E8">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3DF6F887">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632E1FE0">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2BA8972">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434B3617">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p>
        </w:tc>
        <w:tc>
          <w:tcPr>
            <w:tcW w:w="481" w:type="dxa"/>
            <w:tcBorders>
              <w:top w:val="nil"/>
              <w:left w:val="nil"/>
              <w:bottom w:val="single" w:color="auto" w:sz="4" w:space="0"/>
              <w:right w:val="single" w:color="auto" w:sz="4" w:space="0"/>
            </w:tcBorders>
            <w:vAlign w:val="center"/>
          </w:tcPr>
          <w:p w14:paraId="77C8EDD6">
            <w:pPr>
              <w:widowControl/>
              <w:jc w:val="center"/>
              <w:rPr>
                <w:rFonts w:eastAsia="仿宋_GB2312"/>
                <w:kern w:val="0"/>
                <w:sz w:val="20"/>
                <w:szCs w:val="20"/>
              </w:rPr>
            </w:pPr>
            <w:r>
              <w:rPr>
                <w:rFonts w:eastAsia="仿宋_GB2312"/>
                <w:kern w:val="0"/>
                <w:sz w:val="20"/>
                <w:szCs w:val="20"/>
              </w:rPr>
              <w:t>5</w:t>
            </w:r>
          </w:p>
        </w:tc>
        <w:tc>
          <w:tcPr>
            <w:tcW w:w="2999" w:type="dxa"/>
            <w:tcBorders>
              <w:top w:val="single" w:color="auto" w:sz="4" w:space="0"/>
              <w:left w:val="nil"/>
              <w:bottom w:val="single" w:color="auto" w:sz="4" w:space="0"/>
              <w:right w:val="single" w:color="auto" w:sz="4" w:space="0"/>
            </w:tcBorders>
            <w:vAlign w:val="center"/>
          </w:tcPr>
          <w:p w14:paraId="6CB5CC7B">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hint="eastAsia" w:eastAsia="仿宋_GB2312"/>
                <w:kern w:val="0"/>
                <w:sz w:val="20"/>
                <w:szCs w:val="20"/>
                <w:lang w:eastAsia="zh-CN"/>
              </w:rPr>
              <w:t>“三公”经费</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74970C8F">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14:paraId="1715F844">
            <w:pPr>
              <w:widowControl/>
              <w:jc w:val="left"/>
              <w:rPr>
                <w:rFonts w:hint="eastAsia" w:eastAsia="宋体"/>
                <w:kern w:val="0"/>
                <w:sz w:val="24"/>
                <w:lang w:eastAsia="zh-CN"/>
              </w:rPr>
            </w:pPr>
            <w:r>
              <w:rPr>
                <w:rFonts w:hint="eastAsia"/>
                <w:kern w:val="0"/>
                <w:sz w:val="24"/>
                <w:lang w:val="en-US" w:eastAsia="zh-CN"/>
              </w:rPr>
              <w:t>0</w:t>
            </w:r>
          </w:p>
        </w:tc>
      </w:tr>
      <w:tr w14:paraId="131AA4B6">
        <w:tblPrEx>
          <w:tblCellMar>
            <w:top w:w="0" w:type="dxa"/>
            <w:left w:w="108" w:type="dxa"/>
            <w:bottom w:w="0" w:type="dxa"/>
            <w:right w:w="108" w:type="dxa"/>
          </w:tblCellMar>
        </w:tblPrEx>
        <w:trPr>
          <w:trHeight w:val="716" w:hRule="atLeast"/>
          <w:jc w:val="center"/>
        </w:trPr>
        <w:tc>
          <w:tcPr>
            <w:tcW w:w="521" w:type="dxa"/>
            <w:vMerge w:val="restart"/>
            <w:tcBorders>
              <w:top w:val="nil"/>
              <w:left w:val="single" w:color="auto" w:sz="4" w:space="0"/>
              <w:bottom w:val="single" w:color="000000" w:sz="4" w:space="0"/>
              <w:right w:val="single" w:color="auto" w:sz="4" w:space="0"/>
            </w:tcBorders>
            <w:vAlign w:val="center"/>
          </w:tcPr>
          <w:p w14:paraId="4564E407">
            <w:pPr>
              <w:widowControl/>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tc>
        <w:tc>
          <w:tcPr>
            <w:tcW w:w="419" w:type="dxa"/>
            <w:vMerge w:val="restart"/>
            <w:tcBorders>
              <w:top w:val="nil"/>
              <w:left w:val="single" w:color="auto" w:sz="4" w:space="0"/>
              <w:bottom w:val="single" w:color="000000" w:sz="4" w:space="0"/>
              <w:right w:val="single" w:color="auto" w:sz="4" w:space="0"/>
            </w:tcBorders>
            <w:vAlign w:val="center"/>
          </w:tcPr>
          <w:p w14:paraId="31771DC2">
            <w:pPr>
              <w:widowControl/>
              <w:jc w:val="center"/>
              <w:rPr>
                <w:rFonts w:eastAsia="仿宋_GB2312"/>
                <w:kern w:val="0"/>
                <w:sz w:val="20"/>
                <w:szCs w:val="20"/>
              </w:rPr>
            </w:pPr>
            <w:r>
              <w:rPr>
                <w:rFonts w:eastAsia="仿宋_GB2312"/>
                <w:kern w:val="0"/>
                <w:sz w:val="20"/>
                <w:szCs w:val="20"/>
              </w:rPr>
              <w:t>60</w:t>
            </w:r>
          </w:p>
        </w:tc>
        <w:tc>
          <w:tcPr>
            <w:tcW w:w="682" w:type="dxa"/>
            <w:vMerge w:val="restart"/>
            <w:tcBorders>
              <w:top w:val="nil"/>
              <w:left w:val="single" w:color="auto" w:sz="4" w:space="0"/>
              <w:bottom w:val="single" w:color="000000" w:sz="4" w:space="0"/>
              <w:right w:val="single" w:color="auto" w:sz="4" w:space="0"/>
            </w:tcBorders>
            <w:vAlign w:val="center"/>
          </w:tcPr>
          <w:p w14:paraId="5F9BDC01">
            <w:pPr>
              <w:widowControl/>
              <w:jc w:val="center"/>
              <w:rPr>
                <w:rFonts w:eastAsia="仿宋_GB2312"/>
                <w:kern w:val="0"/>
                <w:sz w:val="20"/>
                <w:szCs w:val="20"/>
              </w:rPr>
            </w:pPr>
            <w:r>
              <w:rPr>
                <w:rFonts w:hint="eastAsia" w:eastAsia="仿宋_GB2312"/>
                <w:kern w:val="0"/>
                <w:sz w:val="20"/>
                <w:szCs w:val="20"/>
              </w:rPr>
              <w:t>预算执行</w:t>
            </w:r>
          </w:p>
        </w:tc>
        <w:tc>
          <w:tcPr>
            <w:tcW w:w="419" w:type="dxa"/>
            <w:vMerge w:val="restart"/>
            <w:tcBorders>
              <w:top w:val="nil"/>
              <w:left w:val="single" w:color="auto" w:sz="4" w:space="0"/>
              <w:bottom w:val="single" w:color="000000" w:sz="4" w:space="0"/>
              <w:right w:val="single" w:color="auto" w:sz="4" w:space="0"/>
            </w:tcBorders>
            <w:vAlign w:val="center"/>
          </w:tcPr>
          <w:p w14:paraId="2972ABBA">
            <w:pPr>
              <w:widowControl/>
              <w:jc w:val="center"/>
              <w:rPr>
                <w:rFonts w:eastAsia="仿宋_GB2312"/>
                <w:kern w:val="0"/>
                <w:sz w:val="20"/>
                <w:szCs w:val="20"/>
              </w:rPr>
            </w:pPr>
            <w:r>
              <w:rPr>
                <w:rFonts w:eastAsia="仿宋_GB2312"/>
                <w:kern w:val="0"/>
                <w:sz w:val="20"/>
                <w:szCs w:val="20"/>
              </w:rPr>
              <w:t>20</w:t>
            </w:r>
          </w:p>
        </w:tc>
        <w:tc>
          <w:tcPr>
            <w:tcW w:w="1203" w:type="dxa"/>
            <w:tcBorders>
              <w:top w:val="nil"/>
              <w:left w:val="nil"/>
              <w:bottom w:val="single" w:color="auto" w:sz="4" w:space="0"/>
              <w:right w:val="single" w:color="auto" w:sz="4" w:space="0"/>
            </w:tcBorders>
            <w:vAlign w:val="center"/>
          </w:tcPr>
          <w:p w14:paraId="68E1F53C">
            <w:pPr>
              <w:widowControl/>
              <w:jc w:val="left"/>
              <w:rPr>
                <w:rFonts w:eastAsia="仿宋_GB2312"/>
                <w:kern w:val="0"/>
                <w:sz w:val="20"/>
                <w:szCs w:val="20"/>
              </w:rPr>
            </w:pPr>
            <w:r>
              <w:rPr>
                <w:rFonts w:hint="eastAsia" w:eastAsia="仿宋_GB2312"/>
                <w:kern w:val="0"/>
                <w:sz w:val="20"/>
                <w:szCs w:val="20"/>
              </w:rPr>
              <w:t>预算完成率</w:t>
            </w:r>
          </w:p>
        </w:tc>
        <w:tc>
          <w:tcPr>
            <w:tcW w:w="481" w:type="dxa"/>
            <w:tcBorders>
              <w:top w:val="nil"/>
              <w:left w:val="nil"/>
              <w:bottom w:val="single" w:color="auto" w:sz="4" w:space="0"/>
              <w:right w:val="single" w:color="auto" w:sz="4" w:space="0"/>
            </w:tcBorders>
            <w:vAlign w:val="center"/>
          </w:tcPr>
          <w:p w14:paraId="1591E71B">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56C26681">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06D6310E">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114DD9D2">
            <w:pPr>
              <w:widowControl/>
              <w:jc w:val="left"/>
              <w:rPr>
                <w:rFonts w:hint="eastAsia" w:eastAsia="宋体"/>
                <w:kern w:val="0"/>
                <w:sz w:val="24"/>
                <w:lang w:eastAsia="zh-CN"/>
              </w:rPr>
            </w:pPr>
            <w:r>
              <w:rPr>
                <w:rFonts w:hint="eastAsia"/>
                <w:kern w:val="0"/>
                <w:sz w:val="24"/>
                <w:lang w:val="en-US" w:eastAsia="zh-CN"/>
              </w:rPr>
              <w:t>5</w:t>
            </w:r>
          </w:p>
        </w:tc>
      </w:tr>
      <w:tr w14:paraId="54742DDC">
        <w:tblPrEx>
          <w:tblCellMar>
            <w:top w:w="0" w:type="dxa"/>
            <w:left w:w="108" w:type="dxa"/>
            <w:bottom w:w="0" w:type="dxa"/>
            <w:right w:w="108" w:type="dxa"/>
          </w:tblCellMar>
        </w:tblPrEx>
        <w:trPr>
          <w:trHeight w:val="971"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0EAC774D">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2F44DA9D">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33C4B736">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580B69F">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25A48627">
            <w:pPr>
              <w:widowControl/>
              <w:jc w:val="left"/>
              <w:rPr>
                <w:rFonts w:eastAsia="仿宋_GB2312"/>
                <w:kern w:val="0"/>
                <w:sz w:val="20"/>
                <w:szCs w:val="20"/>
              </w:rPr>
            </w:pPr>
            <w:r>
              <w:rPr>
                <w:rFonts w:hint="eastAsia" w:eastAsia="仿宋_GB2312"/>
                <w:kern w:val="0"/>
                <w:sz w:val="20"/>
                <w:szCs w:val="20"/>
              </w:rPr>
              <w:t>预算控制率</w:t>
            </w:r>
          </w:p>
        </w:tc>
        <w:tc>
          <w:tcPr>
            <w:tcW w:w="481" w:type="dxa"/>
            <w:tcBorders>
              <w:top w:val="nil"/>
              <w:left w:val="nil"/>
              <w:bottom w:val="single" w:color="auto" w:sz="4" w:space="0"/>
              <w:right w:val="single" w:color="auto" w:sz="4" w:space="0"/>
            </w:tcBorders>
            <w:vAlign w:val="center"/>
          </w:tcPr>
          <w:p w14:paraId="58B7AE11">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67CCE27F">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3427" w:type="dxa"/>
            <w:tcBorders>
              <w:top w:val="nil"/>
              <w:left w:val="nil"/>
              <w:bottom w:val="single" w:color="auto" w:sz="4" w:space="0"/>
              <w:right w:val="single" w:color="auto" w:sz="4" w:space="0"/>
            </w:tcBorders>
            <w:vAlign w:val="center"/>
          </w:tcPr>
          <w:p w14:paraId="5042AF66">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583A8F9B">
            <w:pPr>
              <w:widowControl/>
              <w:jc w:val="left"/>
              <w:rPr>
                <w:rFonts w:hint="default" w:eastAsia="宋体"/>
                <w:kern w:val="0"/>
                <w:sz w:val="24"/>
                <w:lang w:val="en-US" w:eastAsia="zh-CN"/>
              </w:rPr>
            </w:pPr>
            <w:r>
              <w:rPr>
                <w:rFonts w:hint="eastAsia"/>
                <w:kern w:val="0"/>
                <w:sz w:val="24"/>
                <w:lang w:val="en-US" w:eastAsia="zh-CN"/>
              </w:rPr>
              <w:t>5</w:t>
            </w:r>
          </w:p>
        </w:tc>
      </w:tr>
      <w:tr w14:paraId="4B8C0C83">
        <w:tblPrEx>
          <w:tblCellMar>
            <w:top w:w="0" w:type="dxa"/>
            <w:left w:w="108" w:type="dxa"/>
            <w:bottom w:w="0" w:type="dxa"/>
            <w:right w:w="108" w:type="dxa"/>
          </w:tblCellMar>
        </w:tblPrEx>
        <w:trPr>
          <w:trHeight w:val="1010"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04F9A356">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33A23C8D">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77CE268B">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30635A7">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173E996E">
            <w:pPr>
              <w:widowControl/>
              <w:jc w:val="left"/>
              <w:rPr>
                <w:rFonts w:eastAsia="仿宋_GB2312"/>
                <w:kern w:val="0"/>
                <w:sz w:val="20"/>
                <w:szCs w:val="20"/>
              </w:rPr>
            </w:pPr>
            <w:r>
              <w:rPr>
                <w:rFonts w:hint="eastAsia" w:eastAsia="仿宋_GB2312"/>
                <w:kern w:val="0"/>
                <w:sz w:val="20"/>
                <w:szCs w:val="20"/>
              </w:rPr>
              <w:t>新建楼堂馆所面积控制率</w:t>
            </w:r>
          </w:p>
        </w:tc>
        <w:tc>
          <w:tcPr>
            <w:tcW w:w="481" w:type="dxa"/>
            <w:tcBorders>
              <w:top w:val="nil"/>
              <w:left w:val="nil"/>
              <w:bottom w:val="single" w:color="auto" w:sz="4" w:space="0"/>
              <w:right w:val="single" w:color="auto" w:sz="4" w:space="0"/>
            </w:tcBorders>
            <w:vAlign w:val="center"/>
          </w:tcPr>
          <w:p w14:paraId="7A68DAAF">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22D13C39">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3427" w:type="dxa"/>
            <w:tcBorders>
              <w:top w:val="nil"/>
              <w:left w:val="nil"/>
              <w:bottom w:val="single" w:color="auto" w:sz="4" w:space="0"/>
              <w:right w:val="single" w:color="auto" w:sz="4" w:space="0"/>
            </w:tcBorders>
            <w:vAlign w:val="center"/>
          </w:tcPr>
          <w:p w14:paraId="136BF4AE">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14:paraId="7B2AC2DB">
            <w:pPr>
              <w:widowControl/>
              <w:jc w:val="left"/>
              <w:rPr>
                <w:rFonts w:hint="eastAsia" w:eastAsia="宋体"/>
                <w:kern w:val="0"/>
                <w:sz w:val="24"/>
                <w:lang w:eastAsia="zh-CN"/>
              </w:rPr>
            </w:pPr>
            <w:r>
              <w:rPr>
                <w:rFonts w:hint="eastAsia"/>
                <w:kern w:val="0"/>
                <w:sz w:val="24"/>
                <w:lang w:val="en-US" w:eastAsia="zh-CN"/>
              </w:rPr>
              <w:t>5</w:t>
            </w:r>
          </w:p>
        </w:tc>
      </w:tr>
      <w:tr w14:paraId="6A2CDEC6">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4EDD84EA">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31D33644">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07CC58ED">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AAEBA2D">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2A07BAD0">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1" w:type="dxa"/>
            <w:tcBorders>
              <w:top w:val="nil"/>
              <w:left w:val="nil"/>
              <w:bottom w:val="single" w:color="auto" w:sz="4" w:space="0"/>
              <w:right w:val="single" w:color="auto" w:sz="4" w:space="0"/>
            </w:tcBorders>
            <w:vAlign w:val="center"/>
          </w:tcPr>
          <w:p w14:paraId="031C990E">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39A6D3F7">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1F3E73AF">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14:paraId="7DF20872">
            <w:pPr>
              <w:widowControl/>
              <w:jc w:val="left"/>
              <w:rPr>
                <w:rFonts w:hint="eastAsia" w:eastAsia="宋体"/>
                <w:kern w:val="0"/>
                <w:sz w:val="24"/>
                <w:lang w:eastAsia="zh-CN"/>
              </w:rPr>
            </w:pPr>
            <w:r>
              <w:rPr>
                <w:rFonts w:hint="eastAsia"/>
                <w:kern w:val="0"/>
                <w:sz w:val="24"/>
                <w:lang w:val="en-US" w:eastAsia="zh-CN"/>
              </w:rPr>
              <w:t>5</w:t>
            </w:r>
          </w:p>
        </w:tc>
      </w:tr>
      <w:tr w14:paraId="1659AE49">
        <w:tblPrEx>
          <w:tblCellMar>
            <w:top w:w="0" w:type="dxa"/>
            <w:left w:w="108" w:type="dxa"/>
            <w:bottom w:w="0" w:type="dxa"/>
            <w:right w:w="108" w:type="dxa"/>
          </w:tblCellMar>
        </w:tblPrEx>
        <w:trPr>
          <w:trHeight w:val="118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6CD7BEE0">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6E858E9">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14:paraId="09E36AFA">
            <w:pPr>
              <w:widowControl/>
              <w:jc w:val="center"/>
              <w:rPr>
                <w:rFonts w:eastAsia="仿宋_GB2312"/>
                <w:kern w:val="0"/>
                <w:sz w:val="20"/>
                <w:szCs w:val="20"/>
              </w:rPr>
            </w:pPr>
            <w:r>
              <w:rPr>
                <w:rFonts w:hint="eastAsia" w:eastAsia="仿宋_GB2312"/>
                <w:kern w:val="0"/>
                <w:sz w:val="20"/>
                <w:szCs w:val="20"/>
              </w:rPr>
              <w:t>预算管理</w:t>
            </w:r>
          </w:p>
        </w:tc>
        <w:tc>
          <w:tcPr>
            <w:tcW w:w="419" w:type="dxa"/>
            <w:vMerge w:val="restart"/>
            <w:tcBorders>
              <w:top w:val="nil"/>
              <w:left w:val="single" w:color="auto" w:sz="4" w:space="0"/>
              <w:bottom w:val="single" w:color="000000" w:sz="4" w:space="0"/>
              <w:right w:val="single" w:color="auto" w:sz="4" w:space="0"/>
            </w:tcBorders>
            <w:vAlign w:val="center"/>
          </w:tcPr>
          <w:p w14:paraId="04F5607F">
            <w:pPr>
              <w:widowControl/>
              <w:jc w:val="center"/>
              <w:rPr>
                <w:rFonts w:eastAsia="仿宋_GB2312"/>
                <w:kern w:val="0"/>
                <w:sz w:val="20"/>
                <w:szCs w:val="20"/>
              </w:rPr>
            </w:pPr>
            <w:r>
              <w:rPr>
                <w:rFonts w:eastAsia="仿宋_GB2312"/>
                <w:kern w:val="0"/>
                <w:sz w:val="20"/>
                <w:szCs w:val="20"/>
              </w:rPr>
              <w:t>40</w:t>
            </w:r>
          </w:p>
        </w:tc>
        <w:tc>
          <w:tcPr>
            <w:tcW w:w="1203" w:type="dxa"/>
            <w:tcBorders>
              <w:top w:val="nil"/>
              <w:left w:val="nil"/>
              <w:bottom w:val="single" w:color="auto" w:sz="4" w:space="0"/>
              <w:right w:val="single" w:color="auto" w:sz="4" w:space="0"/>
            </w:tcBorders>
            <w:vAlign w:val="center"/>
          </w:tcPr>
          <w:p w14:paraId="590352DC">
            <w:pPr>
              <w:widowControl/>
              <w:jc w:val="left"/>
              <w:rPr>
                <w:rFonts w:eastAsia="仿宋_GB2312"/>
                <w:kern w:val="0"/>
                <w:sz w:val="20"/>
                <w:szCs w:val="20"/>
              </w:rPr>
            </w:pPr>
            <w:r>
              <w:rPr>
                <w:rFonts w:hint="eastAsia" w:eastAsia="仿宋_GB2312"/>
                <w:kern w:val="0"/>
                <w:sz w:val="20"/>
                <w:szCs w:val="20"/>
              </w:rPr>
              <w:t>公用经费控制率</w:t>
            </w:r>
          </w:p>
        </w:tc>
        <w:tc>
          <w:tcPr>
            <w:tcW w:w="481" w:type="dxa"/>
            <w:tcBorders>
              <w:top w:val="nil"/>
              <w:left w:val="nil"/>
              <w:bottom w:val="single" w:color="auto" w:sz="4" w:space="0"/>
              <w:right w:val="single" w:color="auto" w:sz="4" w:space="0"/>
            </w:tcBorders>
            <w:vAlign w:val="center"/>
          </w:tcPr>
          <w:p w14:paraId="5FF4B1BA">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2E74A1A1">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338225CF">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525" w:type="dxa"/>
            <w:tcBorders>
              <w:top w:val="nil"/>
              <w:left w:val="nil"/>
              <w:bottom w:val="single" w:color="auto" w:sz="4" w:space="0"/>
              <w:right w:val="single" w:color="auto" w:sz="4" w:space="0"/>
            </w:tcBorders>
            <w:vAlign w:val="center"/>
          </w:tcPr>
          <w:p w14:paraId="107FDB7A">
            <w:pPr>
              <w:widowControl/>
              <w:jc w:val="left"/>
              <w:rPr>
                <w:rFonts w:hint="eastAsia" w:eastAsia="宋体"/>
                <w:kern w:val="0"/>
                <w:sz w:val="24"/>
                <w:lang w:eastAsia="zh-CN"/>
              </w:rPr>
            </w:pPr>
            <w:r>
              <w:rPr>
                <w:rFonts w:hint="eastAsia"/>
                <w:kern w:val="0"/>
                <w:sz w:val="24"/>
                <w:lang w:val="en-US" w:eastAsia="zh-CN"/>
              </w:rPr>
              <w:t>8</w:t>
            </w:r>
          </w:p>
        </w:tc>
      </w:tr>
      <w:tr w14:paraId="6E7B557F">
        <w:tblPrEx>
          <w:tblCellMar>
            <w:top w:w="0" w:type="dxa"/>
            <w:left w:w="108" w:type="dxa"/>
            <w:bottom w:w="0" w:type="dxa"/>
            <w:right w:w="108" w:type="dxa"/>
          </w:tblCellMar>
        </w:tblPrEx>
        <w:trPr>
          <w:trHeight w:val="81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0DD08886">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A38886F">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301FE584">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E080E7A">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200C6265">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控制率</w:t>
            </w:r>
          </w:p>
        </w:tc>
        <w:tc>
          <w:tcPr>
            <w:tcW w:w="481" w:type="dxa"/>
            <w:tcBorders>
              <w:top w:val="nil"/>
              <w:left w:val="nil"/>
              <w:bottom w:val="single" w:color="auto" w:sz="4" w:space="0"/>
              <w:right w:val="single" w:color="auto" w:sz="4" w:space="0"/>
            </w:tcBorders>
            <w:vAlign w:val="center"/>
          </w:tcPr>
          <w:p w14:paraId="0FE2B84F">
            <w:pPr>
              <w:widowControl/>
              <w:jc w:val="center"/>
              <w:rPr>
                <w:rFonts w:eastAsia="仿宋_GB2312"/>
                <w:kern w:val="0"/>
                <w:sz w:val="20"/>
                <w:szCs w:val="20"/>
              </w:rPr>
            </w:pPr>
            <w:r>
              <w:rPr>
                <w:rFonts w:eastAsia="仿宋_GB2312"/>
                <w:kern w:val="0"/>
                <w:sz w:val="20"/>
                <w:szCs w:val="20"/>
              </w:rPr>
              <w:t>7</w:t>
            </w:r>
          </w:p>
        </w:tc>
        <w:tc>
          <w:tcPr>
            <w:tcW w:w="2999" w:type="dxa"/>
            <w:tcBorders>
              <w:top w:val="nil"/>
              <w:left w:val="nil"/>
              <w:bottom w:val="single" w:color="auto" w:sz="4" w:space="0"/>
              <w:right w:val="single" w:color="auto" w:sz="4" w:space="0"/>
            </w:tcBorders>
            <w:vAlign w:val="center"/>
          </w:tcPr>
          <w:p w14:paraId="13DECD5D">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08F220F2">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hint="eastAsia" w:eastAsia="仿宋_GB2312"/>
                <w:kern w:val="0"/>
                <w:sz w:val="20"/>
                <w:szCs w:val="20"/>
                <w:lang w:eastAsia="zh-CN"/>
              </w:rPr>
              <w:t>“三公”经费</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lang w:eastAsia="zh-CN"/>
              </w:rPr>
              <w:t>“三公”经费</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0F0F494A">
            <w:pPr>
              <w:widowControl/>
              <w:jc w:val="left"/>
              <w:rPr>
                <w:rFonts w:hint="eastAsia" w:eastAsia="宋体"/>
                <w:kern w:val="0"/>
                <w:sz w:val="24"/>
                <w:lang w:eastAsia="zh-CN"/>
              </w:rPr>
            </w:pPr>
            <w:r>
              <w:rPr>
                <w:rFonts w:hint="eastAsia"/>
                <w:kern w:val="0"/>
                <w:sz w:val="24"/>
                <w:lang w:val="en-US" w:eastAsia="zh-CN"/>
              </w:rPr>
              <w:t>7</w:t>
            </w:r>
          </w:p>
        </w:tc>
      </w:tr>
      <w:tr w14:paraId="4EAF0BB6">
        <w:tblPrEx>
          <w:tblCellMar>
            <w:top w:w="0" w:type="dxa"/>
            <w:left w:w="108" w:type="dxa"/>
            <w:bottom w:w="0" w:type="dxa"/>
            <w:right w:w="108" w:type="dxa"/>
          </w:tblCellMar>
        </w:tblPrEx>
        <w:trPr>
          <w:trHeight w:val="598"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2616D20B">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545D3E5D">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3397D824">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5A76063">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6E9B8916">
            <w:pPr>
              <w:widowControl/>
              <w:jc w:val="left"/>
              <w:rPr>
                <w:rFonts w:eastAsia="仿宋_GB2312"/>
                <w:kern w:val="0"/>
                <w:sz w:val="20"/>
                <w:szCs w:val="20"/>
              </w:rPr>
            </w:pPr>
            <w:r>
              <w:rPr>
                <w:rFonts w:hint="eastAsia" w:eastAsia="仿宋_GB2312"/>
                <w:kern w:val="0"/>
                <w:sz w:val="20"/>
                <w:szCs w:val="20"/>
              </w:rPr>
              <w:t>政府采购执行率</w:t>
            </w:r>
          </w:p>
        </w:tc>
        <w:tc>
          <w:tcPr>
            <w:tcW w:w="481" w:type="dxa"/>
            <w:tcBorders>
              <w:top w:val="nil"/>
              <w:left w:val="nil"/>
              <w:bottom w:val="single" w:color="auto" w:sz="4" w:space="0"/>
              <w:right w:val="single" w:color="auto" w:sz="4" w:space="0"/>
            </w:tcBorders>
            <w:vAlign w:val="center"/>
          </w:tcPr>
          <w:p w14:paraId="199352CD">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70FD53BE">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6FFB4BBF">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14:paraId="57D75725">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6</w:t>
            </w:r>
          </w:p>
        </w:tc>
      </w:tr>
      <w:tr w14:paraId="62435C30">
        <w:tblPrEx>
          <w:tblCellMar>
            <w:top w:w="0" w:type="dxa"/>
            <w:left w:w="108" w:type="dxa"/>
            <w:bottom w:w="0" w:type="dxa"/>
            <w:right w:w="108" w:type="dxa"/>
          </w:tblCellMar>
        </w:tblPrEx>
        <w:trPr>
          <w:trHeight w:val="244" w:hRule="atLeast"/>
          <w:jc w:val="center"/>
        </w:trPr>
        <w:tc>
          <w:tcPr>
            <w:tcW w:w="521" w:type="dxa"/>
            <w:vMerge w:val="restart"/>
            <w:tcBorders>
              <w:top w:val="single" w:color="auto" w:sz="4" w:space="0"/>
              <w:left w:val="single" w:color="auto" w:sz="4" w:space="0"/>
              <w:bottom w:val="single" w:color="000000" w:sz="4" w:space="0"/>
              <w:right w:val="single" w:color="auto" w:sz="4" w:space="0"/>
            </w:tcBorders>
            <w:vAlign w:val="center"/>
          </w:tcPr>
          <w:p w14:paraId="5A98735A">
            <w:pPr>
              <w:jc w:val="left"/>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tc>
        <w:tc>
          <w:tcPr>
            <w:tcW w:w="419" w:type="dxa"/>
            <w:vMerge w:val="restart"/>
            <w:tcBorders>
              <w:top w:val="single" w:color="auto" w:sz="4" w:space="0"/>
              <w:left w:val="single" w:color="auto" w:sz="4" w:space="0"/>
              <w:bottom w:val="single" w:color="000000" w:sz="4" w:space="0"/>
              <w:right w:val="single" w:color="auto" w:sz="4" w:space="0"/>
            </w:tcBorders>
            <w:vAlign w:val="center"/>
          </w:tcPr>
          <w:p w14:paraId="46021378">
            <w:pPr>
              <w:jc w:val="left"/>
              <w:rPr>
                <w:rFonts w:eastAsia="仿宋_GB2312"/>
                <w:kern w:val="0"/>
                <w:sz w:val="20"/>
                <w:szCs w:val="20"/>
              </w:rPr>
            </w:pPr>
          </w:p>
        </w:tc>
        <w:tc>
          <w:tcPr>
            <w:tcW w:w="682" w:type="dxa"/>
            <w:vMerge w:val="restart"/>
            <w:tcBorders>
              <w:top w:val="nil"/>
              <w:left w:val="nil"/>
              <w:bottom w:val="single" w:color="auto" w:sz="4" w:space="0"/>
              <w:right w:val="single" w:color="auto" w:sz="4" w:space="0"/>
            </w:tcBorders>
            <w:vAlign w:val="center"/>
          </w:tcPr>
          <w:p w14:paraId="48872F7A">
            <w:pPr>
              <w:widowControl/>
              <w:jc w:val="left"/>
              <w:rPr>
                <w:rFonts w:eastAsia="仿宋_GB2312"/>
                <w:kern w:val="0"/>
                <w:sz w:val="20"/>
                <w:szCs w:val="20"/>
              </w:rPr>
            </w:pPr>
            <w:r>
              <w:rPr>
                <w:rFonts w:hint="eastAsia" w:eastAsia="仿宋_GB2312"/>
                <w:kern w:val="0"/>
                <w:sz w:val="20"/>
                <w:szCs w:val="20"/>
              </w:rPr>
              <w:t>预算管理</w:t>
            </w:r>
          </w:p>
        </w:tc>
        <w:tc>
          <w:tcPr>
            <w:tcW w:w="419" w:type="dxa"/>
            <w:vMerge w:val="continue"/>
            <w:tcBorders>
              <w:top w:val="nil"/>
              <w:left w:val="single" w:color="auto" w:sz="4" w:space="0"/>
              <w:bottom w:val="single" w:color="000000" w:sz="4" w:space="0"/>
              <w:right w:val="single" w:color="auto" w:sz="4" w:space="0"/>
            </w:tcBorders>
            <w:vAlign w:val="center"/>
          </w:tcPr>
          <w:p w14:paraId="7AE25615">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4759B300">
            <w:pPr>
              <w:widowControl/>
              <w:jc w:val="left"/>
              <w:rPr>
                <w:rFonts w:eastAsia="仿宋_GB2312"/>
                <w:kern w:val="0"/>
                <w:sz w:val="20"/>
                <w:szCs w:val="20"/>
              </w:rPr>
            </w:pPr>
            <w:r>
              <w:rPr>
                <w:rFonts w:hint="eastAsia" w:eastAsia="仿宋_GB2312"/>
                <w:kern w:val="0"/>
                <w:sz w:val="20"/>
                <w:szCs w:val="20"/>
              </w:rPr>
              <w:t>管理制度健全性</w:t>
            </w:r>
          </w:p>
        </w:tc>
        <w:tc>
          <w:tcPr>
            <w:tcW w:w="481" w:type="dxa"/>
            <w:tcBorders>
              <w:top w:val="nil"/>
              <w:left w:val="nil"/>
              <w:bottom w:val="single" w:color="auto" w:sz="4" w:space="0"/>
              <w:right w:val="single" w:color="auto" w:sz="4" w:space="0"/>
            </w:tcBorders>
            <w:vAlign w:val="center"/>
          </w:tcPr>
          <w:p w14:paraId="76693DCC">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15E07AF4">
            <w:pPr>
              <w:widowControl/>
              <w:jc w:val="left"/>
              <w:rPr>
                <w:rFonts w:eastAsia="仿宋_GB2312"/>
                <w:kern w:val="0"/>
                <w:sz w:val="20"/>
                <w:szCs w:val="20"/>
              </w:rPr>
            </w:pPr>
            <w:r>
              <w:rPr>
                <w:rFonts w:hint="eastAsia" w:eastAsia="仿宋_GB2312"/>
                <w:kern w:val="0"/>
                <w:sz w:val="20"/>
                <w:szCs w:val="20"/>
              </w:rPr>
              <w:t>①有内部财务管理制度、会计核算制度等管理制度，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②有本部门厉行节约制度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③相关管理制度合法、合规、完整，</w:t>
            </w:r>
            <w:r>
              <w:rPr>
                <w:rFonts w:eastAsia="仿宋_GB2312"/>
                <w:kern w:val="0"/>
                <w:sz w:val="20"/>
                <w:szCs w:val="20"/>
              </w:rPr>
              <w:t>2</w:t>
            </w:r>
            <w:r>
              <w:rPr>
                <w:rFonts w:hint="eastAsia" w:eastAsia="仿宋_GB2312"/>
                <w:kern w:val="0"/>
                <w:sz w:val="20"/>
                <w:szCs w:val="20"/>
              </w:rPr>
              <w:t>分；④相关管理制度得到有效执行，</w:t>
            </w:r>
            <w:r>
              <w:rPr>
                <w:rFonts w:eastAsia="仿宋_GB2312"/>
                <w:kern w:val="0"/>
                <w:sz w:val="20"/>
                <w:szCs w:val="20"/>
              </w:rPr>
              <w:t>2</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14:paraId="78351DF1">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21D9B6E5">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8</w:t>
            </w:r>
          </w:p>
        </w:tc>
      </w:tr>
      <w:tr w14:paraId="69DC734B">
        <w:tblPrEx>
          <w:tblCellMar>
            <w:top w:w="0" w:type="dxa"/>
            <w:left w:w="108" w:type="dxa"/>
            <w:bottom w:w="0" w:type="dxa"/>
            <w:right w:w="108" w:type="dxa"/>
          </w:tblCellMar>
        </w:tblPrEx>
        <w:trPr>
          <w:trHeight w:val="3011"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6EEC99FB">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16A8F23">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0C8205AB">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DB3F1A0">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5B0DA3CE">
            <w:pPr>
              <w:widowControl/>
              <w:jc w:val="left"/>
              <w:rPr>
                <w:rFonts w:eastAsia="仿宋_GB2312"/>
                <w:kern w:val="0"/>
                <w:sz w:val="20"/>
                <w:szCs w:val="20"/>
              </w:rPr>
            </w:pPr>
            <w:r>
              <w:rPr>
                <w:rFonts w:hint="eastAsia" w:eastAsia="仿宋_GB2312"/>
                <w:kern w:val="0"/>
                <w:sz w:val="20"/>
                <w:szCs w:val="20"/>
              </w:rPr>
              <w:t>资金使用合规性</w:t>
            </w:r>
          </w:p>
        </w:tc>
        <w:tc>
          <w:tcPr>
            <w:tcW w:w="481" w:type="dxa"/>
            <w:tcBorders>
              <w:top w:val="nil"/>
              <w:left w:val="nil"/>
              <w:bottom w:val="single" w:color="auto" w:sz="4" w:space="0"/>
              <w:right w:val="single" w:color="auto" w:sz="4" w:space="0"/>
            </w:tcBorders>
            <w:vAlign w:val="center"/>
          </w:tcPr>
          <w:p w14:paraId="62E05845">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5BBBCC3D">
            <w:pPr>
              <w:widowControl/>
              <w:jc w:val="left"/>
              <w:rPr>
                <w:rFonts w:eastAsia="仿宋_GB2312"/>
                <w:kern w:val="0"/>
                <w:sz w:val="20"/>
                <w:szCs w:val="20"/>
              </w:rPr>
            </w:pPr>
            <w:r>
              <w:rPr>
                <w:rFonts w:hint="eastAsia" w:eastAsia="仿宋_GB2312"/>
                <w:kern w:val="0"/>
                <w:sz w:val="20"/>
                <w:szCs w:val="20"/>
              </w:rPr>
              <w:t>①支出符合国家财经法规和财务管理制度规定以及有关专项资金管理办法的规定；②资金拨付有完整的审批程序和手续；③项目支出按规定经过评估论证；④支出符合部门预算批复的用途；⑤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7B48084D">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7C1D22A2">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6</w:t>
            </w:r>
          </w:p>
        </w:tc>
      </w:tr>
      <w:tr w14:paraId="4D491FC9">
        <w:tblPrEx>
          <w:tblCellMar>
            <w:top w:w="0" w:type="dxa"/>
            <w:left w:w="108" w:type="dxa"/>
            <w:bottom w:w="0" w:type="dxa"/>
            <w:right w:w="108" w:type="dxa"/>
          </w:tblCellMar>
        </w:tblPrEx>
        <w:trPr>
          <w:trHeight w:val="165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240B35DF">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658264B1">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0157D676">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2812D635">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165E3D54">
            <w:pPr>
              <w:widowControl/>
              <w:jc w:val="left"/>
              <w:rPr>
                <w:rFonts w:eastAsia="仿宋_GB2312"/>
                <w:kern w:val="0"/>
                <w:sz w:val="20"/>
                <w:szCs w:val="20"/>
              </w:rPr>
            </w:pPr>
            <w:r>
              <w:rPr>
                <w:rFonts w:hint="eastAsia" w:eastAsia="仿宋_GB2312"/>
                <w:kern w:val="0"/>
                <w:sz w:val="20"/>
                <w:szCs w:val="20"/>
              </w:rPr>
              <w:t>预决算信息公开性</w:t>
            </w:r>
          </w:p>
        </w:tc>
        <w:tc>
          <w:tcPr>
            <w:tcW w:w="481" w:type="dxa"/>
            <w:tcBorders>
              <w:top w:val="nil"/>
              <w:left w:val="nil"/>
              <w:bottom w:val="single" w:color="auto" w:sz="4" w:space="0"/>
              <w:right w:val="single" w:color="auto" w:sz="4" w:space="0"/>
            </w:tcBorders>
            <w:vAlign w:val="center"/>
          </w:tcPr>
          <w:p w14:paraId="38C2953F">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1BE72ABF">
            <w:pPr>
              <w:widowControl/>
              <w:jc w:val="left"/>
              <w:rPr>
                <w:rFonts w:eastAsia="仿宋_GB2312"/>
                <w:kern w:val="0"/>
                <w:sz w:val="20"/>
                <w:szCs w:val="20"/>
              </w:rPr>
            </w:pPr>
            <w:r>
              <w:rPr>
                <w:rFonts w:hint="eastAsia" w:eastAsia="仿宋_GB2312"/>
                <w:kern w:val="0"/>
                <w:sz w:val="20"/>
                <w:szCs w:val="20"/>
              </w:rPr>
              <w:t>①按规定内容公开预决算信息，</w:t>
            </w:r>
            <w:r>
              <w:rPr>
                <w:rFonts w:eastAsia="仿宋_GB2312"/>
                <w:kern w:val="0"/>
                <w:sz w:val="20"/>
                <w:szCs w:val="20"/>
              </w:rPr>
              <w:t>1</w:t>
            </w:r>
            <w:r>
              <w:rPr>
                <w:rFonts w:hint="eastAsia" w:eastAsia="仿宋_GB2312"/>
                <w:kern w:val="0"/>
                <w:sz w:val="20"/>
                <w:szCs w:val="20"/>
              </w:rPr>
              <w:t>分；②按规定时限公开预决算信息，</w:t>
            </w:r>
            <w:r>
              <w:rPr>
                <w:rFonts w:eastAsia="仿宋_GB2312"/>
                <w:kern w:val="0"/>
                <w:sz w:val="20"/>
                <w:szCs w:val="20"/>
              </w:rPr>
              <w:t>1</w:t>
            </w:r>
            <w:r>
              <w:rPr>
                <w:rFonts w:hint="eastAsia" w:eastAsia="仿宋_GB2312"/>
                <w:kern w:val="0"/>
                <w:sz w:val="20"/>
                <w:szCs w:val="20"/>
              </w:rPr>
              <w:t>分；③基础数据信息和会计信息资料真实，</w:t>
            </w:r>
            <w:r>
              <w:rPr>
                <w:rFonts w:eastAsia="仿宋_GB2312"/>
                <w:kern w:val="0"/>
                <w:sz w:val="20"/>
                <w:szCs w:val="20"/>
              </w:rPr>
              <w:t>1</w:t>
            </w:r>
            <w:r>
              <w:rPr>
                <w:rFonts w:hint="eastAsia" w:eastAsia="仿宋_GB2312"/>
                <w:kern w:val="0"/>
                <w:sz w:val="20"/>
                <w:szCs w:val="20"/>
              </w:rPr>
              <w:t>分；④基础数据信息和会计信息资料完整，</w:t>
            </w:r>
            <w:r>
              <w:rPr>
                <w:rFonts w:eastAsia="仿宋_GB2312"/>
                <w:kern w:val="0"/>
                <w:sz w:val="20"/>
                <w:szCs w:val="20"/>
              </w:rPr>
              <w:t>1</w:t>
            </w:r>
            <w:r>
              <w:rPr>
                <w:rFonts w:hint="eastAsia" w:eastAsia="仿宋_GB2312"/>
                <w:kern w:val="0"/>
                <w:sz w:val="20"/>
                <w:szCs w:val="20"/>
              </w:rPr>
              <w:t>分；⑤基础数据信息和汇集信息资料准确，</w:t>
            </w:r>
            <w:r>
              <w:rPr>
                <w:rFonts w:eastAsia="仿宋_GB2312"/>
                <w:kern w:val="0"/>
                <w:sz w:val="20"/>
                <w:szCs w:val="20"/>
              </w:rPr>
              <w:t>1</w:t>
            </w:r>
            <w:r>
              <w:rPr>
                <w:rFonts w:hint="eastAsia" w:eastAsia="仿宋_GB2312"/>
                <w:kern w:val="0"/>
                <w:sz w:val="20"/>
                <w:szCs w:val="20"/>
              </w:rPr>
              <w:t>分。</w:t>
            </w:r>
            <w:r>
              <w:rPr>
                <w:rFonts w:eastAsia="仿宋_GB2312"/>
                <w:kern w:val="0"/>
                <w:sz w:val="20"/>
                <w:szCs w:val="20"/>
              </w:rPr>
              <w:t xml:space="preserve">  </w:t>
            </w:r>
          </w:p>
        </w:tc>
        <w:tc>
          <w:tcPr>
            <w:tcW w:w="3427" w:type="dxa"/>
            <w:tcBorders>
              <w:top w:val="nil"/>
              <w:left w:val="nil"/>
              <w:bottom w:val="single" w:color="auto" w:sz="4" w:space="0"/>
              <w:right w:val="single" w:color="auto" w:sz="4" w:space="0"/>
            </w:tcBorders>
            <w:vAlign w:val="center"/>
          </w:tcPr>
          <w:p w14:paraId="4D51991D">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525" w:type="dxa"/>
            <w:tcBorders>
              <w:top w:val="nil"/>
              <w:left w:val="nil"/>
              <w:bottom w:val="single" w:color="auto" w:sz="4" w:space="0"/>
              <w:right w:val="single" w:color="auto" w:sz="4" w:space="0"/>
            </w:tcBorders>
            <w:vAlign w:val="center"/>
          </w:tcPr>
          <w:p w14:paraId="6138509C">
            <w:pPr>
              <w:widowControl/>
              <w:jc w:val="left"/>
              <w:rPr>
                <w:kern w:val="0"/>
                <w:sz w:val="24"/>
              </w:rPr>
            </w:pPr>
            <w:r>
              <w:rPr>
                <w:rFonts w:hint="eastAsia"/>
                <w:kern w:val="0"/>
                <w:sz w:val="24"/>
                <w:lang w:val="en-US" w:eastAsia="zh-CN"/>
              </w:rPr>
              <w:t>5</w:t>
            </w:r>
            <w:r>
              <w:rPr>
                <w:rFonts w:hint="eastAsia"/>
                <w:kern w:val="0"/>
                <w:sz w:val="24"/>
              </w:rPr>
              <w:t>　</w:t>
            </w:r>
          </w:p>
        </w:tc>
      </w:tr>
      <w:tr w14:paraId="70CCAD23">
        <w:tblPrEx>
          <w:tblCellMar>
            <w:top w:w="0" w:type="dxa"/>
            <w:left w:w="108" w:type="dxa"/>
            <w:bottom w:w="0" w:type="dxa"/>
            <w:right w:w="108" w:type="dxa"/>
          </w:tblCellMar>
        </w:tblPrEx>
        <w:trPr>
          <w:trHeight w:val="1188" w:hRule="atLeast"/>
          <w:jc w:val="center"/>
        </w:trPr>
        <w:tc>
          <w:tcPr>
            <w:tcW w:w="521" w:type="dxa"/>
            <w:vMerge w:val="restart"/>
            <w:tcBorders>
              <w:top w:val="nil"/>
              <w:left w:val="single" w:color="auto" w:sz="4" w:space="0"/>
              <w:bottom w:val="single" w:color="000000" w:sz="4" w:space="0"/>
              <w:right w:val="single" w:color="auto" w:sz="4" w:space="0"/>
            </w:tcBorders>
            <w:vAlign w:val="center"/>
          </w:tcPr>
          <w:p w14:paraId="30E1DD70">
            <w:pPr>
              <w:widowControl/>
              <w:jc w:val="center"/>
              <w:rPr>
                <w:rFonts w:eastAsia="仿宋_GB2312"/>
                <w:kern w:val="0"/>
                <w:sz w:val="20"/>
                <w:szCs w:val="20"/>
              </w:rPr>
            </w:pPr>
            <w:r>
              <w:rPr>
                <w:rFonts w:hint="eastAsia" w:eastAsia="仿宋_GB2312"/>
                <w:kern w:val="0"/>
                <w:sz w:val="20"/>
                <w:szCs w:val="20"/>
              </w:rPr>
              <w:t>产出及效率</w:t>
            </w:r>
          </w:p>
        </w:tc>
        <w:tc>
          <w:tcPr>
            <w:tcW w:w="419" w:type="dxa"/>
            <w:vMerge w:val="restart"/>
            <w:tcBorders>
              <w:top w:val="nil"/>
              <w:left w:val="single" w:color="auto" w:sz="4" w:space="0"/>
              <w:bottom w:val="single" w:color="000000" w:sz="4" w:space="0"/>
              <w:right w:val="single" w:color="auto" w:sz="4" w:space="0"/>
            </w:tcBorders>
            <w:vAlign w:val="center"/>
          </w:tcPr>
          <w:p w14:paraId="28039B7D">
            <w:pPr>
              <w:widowControl/>
              <w:jc w:val="center"/>
              <w:rPr>
                <w:rFonts w:eastAsia="仿宋_GB2312"/>
                <w:kern w:val="0"/>
                <w:sz w:val="20"/>
                <w:szCs w:val="20"/>
              </w:rPr>
            </w:pPr>
            <w:r>
              <w:rPr>
                <w:rFonts w:eastAsia="仿宋_GB2312"/>
                <w:kern w:val="0"/>
                <w:sz w:val="20"/>
                <w:szCs w:val="20"/>
              </w:rPr>
              <w:t>30</w:t>
            </w:r>
          </w:p>
        </w:tc>
        <w:tc>
          <w:tcPr>
            <w:tcW w:w="682" w:type="dxa"/>
            <w:tcBorders>
              <w:top w:val="nil"/>
              <w:left w:val="nil"/>
              <w:bottom w:val="single" w:color="auto" w:sz="4" w:space="0"/>
              <w:right w:val="single" w:color="auto" w:sz="4" w:space="0"/>
            </w:tcBorders>
            <w:vAlign w:val="center"/>
          </w:tcPr>
          <w:p w14:paraId="1894EAFB">
            <w:pPr>
              <w:widowControl/>
              <w:jc w:val="center"/>
              <w:rPr>
                <w:rFonts w:eastAsia="仿宋_GB2312"/>
                <w:kern w:val="0"/>
                <w:sz w:val="20"/>
                <w:szCs w:val="20"/>
              </w:rPr>
            </w:pPr>
            <w:r>
              <w:rPr>
                <w:rFonts w:hint="eastAsia" w:eastAsia="仿宋_GB2312"/>
                <w:kern w:val="0"/>
                <w:sz w:val="20"/>
                <w:szCs w:val="20"/>
              </w:rPr>
              <w:t>职责履行</w:t>
            </w:r>
          </w:p>
        </w:tc>
        <w:tc>
          <w:tcPr>
            <w:tcW w:w="419" w:type="dxa"/>
            <w:tcBorders>
              <w:top w:val="nil"/>
              <w:left w:val="nil"/>
              <w:bottom w:val="single" w:color="auto" w:sz="4" w:space="0"/>
              <w:right w:val="single" w:color="auto" w:sz="4" w:space="0"/>
            </w:tcBorders>
            <w:vAlign w:val="center"/>
          </w:tcPr>
          <w:p w14:paraId="4A9C5D67">
            <w:pPr>
              <w:widowControl/>
              <w:jc w:val="center"/>
              <w:rPr>
                <w:rFonts w:eastAsia="仿宋_GB2312"/>
                <w:kern w:val="0"/>
                <w:sz w:val="20"/>
                <w:szCs w:val="20"/>
              </w:rPr>
            </w:pPr>
            <w:r>
              <w:rPr>
                <w:rFonts w:eastAsia="仿宋_GB2312"/>
                <w:kern w:val="0"/>
                <w:sz w:val="20"/>
                <w:szCs w:val="20"/>
              </w:rPr>
              <w:t>8</w:t>
            </w:r>
          </w:p>
        </w:tc>
        <w:tc>
          <w:tcPr>
            <w:tcW w:w="1203" w:type="dxa"/>
            <w:tcBorders>
              <w:top w:val="nil"/>
              <w:left w:val="nil"/>
              <w:bottom w:val="nil"/>
              <w:right w:val="single" w:color="auto" w:sz="4" w:space="0"/>
            </w:tcBorders>
            <w:vAlign w:val="center"/>
          </w:tcPr>
          <w:p w14:paraId="14443848">
            <w:pPr>
              <w:widowControl/>
              <w:jc w:val="left"/>
              <w:rPr>
                <w:rFonts w:eastAsia="仿宋_GB2312"/>
                <w:kern w:val="0"/>
                <w:sz w:val="20"/>
                <w:szCs w:val="20"/>
              </w:rPr>
            </w:pPr>
            <w:r>
              <w:rPr>
                <w:rFonts w:hint="eastAsia" w:eastAsia="仿宋_GB2312"/>
                <w:kern w:val="0"/>
                <w:sz w:val="20"/>
                <w:szCs w:val="20"/>
              </w:rPr>
              <w:t>重点工作实际完成率</w:t>
            </w:r>
          </w:p>
        </w:tc>
        <w:tc>
          <w:tcPr>
            <w:tcW w:w="481" w:type="dxa"/>
            <w:tcBorders>
              <w:top w:val="nil"/>
              <w:left w:val="nil"/>
              <w:bottom w:val="single" w:color="auto" w:sz="4" w:space="0"/>
              <w:right w:val="single" w:color="auto" w:sz="4" w:space="0"/>
            </w:tcBorders>
            <w:vAlign w:val="center"/>
          </w:tcPr>
          <w:p w14:paraId="32DEBA63">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563D1D66">
            <w:pPr>
              <w:widowControl/>
              <w:jc w:val="left"/>
              <w:rPr>
                <w:rFonts w:eastAsia="仿宋_GB2312"/>
                <w:kern w:val="0"/>
                <w:sz w:val="20"/>
                <w:szCs w:val="20"/>
              </w:rPr>
            </w:pPr>
            <w:r>
              <w:rPr>
                <w:rFonts w:hint="eastAsia" w:eastAsia="仿宋_GB2312"/>
                <w:kern w:val="0"/>
                <w:sz w:val="20"/>
                <w:szCs w:val="20"/>
              </w:rPr>
              <w:t>根据绩效办</w:t>
            </w:r>
            <w:r>
              <w:rPr>
                <w:rFonts w:eastAsia="仿宋_GB2312"/>
                <w:kern w:val="0"/>
                <w:sz w:val="20"/>
                <w:szCs w:val="20"/>
              </w:rPr>
              <w:t>2017</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/350</w:t>
            </w:r>
            <w:r>
              <w:rPr>
                <w:rFonts w:hint="eastAsia" w:eastAsia="仿宋_GB2312"/>
                <w:kern w:val="0"/>
                <w:sz w:val="20"/>
                <w:szCs w:val="20"/>
              </w:rPr>
              <w:t>）</w:t>
            </w:r>
            <w:r>
              <w:rPr>
                <w:rFonts w:eastAsia="仿宋_GB2312"/>
                <w:kern w:val="0"/>
                <w:sz w:val="20"/>
                <w:szCs w:val="20"/>
              </w:rPr>
              <w:t>*8</w:t>
            </w:r>
          </w:p>
        </w:tc>
        <w:tc>
          <w:tcPr>
            <w:tcW w:w="3427" w:type="dxa"/>
            <w:tcBorders>
              <w:top w:val="nil"/>
              <w:left w:val="nil"/>
              <w:bottom w:val="single" w:color="auto" w:sz="4" w:space="0"/>
              <w:right w:val="single" w:color="auto" w:sz="4" w:space="0"/>
            </w:tcBorders>
            <w:vAlign w:val="center"/>
          </w:tcPr>
          <w:p w14:paraId="3128B874">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152A5BC9">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8</w:t>
            </w:r>
          </w:p>
        </w:tc>
      </w:tr>
      <w:tr w14:paraId="020DBBB8">
        <w:tblPrEx>
          <w:tblCellMar>
            <w:top w:w="0" w:type="dxa"/>
            <w:left w:w="108" w:type="dxa"/>
            <w:bottom w:w="0" w:type="dxa"/>
            <w:right w:w="108" w:type="dxa"/>
          </w:tblCellMar>
        </w:tblPrEx>
        <w:trPr>
          <w:trHeight w:val="345"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1D0E4877">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41996A0">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14:paraId="447567BF">
            <w:pPr>
              <w:widowControl/>
              <w:jc w:val="center"/>
              <w:rPr>
                <w:rFonts w:eastAsia="仿宋_GB2312"/>
                <w:kern w:val="0"/>
                <w:sz w:val="20"/>
                <w:szCs w:val="20"/>
              </w:rPr>
            </w:pPr>
            <w:r>
              <w:rPr>
                <w:rFonts w:hint="eastAsia" w:eastAsia="仿宋_GB2312"/>
                <w:kern w:val="0"/>
                <w:sz w:val="20"/>
                <w:szCs w:val="20"/>
              </w:rPr>
              <w:t>履职</w:t>
            </w:r>
            <w:r>
              <w:rPr>
                <w:rFonts w:eastAsia="仿宋_GB2312"/>
                <w:kern w:val="0"/>
                <w:sz w:val="20"/>
                <w:szCs w:val="20"/>
              </w:rPr>
              <w:t xml:space="preserve"> </w:t>
            </w:r>
            <w:r>
              <w:rPr>
                <w:rFonts w:hint="eastAsia" w:eastAsia="仿宋_GB2312"/>
                <w:kern w:val="0"/>
                <w:sz w:val="20"/>
                <w:szCs w:val="20"/>
              </w:rPr>
              <w:t>效益</w:t>
            </w:r>
          </w:p>
        </w:tc>
        <w:tc>
          <w:tcPr>
            <w:tcW w:w="419" w:type="dxa"/>
            <w:vMerge w:val="restart"/>
            <w:tcBorders>
              <w:top w:val="nil"/>
              <w:left w:val="single" w:color="auto" w:sz="4" w:space="0"/>
              <w:bottom w:val="single" w:color="000000" w:sz="4" w:space="0"/>
              <w:right w:val="single" w:color="auto" w:sz="4" w:space="0"/>
            </w:tcBorders>
            <w:vAlign w:val="center"/>
          </w:tcPr>
          <w:p w14:paraId="0FD24AD8">
            <w:pPr>
              <w:widowControl/>
              <w:jc w:val="center"/>
              <w:rPr>
                <w:rFonts w:eastAsia="仿宋_GB2312"/>
                <w:kern w:val="0"/>
                <w:sz w:val="20"/>
                <w:szCs w:val="20"/>
              </w:rPr>
            </w:pPr>
            <w:r>
              <w:rPr>
                <w:rFonts w:eastAsia="仿宋_GB2312"/>
                <w:kern w:val="0"/>
                <w:sz w:val="20"/>
                <w:szCs w:val="20"/>
              </w:rPr>
              <w:t>10</w:t>
            </w:r>
          </w:p>
        </w:tc>
        <w:tc>
          <w:tcPr>
            <w:tcW w:w="1203" w:type="dxa"/>
            <w:tcBorders>
              <w:top w:val="single" w:color="auto" w:sz="4" w:space="0"/>
              <w:left w:val="nil"/>
              <w:bottom w:val="single" w:color="auto" w:sz="4" w:space="0"/>
              <w:right w:val="single" w:color="auto" w:sz="4" w:space="0"/>
            </w:tcBorders>
            <w:vAlign w:val="center"/>
          </w:tcPr>
          <w:p w14:paraId="12A3B0EF">
            <w:pPr>
              <w:widowControl/>
              <w:jc w:val="center"/>
              <w:rPr>
                <w:rFonts w:eastAsia="仿宋_GB2312"/>
                <w:kern w:val="0"/>
                <w:sz w:val="20"/>
                <w:szCs w:val="20"/>
              </w:rPr>
            </w:pPr>
            <w:r>
              <w:rPr>
                <w:rFonts w:hint="eastAsia" w:eastAsia="仿宋_GB2312"/>
                <w:kern w:val="0"/>
                <w:sz w:val="20"/>
                <w:szCs w:val="20"/>
              </w:rPr>
              <w:t>经济效益</w:t>
            </w:r>
          </w:p>
        </w:tc>
        <w:tc>
          <w:tcPr>
            <w:tcW w:w="481" w:type="dxa"/>
            <w:vMerge w:val="restart"/>
            <w:tcBorders>
              <w:top w:val="nil"/>
              <w:left w:val="single" w:color="auto" w:sz="4" w:space="0"/>
              <w:bottom w:val="nil"/>
              <w:right w:val="single" w:color="auto" w:sz="4" w:space="0"/>
            </w:tcBorders>
            <w:vAlign w:val="center"/>
          </w:tcPr>
          <w:p w14:paraId="41678213">
            <w:pPr>
              <w:widowControl/>
              <w:jc w:val="center"/>
              <w:rPr>
                <w:rFonts w:eastAsia="仿宋_GB2312"/>
                <w:kern w:val="0"/>
                <w:sz w:val="20"/>
                <w:szCs w:val="20"/>
              </w:rPr>
            </w:pPr>
            <w:r>
              <w:rPr>
                <w:rFonts w:eastAsia="仿宋_GB2312"/>
                <w:kern w:val="0"/>
                <w:sz w:val="20"/>
                <w:szCs w:val="20"/>
              </w:rPr>
              <w:t>10</w:t>
            </w:r>
          </w:p>
        </w:tc>
        <w:tc>
          <w:tcPr>
            <w:tcW w:w="6426" w:type="dxa"/>
            <w:gridSpan w:val="2"/>
            <w:vMerge w:val="restart"/>
            <w:tcBorders>
              <w:top w:val="single" w:color="auto" w:sz="4" w:space="0"/>
              <w:left w:val="single" w:color="auto" w:sz="4" w:space="0"/>
              <w:bottom w:val="nil"/>
              <w:right w:val="single" w:color="000000" w:sz="4" w:space="0"/>
            </w:tcBorders>
            <w:vAlign w:val="center"/>
          </w:tcPr>
          <w:p w14:paraId="49C2E80A">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25" w:type="dxa"/>
            <w:tcBorders>
              <w:top w:val="nil"/>
              <w:left w:val="nil"/>
              <w:bottom w:val="nil"/>
              <w:right w:val="single" w:color="auto" w:sz="4" w:space="0"/>
            </w:tcBorders>
            <w:vAlign w:val="center"/>
          </w:tcPr>
          <w:p w14:paraId="1982D533">
            <w:pPr>
              <w:widowControl/>
              <w:jc w:val="left"/>
              <w:rPr>
                <w:kern w:val="0"/>
                <w:sz w:val="24"/>
              </w:rPr>
            </w:pPr>
            <w:r>
              <w:rPr>
                <w:rFonts w:hint="eastAsia"/>
                <w:kern w:val="0"/>
                <w:sz w:val="24"/>
              </w:rPr>
              <w:t>　</w:t>
            </w:r>
          </w:p>
        </w:tc>
      </w:tr>
      <w:tr w14:paraId="7A6F9C65">
        <w:tblPrEx>
          <w:tblCellMar>
            <w:top w:w="0" w:type="dxa"/>
            <w:left w:w="108" w:type="dxa"/>
            <w:bottom w:w="0" w:type="dxa"/>
            <w:right w:w="108" w:type="dxa"/>
          </w:tblCellMar>
        </w:tblPrEx>
        <w:trPr>
          <w:trHeight w:val="37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2E101852">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F950D5E">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5F0B72CD">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517A27B">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22396F25">
            <w:pPr>
              <w:widowControl/>
              <w:jc w:val="center"/>
              <w:rPr>
                <w:rFonts w:eastAsia="仿宋_GB2312"/>
                <w:kern w:val="0"/>
                <w:sz w:val="20"/>
                <w:szCs w:val="20"/>
              </w:rPr>
            </w:pPr>
            <w:r>
              <w:rPr>
                <w:rFonts w:hint="eastAsia" w:eastAsia="仿宋_GB2312"/>
                <w:kern w:val="0"/>
                <w:sz w:val="20"/>
                <w:szCs w:val="20"/>
              </w:rPr>
              <w:t>社会效益</w:t>
            </w:r>
          </w:p>
        </w:tc>
        <w:tc>
          <w:tcPr>
            <w:tcW w:w="481" w:type="dxa"/>
            <w:vMerge w:val="continue"/>
            <w:tcBorders>
              <w:top w:val="nil"/>
              <w:left w:val="single" w:color="auto" w:sz="4" w:space="0"/>
              <w:bottom w:val="nil"/>
              <w:right w:val="single" w:color="auto" w:sz="4" w:space="0"/>
            </w:tcBorders>
            <w:vAlign w:val="center"/>
          </w:tcPr>
          <w:p w14:paraId="7DF0970B">
            <w:pPr>
              <w:widowControl/>
              <w:jc w:val="left"/>
              <w:rPr>
                <w:rFonts w:eastAsia="仿宋_GB2312"/>
                <w:kern w:val="0"/>
                <w:sz w:val="20"/>
                <w:szCs w:val="20"/>
              </w:rPr>
            </w:pPr>
          </w:p>
        </w:tc>
        <w:tc>
          <w:tcPr>
            <w:tcW w:w="6426" w:type="dxa"/>
            <w:gridSpan w:val="2"/>
            <w:vMerge w:val="continue"/>
            <w:tcBorders>
              <w:top w:val="single" w:color="auto" w:sz="4" w:space="0"/>
              <w:left w:val="single" w:color="auto" w:sz="4" w:space="0"/>
              <w:bottom w:val="nil"/>
              <w:right w:val="single" w:color="000000" w:sz="4" w:space="0"/>
            </w:tcBorders>
            <w:vAlign w:val="center"/>
          </w:tcPr>
          <w:p w14:paraId="638FD0F8">
            <w:pPr>
              <w:widowControl/>
              <w:jc w:val="left"/>
              <w:rPr>
                <w:rFonts w:eastAsia="仿宋_GB2312"/>
                <w:kern w:val="0"/>
                <w:sz w:val="20"/>
                <w:szCs w:val="20"/>
              </w:rPr>
            </w:pPr>
          </w:p>
        </w:tc>
        <w:tc>
          <w:tcPr>
            <w:tcW w:w="525" w:type="dxa"/>
            <w:tcBorders>
              <w:top w:val="nil"/>
              <w:left w:val="nil"/>
              <w:bottom w:val="nil"/>
              <w:right w:val="single" w:color="auto" w:sz="4" w:space="0"/>
            </w:tcBorders>
            <w:vAlign w:val="center"/>
          </w:tcPr>
          <w:p w14:paraId="44BB7086">
            <w:pPr>
              <w:widowControl/>
              <w:jc w:val="left"/>
              <w:rPr>
                <w:rFonts w:hint="default" w:eastAsia="宋体"/>
                <w:kern w:val="0"/>
                <w:sz w:val="24"/>
                <w:lang w:val="en-US" w:eastAsia="zh-CN"/>
              </w:rPr>
            </w:pPr>
            <w:r>
              <w:rPr>
                <w:rFonts w:hint="eastAsia"/>
                <w:kern w:val="0"/>
                <w:sz w:val="24"/>
              </w:rPr>
              <w:t>　</w:t>
            </w:r>
            <w:r>
              <w:rPr>
                <w:rFonts w:hint="eastAsia"/>
                <w:kern w:val="0"/>
                <w:sz w:val="24"/>
                <w:lang w:val="en-US" w:eastAsia="zh-CN"/>
              </w:rPr>
              <w:t>10</w:t>
            </w:r>
          </w:p>
        </w:tc>
      </w:tr>
      <w:tr w14:paraId="297F2707">
        <w:tblPrEx>
          <w:tblCellMar>
            <w:top w:w="0" w:type="dxa"/>
            <w:left w:w="108" w:type="dxa"/>
            <w:bottom w:w="0" w:type="dxa"/>
            <w:right w:w="108" w:type="dxa"/>
          </w:tblCellMar>
        </w:tblPrEx>
        <w:trPr>
          <w:trHeight w:val="1188"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13B57AB7">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2165C5C">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6B60549B">
            <w:pPr>
              <w:widowControl/>
              <w:jc w:val="left"/>
              <w:rPr>
                <w:rFonts w:eastAsia="仿宋_GB2312"/>
                <w:kern w:val="0"/>
                <w:sz w:val="20"/>
                <w:szCs w:val="20"/>
              </w:rPr>
            </w:pPr>
          </w:p>
        </w:tc>
        <w:tc>
          <w:tcPr>
            <w:tcW w:w="419" w:type="dxa"/>
            <w:vMerge w:val="restart"/>
            <w:tcBorders>
              <w:top w:val="nil"/>
              <w:left w:val="single" w:color="auto" w:sz="4" w:space="0"/>
              <w:bottom w:val="single" w:color="000000" w:sz="4" w:space="0"/>
              <w:right w:val="single" w:color="auto" w:sz="4" w:space="0"/>
            </w:tcBorders>
            <w:vAlign w:val="center"/>
          </w:tcPr>
          <w:p w14:paraId="6B4780F4">
            <w:pPr>
              <w:widowControl/>
              <w:jc w:val="center"/>
              <w:rPr>
                <w:rFonts w:eastAsia="仿宋_GB2312"/>
                <w:kern w:val="0"/>
                <w:sz w:val="20"/>
                <w:szCs w:val="20"/>
              </w:rPr>
            </w:pPr>
            <w:r>
              <w:rPr>
                <w:rFonts w:eastAsia="仿宋_GB2312"/>
                <w:kern w:val="0"/>
                <w:sz w:val="20"/>
                <w:szCs w:val="20"/>
              </w:rPr>
              <w:t>12</w:t>
            </w:r>
          </w:p>
        </w:tc>
        <w:tc>
          <w:tcPr>
            <w:tcW w:w="1203" w:type="dxa"/>
            <w:tcBorders>
              <w:top w:val="nil"/>
              <w:left w:val="nil"/>
              <w:bottom w:val="single" w:color="auto" w:sz="4" w:space="0"/>
              <w:right w:val="single" w:color="auto" w:sz="4" w:space="0"/>
            </w:tcBorders>
            <w:vAlign w:val="center"/>
          </w:tcPr>
          <w:p w14:paraId="00BC60BF">
            <w:pPr>
              <w:widowControl/>
              <w:jc w:val="left"/>
              <w:rPr>
                <w:rFonts w:eastAsia="仿宋_GB2312"/>
                <w:kern w:val="0"/>
                <w:sz w:val="20"/>
                <w:szCs w:val="20"/>
              </w:rPr>
            </w:pPr>
            <w:r>
              <w:rPr>
                <w:rFonts w:hint="eastAsia" w:eastAsia="仿宋_GB2312"/>
                <w:kern w:val="0"/>
                <w:sz w:val="20"/>
                <w:szCs w:val="20"/>
              </w:rPr>
              <w:t>行政效能</w:t>
            </w:r>
          </w:p>
        </w:tc>
        <w:tc>
          <w:tcPr>
            <w:tcW w:w="481" w:type="dxa"/>
            <w:tcBorders>
              <w:top w:val="single" w:color="auto" w:sz="4" w:space="0"/>
              <w:left w:val="nil"/>
              <w:bottom w:val="single" w:color="auto" w:sz="4" w:space="0"/>
              <w:right w:val="single" w:color="auto" w:sz="4" w:space="0"/>
            </w:tcBorders>
            <w:vAlign w:val="center"/>
          </w:tcPr>
          <w:p w14:paraId="3E4AAC42">
            <w:pPr>
              <w:widowControl/>
              <w:jc w:val="center"/>
              <w:rPr>
                <w:rFonts w:eastAsia="仿宋_GB2312"/>
                <w:kern w:val="0"/>
                <w:sz w:val="20"/>
                <w:szCs w:val="20"/>
              </w:rPr>
            </w:pPr>
            <w:r>
              <w:rPr>
                <w:rFonts w:eastAsia="仿宋_GB2312"/>
                <w:kern w:val="0"/>
                <w:sz w:val="20"/>
                <w:szCs w:val="20"/>
              </w:rPr>
              <w:t>6</w:t>
            </w:r>
          </w:p>
        </w:tc>
        <w:tc>
          <w:tcPr>
            <w:tcW w:w="2999" w:type="dxa"/>
            <w:tcBorders>
              <w:top w:val="single" w:color="auto" w:sz="4" w:space="0"/>
              <w:left w:val="nil"/>
              <w:bottom w:val="single" w:color="auto" w:sz="4" w:space="0"/>
              <w:right w:val="single" w:color="auto" w:sz="4" w:space="0"/>
            </w:tcBorders>
            <w:vAlign w:val="center"/>
          </w:tcPr>
          <w:p w14:paraId="489BCD76">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3427" w:type="dxa"/>
            <w:tcBorders>
              <w:top w:val="single" w:color="auto" w:sz="4" w:space="0"/>
              <w:left w:val="nil"/>
              <w:bottom w:val="single" w:color="auto" w:sz="4" w:space="0"/>
              <w:right w:val="single" w:color="auto" w:sz="4" w:space="0"/>
            </w:tcBorders>
            <w:vAlign w:val="center"/>
          </w:tcPr>
          <w:p w14:paraId="4E99EB01">
            <w:pPr>
              <w:widowControl/>
              <w:jc w:val="left"/>
              <w:rPr>
                <w:rFonts w:eastAsia="仿宋_GB2312"/>
                <w:kern w:val="0"/>
                <w:sz w:val="20"/>
                <w:szCs w:val="20"/>
              </w:rPr>
            </w:pPr>
            <w:r>
              <w:rPr>
                <w:rFonts w:hint="eastAsia" w:eastAsia="仿宋_GB2312"/>
                <w:kern w:val="0"/>
                <w:sz w:val="20"/>
                <w:szCs w:val="20"/>
              </w:rPr>
              <w:t>根据部门自评材料评定。</w:t>
            </w:r>
          </w:p>
        </w:tc>
        <w:tc>
          <w:tcPr>
            <w:tcW w:w="525" w:type="dxa"/>
            <w:tcBorders>
              <w:top w:val="single" w:color="auto" w:sz="4" w:space="0"/>
              <w:left w:val="nil"/>
              <w:bottom w:val="single" w:color="auto" w:sz="4" w:space="0"/>
              <w:right w:val="single" w:color="auto" w:sz="4" w:space="0"/>
            </w:tcBorders>
            <w:vAlign w:val="center"/>
          </w:tcPr>
          <w:p w14:paraId="33A7D591">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6</w:t>
            </w:r>
          </w:p>
        </w:tc>
      </w:tr>
      <w:tr w14:paraId="68744331">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302EACE4">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6D9A6B66">
            <w:pPr>
              <w:widowControl/>
              <w:jc w:val="left"/>
              <w:rPr>
                <w:rFonts w:eastAsia="仿宋_GB2312"/>
                <w:kern w:val="0"/>
                <w:sz w:val="20"/>
                <w:szCs w:val="20"/>
              </w:rPr>
            </w:pPr>
          </w:p>
        </w:tc>
        <w:tc>
          <w:tcPr>
            <w:tcW w:w="682" w:type="dxa"/>
            <w:vMerge w:val="continue"/>
            <w:tcBorders>
              <w:top w:val="nil"/>
              <w:left w:val="single" w:color="auto" w:sz="4" w:space="0"/>
              <w:bottom w:val="single" w:color="auto" w:sz="4" w:space="0"/>
              <w:right w:val="single" w:color="auto" w:sz="4" w:space="0"/>
            </w:tcBorders>
            <w:vAlign w:val="center"/>
          </w:tcPr>
          <w:p w14:paraId="4905198D">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1583C803">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02B1921C">
            <w:pPr>
              <w:widowControl/>
              <w:jc w:val="left"/>
              <w:rPr>
                <w:rFonts w:eastAsia="仿宋_GB2312"/>
                <w:kern w:val="0"/>
                <w:sz w:val="20"/>
                <w:szCs w:val="20"/>
              </w:rPr>
            </w:pPr>
            <w:r>
              <w:rPr>
                <w:rFonts w:hint="eastAsia" w:eastAsia="仿宋_GB2312"/>
                <w:kern w:val="0"/>
                <w:sz w:val="20"/>
                <w:szCs w:val="20"/>
              </w:rPr>
              <w:t>社会公众或服务对象满意度</w:t>
            </w:r>
          </w:p>
        </w:tc>
        <w:tc>
          <w:tcPr>
            <w:tcW w:w="481" w:type="dxa"/>
            <w:tcBorders>
              <w:top w:val="nil"/>
              <w:left w:val="nil"/>
              <w:bottom w:val="single" w:color="auto" w:sz="4" w:space="0"/>
              <w:right w:val="single" w:color="auto" w:sz="4" w:space="0"/>
            </w:tcBorders>
            <w:vAlign w:val="center"/>
          </w:tcPr>
          <w:p w14:paraId="391BE067">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3FD178D7">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14:paraId="68760475">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525" w:type="dxa"/>
            <w:tcBorders>
              <w:top w:val="nil"/>
              <w:left w:val="nil"/>
              <w:bottom w:val="single" w:color="auto" w:sz="4" w:space="0"/>
              <w:right w:val="single" w:color="auto" w:sz="4" w:space="0"/>
            </w:tcBorders>
            <w:vAlign w:val="center"/>
          </w:tcPr>
          <w:p w14:paraId="5E82E040">
            <w:pPr>
              <w:widowControl/>
              <w:jc w:val="left"/>
              <w:rPr>
                <w:rFonts w:hint="eastAsia" w:eastAsia="宋体"/>
                <w:kern w:val="0"/>
                <w:sz w:val="24"/>
                <w:lang w:val="en-US" w:eastAsia="zh-CN"/>
              </w:rPr>
            </w:pPr>
            <w:r>
              <w:rPr>
                <w:rFonts w:hint="eastAsia"/>
                <w:kern w:val="0"/>
                <w:sz w:val="24"/>
              </w:rPr>
              <w:t>　</w:t>
            </w:r>
            <w:r>
              <w:rPr>
                <w:rFonts w:hint="eastAsia"/>
                <w:kern w:val="0"/>
                <w:sz w:val="24"/>
                <w:lang w:val="en-US" w:eastAsia="zh-CN"/>
              </w:rPr>
              <w:t>6</w:t>
            </w:r>
          </w:p>
        </w:tc>
      </w:tr>
      <w:tr w14:paraId="68193920">
        <w:tblPrEx>
          <w:tblCellMar>
            <w:top w:w="0" w:type="dxa"/>
            <w:left w:w="108" w:type="dxa"/>
            <w:bottom w:w="0" w:type="dxa"/>
            <w:right w:w="108" w:type="dxa"/>
          </w:tblCellMar>
        </w:tblPrEx>
        <w:trPr>
          <w:trHeight w:val="450" w:hRule="atLeast"/>
          <w:jc w:val="center"/>
        </w:trPr>
        <w:tc>
          <w:tcPr>
            <w:tcW w:w="10151" w:type="dxa"/>
            <w:gridSpan w:val="8"/>
            <w:tcBorders>
              <w:top w:val="single" w:color="auto" w:sz="4" w:space="0"/>
              <w:left w:val="single" w:color="auto" w:sz="4" w:space="0"/>
              <w:bottom w:val="single" w:color="auto" w:sz="4" w:space="0"/>
              <w:right w:val="single" w:color="auto" w:sz="4" w:space="0"/>
            </w:tcBorders>
            <w:vAlign w:val="center"/>
          </w:tcPr>
          <w:p w14:paraId="376EBD60">
            <w:pPr>
              <w:widowControl/>
              <w:jc w:val="center"/>
              <w:rPr>
                <w:rFonts w:eastAsia="仿宋_GB2312"/>
                <w:kern w:val="0"/>
                <w:sz w:val="20"/>
                <w:szCs w:val="20"/>
              </w:rPr>
            </w:pPr>
            <w:r>
              <w:rPr>
                <w:rFonts w:hint="eastAsia" w:eastAsia="仿宋_GB2312"/>
                <w:kern w:val="0"/>
                <w:sz w:val="24"/>
                <w:szCs w:val="24"/>
              </w:rPr>
              <w:t>合计得分</w:t>
            </w:r>
          </w:p>
        </w:tc>
        <w:tc>
          <w:tcPr>
            <w:tcW w:w="525" w:type="dxa"/>
            <w:tcBorders>
              <w:top w:val="single" w:color="auto" w:sz="4" w:space="0"/>
              <w:left w:val="single" w:color="auto" w:sz="4" w:space="0"/>
              <w:bottom w:val="single" w:color="auto" w:sz="4" w:space="0"/>
              <w:right w:val="single" w:color="auto" w:sz="4" w:space="0"/>
            </w:tcBorders>
            <w:vAlign w:val="center"/>
          </w:tcPr>
          <w:p w14:paraId="610D1AB4">
            <w:pPr>
              <w:widowControl/>
              <w:jc w:val="left"/>
              <w:rPr>
                <w:rFonts w:hint="default" w:eastAsia="宋体"/>
                <w:kern w:val="0"/>
                <w:sz w:val="24"/>
                <w:lang w:val="en-US" w:eastAsia="zh-CN"/>
              </w:rPr>
            </w:pPr>
            <w:r>
              <w:rPr>
                <w:rFonts w:hint="eastAsia"/>
                <w:kern w:val="0"/>
                <w:sz w:val="24"/>
                <w:lang w:val="en-US" w:eastAsia="zh-CN"/>
              </w:rPr>
              <w:t>95</w:t>
            </w:r>
          </w:p>
        </w:tc>
      </w:tr>
    </w:tbl>
    <w:p w14:paraId="6D68813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5CD432"/>
    <w:multiLevelType w:val="singleLevel"/>
    <w:tmpl w:val="C15CD432"/>
    <w:lvl w:ilvl="0" w:tentative="0">
      <w:start w:val="3"/>
      <w:numFmt w:val="chineseCounting"/>
      <w:suff w:val="nothing"/>
      <w:lvlText w:val="%1、"/>
      <w:lvlJc w:val="left"/>
      <w:rPr>
        <w:rFonts w:hint="eastAsia"/>
      </w:rPr>
    </w:lvl>
  </w:abstractNum>
  <w:abstractNum w:abstractNumId="1">
    <w:nsid w:val="E9CC11EF"/>
    <w:multiLevelType w:val="singleLevel"/>
    <w:tmpl w:val="E9CC11EF"/>
    <w:lvl w:ilvl="0" w:tentative="0">
      <w:start w:val="2"/>
      <w:numFmt w:val="decimal"/>
      <w:suff w:val="nothing"/>
      <w:lvlText w:val="%1．"/>
      <w:lvlJc w:val="left"/>
      <w:pPr>
        <w:ind w:left="30"/>
      </w:pPr>
    </w:lvl>
  </w:abstractNum>
  <w:abstractNum w:abstractNumId="2">
    <w:nsid w:val="3218E9CD"/>
    <w:multiLevelType w:val="singleLevel"/>
    <w:tmpl w:val="3218E9CD"/>
    <w:lvl w:ilvl="0" w:tentative="0">
      <w:start w:val="7"/>
      <w:numFmt w:val="chineseCounting"/>
      <w:suff w:val="nothing"/>
      <w:lvlText w:val="%1、"/>
      <w:lvlJc w:val="left"/>
      <w:rPr>
        <w:rFonts w:hint="eastAsia"/>
      </w:rPr>
    </w:lvl>
  </w:abstractNum>
  <w:abstractNum w:abstractNumId="3">
    <w:nsid w:val="6DBC353B"/>
    <w:multiLevelType w:val="singleLevel"/>
    <w:tmpl w:val="6DBC353B"/>
    <w:lvl w:ilvl="0" w:tentative="0">
      <w:start w:val="9"/>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5YmNiMWE3NDdiZDY2MjYyYjc2MTZhYWYyMjI0M2MifQ=="/>
  </w:docVars>
  <w:rsids>
    <w:rsidRoot w:val="7FD274A8"/>
    <w:rsid w:val="04BF7268"/>
    <w:rsid w:val="43116E57"/>
    <w:rsid w:val="6A425137"/>
    <w:rsid w:val="7D776519"/>
    <w:rsid w:val="7FD274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Body text|1"/>
    <w:basedOn w:val="1"/>
    <w:qFormat/>
    <w:uiPriority w:val="0"/>
    <w:pPr>
      <w:widowControl w:val="0"/>
      <w:shd w:val="clear" w:color="auto" w:fill="auto"/>
      <w:spacing w:line="398"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3036</Words>
  <Characters>3314</Characters>
  <Lines>0</Lines>
  <Paragraphs>0</Paragraphs>
  <TotalTime>21</TotalTime>
  <ScaleCrop>false</ScaleCrop>
  <LinksUpToDate>false</LinksUpToDate>
  <CharactersWithSpaces>3651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2022-08-24T01:34:00Z</dcterms:created>
  <dc:creator>crazy姐</dc:creator>
  <cp:lastModifiedBy>自由行走的胡萝北</cp:lastModifiedBy>
  <cp:lastPrinted>2022-08-24T03:21:00Z</cp:lastPrinted>
  <dcterms:modified xsi:type="dcterms:W3CDTF">2024-12-17T03:51:21Z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A276783898EB40C6955681960543454C</vt:lpwstr>
  </property>
</Properties>
</file>