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2021年度部门整体支出绩效自评报告</w:t>
      </w:r>
    </w:p>
    <w:p>
      <w:pPr>
        <w:spacing w:line="62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一、部门概况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（一）部门基本情况。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1．机构情况：本次决算由以下6个部门构成：1、</w:t>
      </w:r>
      <w:r>
        <w:rPr>
          <w:rFonts w:ascii="仿宋" w:hAnsi="仿宋" w:eastAsia="仿宋" w:cs="仿宋"/>
          <w:kern w:val="0"/>
          <w:sz w:val="32"/>
          <w:szCs w:val="32"/>
        </w:rPr>
        <w:t>局机关：内设办公室（政工室，挂行政审批股牌子）、文化艺术股（文物和非遗管理股）、旅游发展股、公共服务股、体育股</w:t>
      </w:r>
      <w:r>
        <w:rPr>
          <w:rFonts w:hint="eastAsia" w:ascii="仿宋" w:hAnsi="仿宋" w:eastAsia="仿宋" w:cs="仿宋"/>
          <w:kern w:val="0"/>
          <w:sz w:val="32"/>
          <w:szCs w:val="32"/>
        </w:rPr>
        <w:t>;2、全民健身服务中心;3、图书馆；4、文化馆;5、文物所;6、区文化艺术团。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2．人员情况：本部门编制人数117人，实有人数116人。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（二）</w:t>
      </w:r>
      <w:r>
        <w:rPr>
          <w:rFonts w:hint="eastAsia" w:ascii="宋体" w:hAnsi="宋体"/>
          <w:color w:val="000000"/>
          <w:sz w:val="30"/>
          <w:szCs w:val="30"/>
        </w:rPr>
        <w:t>2021</w:t>
      </w:r>
      <w:r>
        <w:rPr>
          <w:rFonts w:ascii="宋体" w:hAnsi="宋体"/>
          <w:sz w:val="30"/>
          <w:szCs w:val="30"/>
        </w:rPr>
        <w:t>年的重点工作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5" w:lineRule="exact"/>
        <w:ind w:firstLine="640" w:firstLineChars="200"/>
        <w:jc w:val="left"/>
        <w:textAlignment w:val="auto"/>
        <w:rPr>
          <w:rFonts w:hint="eastAsia" w:ascii="仿宋字体" w:hAnsi="仿宋字体" w:eastAsia="仿宋字体" w:cs="仿宋字体"/>
          <w:sz w:val="32"/>
          <w:szCs w:val="32"/>
        </w:rPr>
      </w:pPr>
      <w:r>
        <w:rPr>
          <w:rFonts w:hint="eastAsia" w:ascii="仿宋字体" w:hAnsi="仿宋字体" w:eastAsia="仿宋字体" w:cs="仿宋字体"/>
          <w:sz w:val="32"/>
          <w:szCs w:val="32"/>
          <w:lang w:val="en-US" w:eastAsia="zh-CN"/>
        </w:rPr>
        <w:t>1、</w:t>
      </w:r>
      <w:r>
        <w:rPr>
          <w:rFonts w:hint="eastAsia" w:ascii="仿宋字体" w:hAnsi="仿宋字体" w:eastAsia="仿宋字体" w:cs="仿宋字体"/>
          <w:sz w:val="32"/>
          <w:szCs w:val="32"/>
        </w:rPr>
        <w:t>全面从严管党治党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5" w:lineRule="exact"/>
        <w:ind w:firstLine="640" w:firstLineChars="200"/>
        <w:textAlignment w:val="auto"/>
        <w:rPr>
          <w:rFonts w:hint="eastAsia" w:ascii="仿宋字体" w:hAnsi="仿宋字体" w:eastAsia="仿宋字体" w:cs="仿宋字体"/>
          <w:sz w:val="32"/>
          <w:szCs w:val="32"/>
        </w:rPr>
      </w:pPr>
      <w:r>
        <w:rPr>
          <w:rFonts w:hint="eastAsia" w:ascii="仿宋字体" w:hAnsi="仿宋字体" w:eastAsia="仿宋字体" w:cs="仿宋字体"/>
          <w:sz w:val="32"/>
          <w:szCs w:val="32"/>
          <w:lang w:val="en-US" w:eastAsia="zh-CN"/>
        </w:rPr>
        <w:t>2</w:t>
      </w:r>
      <w:r>
        <w:rPr>
          <w:rFonts w:hint="eastAsia" w:ascii="仿宋字体" w:hAnsi="仿宋字体" w:eastAsia="仿宋字体" w:cs="仿宋字体"/>
          <w:sz w:val="32"/>
          <w:szCs w:val="32"/>
        </w:rPr>
        <w:t>、巩固提升公共文化事业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5" w:lineRule="exact"/>
        <w:ind w:firstLine="640" w:firstLineChars="200"/>
        <w:textAlignment w:val="auto"/>
        <w:rPr>
          <w:rFonts w:hint="eastAsia" w:ascii="仿宋字体" w:hAnsi="仿宋字体" w:eastAsia="仿宋字体" w:cs="仿宋字体"/>
          <w:sz w:val="32"/>
          <w:szCs w:val="32"/>
        </w:rPr>
      </w:pPr>
      <w:r>
        <w:rPr>
          <w:rFonts w:hint="eastAsia" w:ascii="仿宋字体" w:hAnsi="仿宋字体" w:eastAsia="仿宋字体" w:cs="仿宋字体"/>
          <w:sz w:val="32"/>
          <w:szCs w:val="32"/>
          <w:lang w:val="en-US" w:eastAsia="zh-CN"/>
        </w:rPr>
        <w:t>3</w:t>
      </w:r>
      <w:r>
        <w:rPr>
          <w:rFonts w:hint="eastAsia" w:ascii="仿宋字体" w:hAnsi="仿宋字体" w:eastAsia="仿宋字体" w:cs="仿宋字体"/>
          <w:sz w:val="32"/>
          <w:szCs w:val="32"/>
        </w:rPr>
        <w:t>、稳步推进体育事业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5" w:lineRule="exact"/>
        <w:ind w:firstLine="640" w:firstLineChars="200"/>
        <w:textAlignment w:val="auto"/>
      </w:pPr>
      <w:r>
        <w:rPr>
          <w:rFonts w:hint="eastAsia" w:ascii="仿宋字体" w:hAnsi="仿宋字体" w:eastAsia="仿宋字体" w:cs="仿宋字体"/>
          <w:sz w:val="32"/>
          <w:szCs w:val="32"/>
          <w:lang w:val="en-US" w:eastAsia="zh-CN"/>
        </w:rPr>
        <w:t>4</w:t>
      </w:r>
      <w:r>
        <w:rPr>
          <w:rFonts w:hint="eastAsia" w:ascii="仿宋字体" w:hAnsi="仿宋字体" w:eastAsia="仿宋字体" w:cs="仿宋字体"/>
          <w:sz w:val="32"/>
          <w:szCs w:val="32"/>
        </w:rPr>
        <w:t>、有力推进旅游工作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一般公共预算</w:t>
      </w:r>
      <w:r>
        <w:rPr>
          <w:rFonts w:ascii="宋体" w:hAnsi="宋体"/>
          <w:b/>
          <w:sz w:val="30"/>
          <w:szCs w:val="30"/>
        </w:rPr>
        <w:t>支出情况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（一）基本支出情况。</w:t>
      </w:r>
    </w:p>
    <w:p>
      <w:pPr>
        <w:spacing w:line="420" w:lineRule="atLeast"/>
        <w:ind w:firstLine="640" w:firstLineChars="200"/>
      </w:pPr>
      <w:r>
        <w:rPr>
          <w:rFonts w:hint="eastAsia" w:ascii="仿宋_GB2312" w:eastAsia="仿宋_GB2312"/>
          <w:color w:val="414141"/>
          <w:sz w:val="32"/>
          <w:szCs w:val="32"/>
          <w:lang w:eastAsia="zh-CN"/>
        </w:rPr>
        <w:t>财政预算拨款基本支出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1835.35</w:t>
      </w:r>
      <w:r>
        <w:rPr>
          <w:rFonts w:hint="eastAsia" w:ascii="仿宋_GB2312" w:eastAsia="仿宋_GB2312"/>
          <w:color w:val="414141"/>
          <w:sz w:val="32"/>
          <w:szCs w:val="32"/>
        </w:rPr>
        <w:t>万元，其中工资福利支出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1209.38</w:t>
      </w:r>
      <w:r>
        <w:rPr>
          <w:rFonts w:hint="eastAsia" w:ascii="仿宋_GB2312" w:eastAsia="仿宋_GB2312"/>
          <w:color w:val="414141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414141"/>
          <w:sz w:val="32"/>
          <w:szCs w:val="32"/>
        </w:rPr>
        <w:t>一般商品和服务支出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564.72</w:t>
      </w:r>
      <w:r>
        <w:rPr>
          <w:rFonts w:hint="eastAsia" w:ascii="仿宋_GB2312" w:eastAsia="仿宋_GB2312"/>
          <w:color w:val="414141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414141"/>
          <w:sz w:val="32"/>
          <w:szCs w:val="32"/>
        </w:rPr>
        <w:t>对个人和家庭的补助支出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30.70</w:t>
      </w:r>
      <w:bookmarkStart w:id="1" w:name="_GoBack"/>
      <w:bookmarkEnd w:id="1"/>
      <w:r>
        <w:rPr>
          <w:rFonts w:hint="eastAsia" w:ascii="仿宋_GB2312" w:eastAsia="仿宋_GB2312"/>
          <w:color w:val="414141"/>
          <w:sz w:val="32"/>
          <w:szCs w:val="32"/>
        </w:rPr>
        <w:t>万元</w:t>
      </w:r>
      <w:r>
        <w:rPr>
          <w:rFonts w:hint="eastAsia" w:ascii="仿宋_GB2312" w:hAnsi="仿宋"/>
          <w:sz w:val="32"/>
          <w:lang w:val="en-US" w:eastAsia="zh-CN"/>
        </w:rPr>
        <w:t>。</w:t>
      </w:r>
    </w:p>
    <w:p>
      <w:pPr>
        <w:numPr>
          <w:ilvl w:val="0"/>
          <w:numId w:val="1"/>
        </w:num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项目支出情况。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9"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财政预算拨款项目支出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30.55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万元，其中商品和服务支出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30.55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14" w:lineRule="exact"/>
        <w:ind w:left="280" w:right="0" w:firstLine="66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无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0" w:leftChars="0" w:right="0" w:firstLine="900" w:firstLineChars="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国有资本经营预算支出情况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14" w:lineRule="exact"/>
        <w:ind w:left="280" w:right="0" w:firstLine="66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无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0" w:leftChars="0" w:right="0" w:firstLine="900" w:firstLineChars="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14" w:lineRule="exact"/>
        <w:ind w:left="280" w:right="0" w:firstLine="66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无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bookmark8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5" w:lineRule="exact"/>
        <w:ind w:firstLine="643" w:firstLineChars="200"/>
        <w:jc w:val="left"/>
        <w:textAlignment w:val="auto"/>
        <w:rPr>
          <w:rFonts w:hint="eastAsia" w:ascii="仿宋字体" w:hAnsi="仿宋字体" w:eastAsia="仿宋字体" w:cs="仿宋字体"/>
          <w:b/>
          <w:bCs/>
          <w:sz w:val="32"/>
          <w:szCs w:val="32"/>
          <w:lang w:val="en-US" w:eastAsia="zh-CN"/>
        </w:rPr>
      </w:pPr>
      <w:r>
        <w:rPr>
          <w:rFonts w:hint="eastAsia" w:ascii="仿宋字体" w:hAnsi="仿宋字体" w:eastAsia="仿宋字体" w:cs="仿宋字体"/>
          <w:b/>
          <w:bCs/>
          <w:sz w:val="32"/>
          <w:szCs w:val="32"/>
          <w:lang w:eastAsia="zh-CN"/>
        </w:rPr>
        <w:t>（</w:t>
      </w:r>
      <w:r>
        <w:rPr>
          <w:rFonts w:hint="eastAsia" w:ascii="仿宋字体" w:hAnsi="仿宋字体" w:eastAsia="仿宋字体" w:cs="仿宋字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字体" w:hAnsi="仿宋字体" w:eastAsia="仿宋字体" w:cs="仿宋字体"/>
          <w:b/>
          <w:bCs/>
          <w:sz w:val="32"/>
          <w:szCs w:val="32"/>
          <w:lang w:eastAsia="zh-CN"/>
        </w:rPr>
        <w:t>）</w:t>
      </w:r>
      <w:r>
        <w:rPr>
          <w:rFonts w:hint="eastAsia" w:ascii="仿宋字体" w:hAnsi="仿宋字体" w:eastAsia="仿宋字体" w:cs="仿宋字体"/>
          <w:b/>
          <w:bCs/>
          <w:sz w:val="32"/>
          <w:szCs w:val="32"/>
          <w:lang w:val="en-US" w:eastAsia="zh-CN"/>
        </w:rPr>
        <w:t>文化方面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1、公共文化网络日趋完善。</w:t>
      </w:r>
      <w:r>
        <w:rPr>
          <w:rFonts w:hint="eastAsia" w:ascii="仿宋" w:hAnsi="仿宋" w:eastAsia="仿宋" w:cs="仿宋"/>
          <w:sz w:val="32"/>
          <w:szCs w:val="32"/>
        </w:rPr>
        <w:t>强力推进图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文两馆建设。图书馆已达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部颁</w:t>
      </w:r>
      <w:r>
        <w:rPr>
          <w:rFonts w:hint="eastAsia" w:ascii="仿宋" w:hAnsi="仿宋" w:eastAsia="仿宋" w:cs="仿宋"/>
          <w:sz w:val="32"/>
          <w:szCs w:val="32"/>
        </w:rPr>
        <w:t>二级馆标准，现馆藏图书达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43万册，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数字资源14.3TB，电子图书25.6万册，年</w:t>
      </w:r>
      <w:r>
        <w:rPr>
          <w:rFonts w:hint="eastAsia" w:ascii="仿宋" w:hAnsi="仿宋" w:eastAsia="仿宋" w:cs="仿宋"/>
          <w:sz w:val="32"/>
          <w:szCs w:val="32"/>
        </w:rPr>
        <w:t>借阅图书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达</w:t>
      </w:r>
      <w:r>
        <w:rPr>
          <w:rFonts w:hint="eastAsia" w:ascii="仿宋" w:hAnsi="仿宋" w:eastAsia="仿宋" w:cs="仿宋"/>
          <w:sz w:val="32"/>
          <w:szCs w:val="32"/>
        </w:rPr>
        <w:t>16万册次，接待读者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达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万人次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 w:cs="仿宋"/>
          <w:bCs/>
          <w:sz w:val="32"/>
          <w:szCs w:val="32"/>
        </w:rPr>
        <w:t>建成1个总馆、44个分馆及161个流通服务点的城乡一体化公共图书馆服务体系，</w:t>
      </w:r>
      <w:r>
        <w:rPr>
          <w:rFonts w:hint="eastAsia" w:ascii="仿宋" w:hAnsi="仿宋" w:eastAsia="仿宋" w:cs="仿宋"/>
          <w:sz w:val="32"/>
          <w:szCs w:val="32"/>
        </w:rPr>
        <w:t>实现了区乡村资源共享，全城通借通还；文化馆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投入60万元进行数字化建设，现已达部颁三级馆标准，</w:t>
      </w:r>
      <w:r>
        <w:rPr>
          <w:rFonts w:hint="eastAsia" w:ascii="仿宋" w:hAnsi="仿宋" w:eastAsia="仿宋" w:cs="仿宋"/>
          <w:bCs/>
          <w:sz w:val="32"/>
          <w:szCs w:val="32"/>
        </w:rPr>
        <w:t>建成25个分馆</w:t>
      </w:r>
      <w:r>
        <w:rPr>
          <w:rFonts w:hint="eastAsia" w:ascii="仿宋" w:hAnsi="仿宋" w:eastAsia="仿宋" w:cs="仿宋"/>
          <w:sz w:val="32"/>
          <w:szCs w:val="32"/>
        </w:rPr>
        <w:t>。目前我区18个乡镇街道综合文化站全部配齐，203个村级文化服务中心100%覆盖，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还打造了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一批多功能村级文化服务中心示范点，如凌云社区、楚江圩村、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eastAsia="zh-CN"/>
        </w:rPr>
        <w:t>伍家院社区、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活龙井社区、仁山村、邓家铺村等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eastAsia="zh-CN"/>
        </w:rPr>
        <w:t>，基层文化站点设有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电子阅览室、文体娱乐室、排练室、书画室、图书室、健身活动室、多功能球场等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，通过开展免费文艺培训和文化志愿者服务，</w:t>
      </w:r>
      <w:r>
        <w:rPr>
          <w:rFonts w:hint="eastAsia" w:ascii="仿宋" w:hAnsi="仿宋" w:eastAsia="仿宋" w:cs="仿宋"/>
          <w:sz w:val="32"/>
          <w:szCs w:val="32"/>
        </w:rPr>
        <w:t>为居民搭建基层公共文化服务平台。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文化惠民活动丰富多彩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月19日在永州广播电视台演播大厅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举办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“学党史、感党恩、听党话、跟党走”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--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“阅读悦读</w:t>
      </w:r>
      <w:r>
        <w:rPr>
          <w:rFonts w:hint="eastAsia" w:ascii="仿宋" w:hAnsi="仿宋" w:eastAsia="仿宋" w:cs="仿宋"/>
          <w:b/>
          <w:color w:val="000000"/>
          <w:spacing w:val="-14"/>
          <w:sz w:val="32"/>
          <w:szCs w:val="32"/>
        </w:rPr>
        <w:t>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冷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水滩”全民阅读活动之诵读系列暨党史学习教育红色经典诵读会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通过声情并茂、直抒胸臆的诵读，讴歌中国共产党百年光辉历程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精心打造“阅读悦读·冷水滩”、“潇湘夜读”品牌文化活动，</w:t>
      </w:r>
      <w:r>
        <w:rPr>
          <w:rFonts w:hint="eastAsia" w:ascii="仿宋" w:hAnsi="仿宋" w:eastAsia="仿宋" w:cs="仿宋"/>
          <w:sz w:val="32"/>
          <w:szCs w:val="32"/>
        </w:rPr>
        <w:t>包括“亲子悦读”“潇湘讲坛”“国学阅读”“演讲与口才”“诵读经典”等系列，每周末轮番在区图书馆举行，市民可免费参加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旨在团结、凝聚中心城区优质资源，激发广大市民的阅读热情，让更多的人重新认识阅读、重视阅读、参与阅读和爱上阅读，每周现场满座，人气和影响力与日俱增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掀起新一轮读书热潮。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“潇湘讲坛”阅读项目入选为第三届“书香湖南”全民阅读品牌项目。区</w:t>
      </w:r>
      <w:r>
        <w:rPr>
          <w:rFonts w:hint="eastAsia" w:ascii="仿宋" w:hAnsi="仿宋" w:eastAsia="仿宋" w:cs="仿宋"/>
          <w:sz w:val="32"/>
          <w:szCs w:val="32"/>
        </w:rPr>
        <w:t>文化馆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免费培训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，参与的</w:t>
      </w:r>
      <w:r>
        <w:rPr>
          <w:rFonts w:hint="eastAsia" w:ascii="仿宋" w:hAnsi="仿宋" w:eastAsia="仿宋" w:cs="仿宋"/>
          <w:sz w:val="32"/>
          <w:szCs w:val="32"/>
        </w:rPr>
        <w:t>群众数量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日渐</w:t>
      </w:r>
      <w:r>
        <w:rPr>
          <w:rFonts w:hint="eastAsia" w:ascii="仿宋" w:hAnsi="仿宋" w:eastAsia="仿宋" w:cs="仿宋"/>
          <w:sz w:val="32"/>
          <w:szCs w:val="32"/>
        </w:rPr>
        <w:t>增多，满意度也得到提升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kern w:val="2"/>
          <w:sz w:val="32"/>
          <w:szCs w:val="32"/>
        </w:rPr>
        <w:t>文化艺术团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eastAsia="zh-CN"/>
        </w:rPr>
        <w:t>每年开展</w:t>
      </w:r>
      <w:r>
        <w:rPr>
          <w:rFonts w:hint="eastAsia" w:ascii="仿宋" w:hAnsi="仿宋" w:eastAsia="仿宋" w:cs="仿宋"/>
          <w:bCs/>
          <w:kern w:val="2"/>
          <w:sz w:val="32"/>
          <w:szCs w:val="32"/>
        </w:rPr>
        <w:t>曲意冷水滩——戏曲进乡村、戏曲进社区、戏曲进校园系列巡演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/>
        </w:rPr>
        <w:t>80场。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3、文化市场管理进一步加强。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为进一步做好文旅体市场的安全生产工作，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每月由局领导带队开展常规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性的文</w:t>
      </w:r>
      <w:r>
        <w:rPr>
          <w:rFonts w:hint="eastAsia" w:ascii="仿宋" w:hAnsi="仿宋" w:eastAsia="仿宋" w:cs="仿宋"/>
          <w:kern w:val="0"/>
          <w:sz w:val="32"/>
          <w:szCs w:val="32"/>
        </w:rPr>
        <w:t>化旅游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kern w:val="0"/>
          <w:sz w:val="32"/>
          <w:szCs w:val="32"/>
        </w:rPr>
        <w:t>联合执法检查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每季度组织人员对重点文物保护单位巡查，提高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全系统的</w:t>
      </w:r>
      <w:r>
        <w:rPr>
          <w:rFonts w:hint="eastAsia" w:ascii="仿宋" w:hAnsi="仿宋" w:eastAsia="仿宋" w:cs="仿宋"/>
          <w:sz w:val="32"/>
          <w:szCs w:val="32"/>
        </w:rPr>
        <w:t>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</w:rPr>
        <w:t>意识，有效保障了全区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文旅体市场的平安稳定，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坚决打击文旅体行业领域黑恶势力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，有力地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开展平安创建专项行动及禁毒工作，净化文旅体市场。加强文化、旅游、体育市场综合治理力度，以网吧、娱乐场所、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高危性体育经营场所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等为重点，规范市场监管。强化投诉管理，做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投诉处理百分之百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5" w:lineRule="exact"/>
        <w:ind w:firstLine="643" w:firstLineChars="200"/>
        <w:textAlignment w:val="auto"/>
        <w:rPr>
          <w:rFonts w:hint="default" w:ascii="仿宋字体" w:hAnsi="仿宋字体" w:eastAsia="仿宋字体" w:cs="仿宋字体"/>
          <w:b/>
          <w:bCs/>
          <w:sz w:val="32"/>
          <w:szCs w:val="32"/>
          <w:lang w:val="en-US" w:eastAsia="zh-CN"/>
        </w:rPr>
      </w:pPr>
      <w:r>
        <w:rPr>
          <w:rFonts w:hint="eastAsia" w:ascii="仿宋字体" w:hAnsi="仿宋字体" w:eastAsia="仿宋字体" w:cs="仿宋字体"/>
          <w:b/>
          <w:bCs/>
          <w:sz w:val="32"/>
          <w:szCs w:val="32"/>
          <w:lang w:eastAsia="zh-CN"/>
        </w:rPr>
        <w:t>（</w:t>
      </w:r>
      <w:r>
        <w:rPr>
          <w:rFonts w:hint="eastAsia" w:ascii="仿宋字体" w:hAnsi="仿宋字体" w:eastAsia="仿宋字体" w:cs="仿宋字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字体" w:hAnsi="仿宋字体" w:eastAsia="仿宋字体" w:cs="仿宋字体"/>
          <w:b/>
          <w:bCs/>
          <w:sz w:val="32"/>
          <w:szCs w:val="32"/>
          <w:lang w:eastAsia="zh-CN"/>
        </w:rPr>
        <w:t>）</w:t>
      </w:r>
      <w:r>
        <w:rPr>
          <w:rFonts w:hint="eastAsia" w:ascii="仿宋字体" w:hAnsi="仿宋字体" w:eastAsia="仿宋字体" w:cs="仿宋字体"/>
          <w:b/>
          <w:bCs/>
          <w:sz w:val="32"/>
          <w:szCs w:val="32"/>
          <w:lang w:val="en-US" w:eastAsia="zh-CN"/>
        </w:rPr>
        <w:t>体育方面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1、群众体育蓬勃开展。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2021年4月26日</w:t>
      </w:r>
      <w:r>
        <w:rPr>
          <w:rFonts w:hint="eastAsia" w:ascii="仿宋" w:hAnsi="仿宋" w:eastAsia="仿宋" w:cs="仿宋"/>
          <w:sz w:val="32"/>
          <w:szCs w:val="32"/>
        </w:rPr>
        <w:t>举办了“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冷水滩区全民健身启动仪式暨职工工间操比赛”，全区60个机关企事业单位组成47支队伍参加工间操比赛，参赛人数达1600余人。本次活动的主题是创文明城市、展职工风采，旨在引导广大职工群众树立科学健身理念，培养健康生活方式，营造全民健身良好氛围，倡导广大职工进一步重视、爱惜自己的身体，加强锻炼，养成良好的工作和生活习惯，引领全体市民养成健康生活新风尚。举办“第二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‘我要上全运’社区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趣味运动会”“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2021永州市冷水滩区第四届男子篮球夏季联赛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”“永州市‘敏捷杯’气排球赛”</w:t>
      </w:r>
      <w:r>
        <w:rPr>
          <w:rFonts w:hint="eastAsia" w:ascii="仿宋" w:hAnsi="仿宋" w:eastAsia="仿宋" w:cs="仿宋"/>
          <w:sz w:val="32"/>
          <w:szCs w:val="32"/>
        </w:rPr>
        <w:t>等比赛活动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/>
        </w:rPr>
        <w:t>全民健身服务中心开展“全民健身大讲堂”活动，再掀全民健身的热潮。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2、竞技体育稳步提升。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做好体育后备人才的培养和输送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2021年5月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区文旅体局联合</w:t>
      </w:r>
      <w:r>
        <w:rPr>
          <w:rFonts w:hint="eastAsia" w:ascii="仿宋" w:hAnsi="仿宋" w:eastAsia="仿宋" w:cs="仿宋"/>
          <w:sz w:val="32"/>
          <w:szCs w:val="32"/>
        </w:rPr>
        <w:t>市体校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、区教育局</w:t>
      </w:r>
      <w:r>
        <w:rPr>
          <w:rFonts w:hint="eastAsia" w:ascii="仿宋" w:hAnsi="仿宋" w:eastAsia="仿宋" w:cs="仿宋"/>
          <w:sz w:val="32"/>
          <w:szCs w:val="32"/>
        </w:rPr>
        <w:t>到各乡镇、城区中小学选拔体育苗子，为举重、游泳、水球、田径、跳水、摔跤、赛艇等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输送多名体育苗子。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组队参加永州市青少年举重、田径、游泳锦标赛，并取得了良好成绩，既锻炼了队伍又能从中选拔高层次体育后备人才。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3、体育产业健康有序。</w:t>
      </w:r>
      <w:r>
        <w:rPr>
          <w:rFonts w:hint="eastAsia" w:ascii="仿宋" w:hAnsi="仿宋" w:eastAsia="仿宋" w:cs="仿宋"/>
          <w:sz w:val="32"/>
          <w:szCs w:val="32"/>
        </w:rPr>
        <w:t>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月份，我局对全区范围内高危项目游泳池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开展了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全覆盖的</w:t>
      </w:r>
      <w:r>
        <w:rPr>
          <w:rFonts w:hint="eastAsia" w:ascii="仿宋" w:hAnsi="仿宋" w:eastAsia="仿宋" w:cs="仿宋"/>
          <w:sz w:val="32"/>
          <w:szCs w:val="32"/>
        </w:rPr>
        <w:t>专项整治和安全检查工作，对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一些安全隐患当场指出并责令整改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5" w:lineRule="exact"/>
        <w:ind w:firstLine="623"/>
        <w:textAlignment w:val="auto"/>
        <w:rPr>
          <w:rFonts w:hint="eastAsia" w:ascii="仿宋字体" w:hAnsi="仿宋字体" w:eastAsia="仿宋字体" w:cs="仿宋字体"/>
          <w:b/>
          <w:bCs w:val="0"/>
          <w:sz w:val="32"/>
          <w:szCs w:val="32"/>
          <w:lang w:eastAsia="zh-CN"/>
        </w:rPr>
      </w:pPr>
      <w:r>
        <w:rPr>
          <w:rFonts w:hint="eastAsia" w:ascii="仿宋字体" w:hAnsi="仿宋字体" w:eastAsia="仿宋字体" w:cs="仿宋字体"/>
          <w:b/>
          <w:bCs w:val="0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字体" w:hAnsi="仿宋字体" w:eastAsia="仿宋字体" w:cs="仿宋字体"/>
          <w:b/>
          <w:bCs w:val="0"/>
          <w:sz w:val="32"/>
          <w:szCs w:val="32"/>
          <w:lang w:val="en-US" w:eastAsia="zh-CN"/>
        </w:rPr>
        <w:t>旅游方面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1、主要经济指标完成情况。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我区今年1至8月份游客总人数418.75万人次、同比增长约8.10%，实现旅游总收入39.00亿元、同比增长约7.37%,总体指标呈增长态势。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2、文化生态旅游深度融合发展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2021年度（第一批）系列“十大网红打卡店”推介活动，根据“千年的永州·现代冷水滩”的定位，以美食为媒介，以“网红经济”为载体，以打造“生活福地，美食永州”旅游专线为依托，全面扩大冷水滩餐饮对外的知名度、美誉度和影响力，实现餐饮与文化、餐饮与旅游的深度融合、整体提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今年大力开展我区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A级景区清零工作，组织湖美田园景区、永州市森林植物园创建国家4A级景区景观质量申报，景观质量宣传视频、标识标牌、旅游安全保护制度等相关申报资料，按要求准备到位。永州市两家景区通过湖南省旅游景区质量等级评定，其中永州市森林植物园是其中一家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端午节期间，冷水滩区湖美田园景区夜间3D水陆空立体光影秀精彩上线，在景区地面布置各类造型的灯光，供游客观赏拍照；在水上游玩区域通过投放水幕光影，以无幕布、光影融合的形式给人以电影级的视听觉享受；同时，在假期及往后持续一周，每晚9点都上演无人机秀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300余台无人机，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空中展示“五星红旗”“我爱永州”“大美永州”等元素，激发游客爱国爱党爱家乡的情怀，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本次活动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接待游客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万人次。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积极推进市重点文旅项目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永州市中小学综合实践基地项目：项目今年累计投资0.71亿元，已完成主体建筑工程，行政楼、实践楼、学员宿舍、食堂、员工宿舍、活动中心、才艺馆已全部封顶。校区水泥路硬化和室内装修正在进行，预计9月招收部分学生。西山观农康旅体博园项目。项目今年累计投资0.91亿元，目前已种植锦绣黄桃为主的十几个品种水果二千多亩，其中桃和李子今年开始量产。民宿相关基础设施建设正在进行中。冷水滩五星级酒店及城市综合体项目：项目总用地约362亩，总建筑面积86万平方米，总投资30亿元，打造包含白天鹅采奕五星级酒店、写字楼、商端公寓、大型生态智能社区、国际幼儿园、养老服务中心等为一体的综合标杆大盘。2021年计划投资5亿元，今年以来累计已完成投资2.94亿元，项目已开工建设。</w:t>
      </w:r>
    </w:p>
    <w:p>
      <w:pPr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sz w:val="30"/>
          <w:szCs w:val="30"/>
        </w:rPr>
        <w:t>、绩效自评得分情况及绩效等级。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9"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绩效自评得分96分，等级为优。</w:t>
      </w:r>
    </w:p>
    <w:p>
      <w:pPr>
        <w:numPr>
          <w:ilvl w:val="0"/>
          <w:numId w:val="3"/>
        </w:numPr>
        <w:ind w:firstLine="602" w:firstLineChars="20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ascii="宋体" w:hAnsi="宋体"/>
          <w:b/>
          <w:sz w:val="30"/>
          <w:szCs w:val="30"/>
        </w:rPr>
        <w:t>存在的问题</w:t>
      </w:r>
      <w:r>
        <w:rPr>
          <w:rFonts w:hint="eastAsia" w:ascii="宋体" w:hAnsi="宋体"/>
          <w:b/>
          <w:sz w:val="30"/>
          <w:szCs w:val="30"/>
          <w:lang w:eastAsia="zh-CN"/>
        </w:rPr>
        <w:t>及原因分析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1、行业管理还比较粗放。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2、财务制度执行力有待加强，资金使用计划有待细化。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3、财政预算资金到位比较迟缓，各项目经费支付不能及时到位。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九</w:t>
      </w:r>
      <w:r>
        <w:rPr>
          <w:rFonts w:ascii="宋体" w:hAnsi="宋体"/>
          <w:b/>
          <w:sz w:val="30"/>
          <w:szCs w:val="30"/>
        </w:rPr>
        <w:t>、改进措施和有关建议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针对上述存在的问题及整体支出管理工作的需要，拟实施的改进措施如下：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1、继续从严控制出国(境)经费、车辆购置及运行费、公务接待费等一般性支出。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3、加强项目开展进度的跟踪，开展项目绩效评价，确保项目绩效目标的完成。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冷水滩区文化旅游体育局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2022年8月19日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字体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C4C6C"/>
    <w:multiLevelType w:val="singleLevel"/>
    <w:tmpl w:val="855C4C6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C89AC0"/>
    <w:multiLevelType w:val="singleLevel"/>
    <w:tmpl w:val="C6C89A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B50727"/>
    <w:multiLevelType w:val="singleLevel"/>
    <w:tmpl w:val="78B5072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TIzODQ2ZmM1MmVlNDc2YTU3Zjc3MzgxNGIyYzYifQ=="/>
  </w:docVars>
  <w:rsids>
    <w:rsidRoot w:val="78AA4DF6"/>
    <w:rsid w:val="0E733003"/>
    <w:rsid w:val="3D3035C7"/>
    <w:rsid w:val="4E145CB4"/>
    <w:rsid w:val="78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0"/>
      <w:ind w:left="120"/>
      <w:jc w:val="both"/>
    </w:pPr>
    <w:rPr>
      <w:rFonts w:ascii="仿宋_GB2312" w:hAnsi="Times New Roman" w:eastAsia="仿宋_GB2312" w:cs="Times New Roman"/>
      <w:kern w:val="2"/>
      <w:sz w:val="28"/>
      <w:lang w:val="en-US" w:eastAsia="zh-CN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_Style 1"/>
    <w:basedOn w:val="1"/>
    <w:qFormat/>
    <w:uiPriority w:val="0"/>
    <w:pPr>
      <w:ind w:firstLine="4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3137</Words>
  <Characters>3286</Characters>
  <Lines>0</Lines>
  <Paragraphs>0</Paragraphs>
  <TotalTime>0</TotalTime>
  <ScaleCrop>false</ScaleCrop>
  <LinksUpToDate>false</LinksUpToDate>
  <CharactersWithSpaces>3286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2022-08-19T09:11:00Z</dcterms:created>
  <dc:creator>小白965</dc:creator>
  <cp:lastModifiedBy>东来</cp:lastModifiedBy>
  <dcterms:modified xsi:type="dcterms:W3CDTF">2023-09-22T10:07:20Z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D04AA02B946744399AADC88615A77397</vt:lpwstr>
  </property>
</Properties>
</file>