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jc w:val="center"/>
        <w:rPr>
          <w:rFonts w:ascii="楷体_GB2312" w:eastAsia="楷体_GB2312"/>
          <w:b/>
          <w:color w:val="000000"/>
          <w:kern w:val="0"/>
          <w:sz w:val="32"/>
          <w:szCs w:val="32"/>
        </w:rPr>
      </w:pPr>
      <w:r>
        <w:rPr>
          <w:rFonts w:hint="eastAsia" w:ascii="楷体_GB2312" w:eastAsia="楷体_GB2312"/>
          <w:b/>
          <w:color w:val="000000"/>
          <w:kern w:val="0"/>
          <w:sz w:val="32"/>
          <w:szCs w:val="32"/>
        </w:rPr>
        <w:t>（参考提纲）</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00" w:lineRule="exact"/>
        <w:ind w:firstLine="640" w:firstLineChars="200"/>
        <w:rPr>
          <w:rFonts w:hint="eastAsia" w:ascii="仿宋" w:hAnsi="仿宋" w:eastAsia="仿宋" w:cs="仿宋_GB2312"/>
          <w:bCs/>
          <w:color w:val="000000"/>
          <w:sz w:val="32"/>
          <w:szCs w:val="32"/>
        </w:rPr>
      </w:pPr>
      <w:r>
        <w:rPr>
          <w:rFonts w:hint="eastAsia" w:ascii="仿宋" w:hAnsi="仿宋" w:eastAsia="仿宋" w:cs="仿宋_GB2312"/>
          <w:bCs/>
          <w:sz w:val="32"/>
          <w:szCs w:val="32"/>
        </w:rPr>
        <w:t>区融媒体中心机构内设办公室、</w:t>
      </w:r>
      <w:r>
        <w:rPr>
          <w:rFonts w:hint="eastAsia" w:ascii="仿宋" w:hAnsi="仿宋" w:eastAsia="仿宋"/>
          <w:sz w:val="32"/>
          <w:szCs w:val="22"/>
        </w:rPr>
        <w:t>总编室</w:t>
      </w:r>
      <w:r>
        <w:rPr>
          <w:rFonts w:hint="eastAsia" w:ascii="仿宋" w:hAnsi="仿宋" w:eastAsia="仿宋" w:cs="仿宋_GB2312"/>
          <w:bCs/>
          <w:sz w:val="32"/>
          <w:szCs w:val="32"/>
        </w:rPr>
        <w:t>、</w:t>
      </w:r>
      <w:r>
        <w:rPr>
          <w:rFonts w:hint="eastAsia" w:ascii="仿宋" w:hAnsi="仿宋" w:eastAsia="仿宋"/>
          <w:sz w:val="32"/>
          <w:szCs w:val="22"/>
        </w:rPr>
        <w:t>新媒体部</w:t>
      </w:r>
      <w:r>
        <w:rPr>
          <w:rFonts w:hint="eastAsia" w:ascii="仿宋" w:hAnsi="仿宋" w:eastAsia="仿宋" w:cs="仿宋_GB2312"/>
          <w:bCs/>
          <w:color w:val="000000"/>
          <w:sz w:val="32"/>
          <w:szCs w:val="32"/>
        </w:rPr>
        <w:t>、</w:t>
      </w:r>
      <w:r>
        <w:rPr>
          <w:rFonts w:hint="eastAsia" w:ascii="仿宋" w:hAnsi="仿宋" w:eastAsia="仿宋"/>
          <w:sz w:val="32"/>
          <w:szCs w:val="22"/>
        </w:rPr>
        <w:t>采访部</w:t>
      </w:r>
      <w:r>
        <w:rPr>
          <w:rFonts w:hint="eastAsia" w:ascii="仿宋" w:hAnsi="仿宋" w:eastAsia="仿宋" w:cs="仿宋_GB2312"/>
          <w:bCs/>
          <w:color w:val="000000"/>
          <w:sz w:val="32"/>
          <w:szCs w:val="32"/>
        </w:rPr>
        <w:t>等7个职能组（室）。本部门共有编制人数15人，实有人数15人。</w:t>
      </w:r>
    </w:p>
    <w:p>
      <w:pPr>
        <w:spacing w:line="600" w:lineRule="exact"/>
        <w:ind w:firstLine="640" w:firstLineChars="200"/>
        <w:rPr>
          <w:rFonts w:ascii="宋体" w:hAnsi="宋体"/>
          <w:sz w:val="30"/>
          <w:szCs w:val="30"/>
        </w:rPr>
      </w:pPr>
      <w:r>
        <w:rPr>
          <w:rFonts w:hint="eastAsia" w:ascii="仿宋" w:hAnsi="仿宋" w:eastAsia="仿宋" w:cs="仿宋"/>
          <w:sz w:val="32"/>
          <w:szCs w:val="32"/>
          <w:shd w:val="clear" w:color="auto" w:fill="FFFFFF"/>
        </w:rPr>
        <w:t>2021年，区融媒体中心以习近平新时代中国特色社会主义思想和党的十九大精神为指引，以媒体融合发展为契机，</w:t>
      </w:r>
      <w:r>
        <w:rPr>
          <w:rFonts w:hint="eastAsia" w:ascii="仿宋" w:hAnsi="仿宋" w:eastAsia="仿宋" w:cs="仿宋"/>
          <w:position w:val="1"/>
          <w:sz w:val="32"/>
          <w:szCs w:val="32"/>
        </w:rPr>
        <w:t>树立新发展理念，</w:t>
      </w:r>
      <w:r>
        <w:rPr>
          <w:rFonts w:hint="eastAsia" w:ascii="仿宋" w:hAnsi="仿宋" w:eastAsia="仿宋" w:cs="仿宋"/>
          <w:sz w:val="32"/>
          <w:szCs w:val="32"/>
        </w:rPr>
        <w:t>创新融合思维，</w:t>
      </w:r>
      <w:r>
        <w:rPr>
          <w:rFonts w:hint="eastAsia" w:ascii="仿宋" w:hAnsi="仿宋" w:eastAsia="仿宋" w:cs="仿宋"/>
          <w:position w:val="1"/>
          <w:sz w:val="32"/>
          <w:szCs w:val="32"/>
        </w:rPr>
        <w:t>创造性</w:t>
      </w:r>
      <w:r>
        <w:rPr>
          <w:rFonts w:hint="eastAsia" w:ascii="仿宋" w:hAnsi="仿宋" w:eastAsia="仿宋" w:cs="仿宋"/>
          <w:sz w:val="32"/>
          <w:szCs w:val="32"/>
        </w:rPr>
        <w:t>将融媒体中心、新时代文明实践中心、学习强国等平台融合建设，并将功能拓展到党群活动中心、政务服务中心，加快</w:t>
      </w:r>
      <w:r>
        <w:rPr>
          <w:rFonts w:hint="eastAsia" w:ascii="仿宋" w:hAnsi="仿宋" w:eastAsia="仿宋" w:cs="仿宋"/>
          <w:position w:val="1"/>
          <w:sz w:val="32"/>
          <w:szCs w:val="32"/>
        </w:rPr>
        <w:t>机构、平台、项目、人才等层面深度融合，</w:t>
      </w:r>
      <w:r>
        <w:rPr>
          <w:rFonts w:hint="eastAsia" w:ascii="仿宋" w:hAnsi="仿宋" w:eastAsia="仿宋" w:cs="仿宋"/>
          <w:sz w:val="32"/>
          <w:szCs w:val="32"/>
        </w:rPr>
        <w:t>实现功能融合、资源共享，打造了深度融合建设新格局。</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00" w:lineRule="exact"/>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2021年项目项目支出共计</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8万元</w:t>
      </w:r>
      <w:r>
        <w:rPr>
          <w:rFonts w:hint="eastAsia" w:ascii="仿宋" w:hAnsi="仿宋" w:eastAsia="仿宋" w:cs="仿宋"/>
          <w:color w:val="000000"/>
          <w:kern w:val="0"/>
          <w:sz w:val="32"/>
          <w:szCs w:val="32"/>
          <w:lang w:eastAsia="zh-CN"/>
        </w:rPr>
        <w:t>，主要用于</w:t>
      </w:r>
      <w:r>
        <w:rPr>
          <w:rFonts w:hint="eastAsia" w:ascii="仿宋_GB2312" w:eastAsia="仿宋_GB2312"/>
          <w:bCs/>
          <w:sz w:val="32"/>
          <w:szCs w:val="32"/>
        </w:rPr>
        <w:t>融媒体临聘人员专项经费</w:t>
      </w:r>
      <w:r>
        <w:rPr>
          <w:rFonts w:hint="eastAsia" w:ascii="仿宋" w:hAnsi="仿宋" w:eastAsia="仿宋" w:cs="仿宋"/>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贯彻落实党的新闻宣传方针政策，宣传党的理论、路线和各项方针政策，坚持正面宣传，团结鼓劲，把握正确的舆论导向和创作导向；积极开展新闻全媒体内外宣传，为全区经济社会发展提供舆论支持。负责冷水滩新闻网、“冷水滩发布”微博微信、湘江滩声手机APP、冷水滩手机报等新媒体平台的图文、视频的采集、编辑、发布、管理等工作；负责《冷水滩新闻》的采、编、播等工作。负责融媒体综合服务平台的建设、运行、维护和平台信息安全防范工作。负责融媒体平台的运行维护和技术支撑,抓好融媒体产品的安全播出和刊发工作。保障中心临聘人员工资发放以及各项工作顺利进行。</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项目管理情况分析，主要包括项目管理制度建设、日常检查监督管理等情况。</w:t>
      </w:r>
    </w:p>
    <w:p>
      <w:pPr>
        <w:numPr>
          <w:ilvl w:val="0"/>
          <w:numId w:val="2"/>
        </w:num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项目预算安排资金1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8万元，已纳入2021年区本级项目支出预算并全部到位。项目实际投入资金总额1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8万元。</w:t>
      </w:r>
    </w:p>
    <w:p>
      <w:pPr>
        <w:numPr>
          <w:ilvl w:val="0"/>
          <w:numId w:val="2"/>
        </w:numPr>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项目资金按照年度工作目标做好专项资金使用计划，已全部执行到位。</w:t>
      </w:r>
    </w:p>
    <w:p>
      <w:pPr>
        <w:numPr>
          <w:ilvl w:val="0"/>
          <w:numId w:val="2"/>
        </w:numPr>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为了加强项目资金管理，项目资金支出都严格按照财务管理制度的相关规定严格有序地进行操作。在项目资金使用过程中，厉行</w:t>
      </w:r>
      <w:bookmarkStart w:id="0" w:name="_GoBack"/>
      <w:bookmarkEnd w:id="0"/>
      <w:r>
        <w:rPr>
          <w:rFonts w:hint="eastAsia" w:ascii="仿宋" w:hAnsi="仿宋" w:eastAsia="仿宋" w:cs="仿宋"/>
          <w:color w:val="000000"/>
          <w:kern w:val="0"/>
          <w:sz w:val="32"/>
          <w:szCs w:val="32"/>
        </w:rPr>
        <w:t>节约，避免浪费，让项目资金的效益的实现最大化。</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560" w:lineRule="exact"/>
        <w:ind w:firstLine="640" w:firstLineChars="200"/>
        <w:outlineLvl w:val="0"/>
        <w:rPr>
          <w:rFonts w:eastAsia="仿宋_GB2312"/>
          <w:color w:val="000000"/>
          <w:kern w:val="0"/>
          <w:sz w:val="32"/>
          <w:szCs w:val="32"/>
        </w:rPr>
      </w:pPr>
      <w:r>
        <w:rPr>
          <w:rFonts w:hint="eastAsia" w:ascii="仿宋_GB2312" w:eastAsia="仿宋_GB2312"/>
          <w:bCs/>
          <w:sz w:val="32"/>
          <w:szCs w:val="32"/>
        </w:rPr>
        <w:t>2021年区财政拨付108万元区融媒体临聘人员专项经费，资金拨付率100%，投入使用率100%。</w:t>
      </w:r>
    </w:p>
    <w:p>
      <w:pPr>
        <w:numPr>
          <w:ilvl w:val="0"/>
          <w:numId w:val="3"/>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00" w:lineRule="exact"/>
        <w:ind w:firstLine="640" w:firstLineChars="200"/>
        <w:rPr>
          <w:rFonts w:eastAsia="仿宋_GB2312"/>
          <w:color w:val="000000"/>
          <w:kern w:val="0"/>
          <w:sz w:val="32"/>
          <w:szCs w:val="32"/>
        </w:rPr>
      </w:pPr>
      <w:r>
        <w:rPr>
          <w:rFonts w:hint="eastAsia" w:ascii="仿宋_GB2312" w:hAnsi="Times New Roman" w:eastAsia="仿宋_GB2312" w:cs="Times New Roman"/>
          <w:bCs/>
          <w:sz w:val="32"/>
          <w:szCs w:val="32"/>
        </w:rPr>
        <w:t>2021年区融媒体中心全年决算开支</w:t>
      </w:r>
      <w:r>
        <w:rPr>
          <w:rFonts w:hint="eastAsia" w:ascii="仿宋_GB2312" w:hAnsi="Times New Roman" w:eastAsia="仿宋_GB2312" w:cs="Times New Roman"/>
          <w:bCs/>
          <w:sz w:val="32"/>
          <w:szCs w:val="32"/>
          <w:lang w:val="en-US" w:eastAsia="zh-CN"/>
        </w:rPr>
        <w:t>108</w:t>
      </w:r>
      <w:r>
        <w:rPr>
          <w:rFonts w:hint="eastAsia" w:ascii="仿宋_GB2312" w:hAnsi="Times New Roman" w:eastAsia="仿宋_GB2312" w:cs="Times New Roman"/>
          <w:bCs/>
          <w:sz w:val="32"/>
          <w:szCs w:val="32"/>
        </w:rPr>
        <w:t>万元，</w:t>
      </w:r>
      <w:r>
        <w:rPr>
          <w:rFonts w:hint="eastAsia" w:ascii="仿宋" w:hAnsi="仿宋" w:eastAsia="仿宋" w:cs="仿宋"/>
          <w:color w:val="000000"/>
          <w:kern w:val="0"/>
          <w:sz w:val="32"/>
          <w:szCs w:val="32"/>
          <w:lang w:eastAsia="zh-CN"/>
        </w:rPr>
        <w:t>主要用于</w:t>
      </w:r>
      <w:r>
        <w:rPr>
          <w:rFonts w:hint="eastAsia" w:ascii="仿宋_GB2312" w:eastAsia="仿宋_GB2312"/>
          <w:bCs/>
          <w:sz w:val="32"/>
          <w:szCs w:val="32"/>
        </w:rPr>
        <w:t>融媒体临聘人员专项经费</w:t>
      </w:r>
      <w:r>
        <w:rPr>
          <w:rFonts w:hint="eastAsia" w:ascii="仿宋" w:hAnsi="仿宋" w:eastAsia="仿宋" w:cs="仿宋"/>
          <w:sz w:val="32"/>
          <w:szCs w:val="32"/>
        </w:rPr>
        <w:t>。</w:t>
      </w:r>
    </w:p>
    <w:p>
      <w:pPr>
        <w:numPr>
          <w:ilvl w:val="0"/>
          <w:numId w:val="3"/>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（1）所有项目资金实行规范化管理，设立了专项支出项目核算管理。</w:t>
      </w:r>
    </w:p>
    <w:p>
      <w:pPr>
        <w:spacing w:line="560" w:lineRule="exact"/>
        <w:ind w:firstLine="640" w:firstLineChars="200"/>
        <w:rPr>
          <w:rFonts w:eastAsia="仿宋_GB2312"/>
          <w:color w:val="000000"/>
          <w:kern w:val="0"/>
          <w:sz w:val="32"/>
          <w:szCs w:val="32"/>
        </w:rPr>
      </w:pPr>
      <w:r>
        <w:rPr>
          <w:rFonts w:hint="eastAsia" w:ascii="仿宋_GB2312" w:eastAsia="仿宋_GB2312"/>
          <w:bCs/>
          <w:sz w:val="32"/>
          <w:szCs w:val="32"/>
        </w:rPr>
        <w:t>（2）所有经费支出均按财务制度严格执行，均有经手人、证明人签字、财务负责人审核，设备采购根据区财政局相关要求按规定采购，手续完备，内控较为健全。</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widowControl/>
        <w:shd w:val="clear" w:color="auto" w:fill="FFFFFF"/>
        <w:spacing w:line="500" w:lineRule="exact"/>
        <w:ind w:firstLine="640" w:firstLineChars="200"/>
        <w:jc w:val="left"/>
        <w:rPr>
          <w:rStyle w:val="7"/>
          <w:rFonts w:ascii="仿宋" w:hAnsi="仿宋" w:eastAsia="仿宋"/>
          <w:color w:val="000000"/>
          <w:sz w:val="32"/>
          <w:szCs w:val="32"/>
        </w:rPr>
      </w:pPr>
      <w:r>
        <w:rPr>
          <w:rFonts w:hint="eastAsia" w:ascii="仿宋" w:hAnsi="仿宋" w:eastAsia="仿宋" w:cs="仿宋"/>
          <w:sz w:val="32"/>
          <w:szCs w:val="32"/>
        </w:rPr>
        <w:t>1.自去年</w:t>
      </w:r>
      <w:r>
        <w:rPr>
          <w:rStyle w:val="7"/>
          <w:rFonts w:hint="eastAsia" w:ascii="仿宋" w:hAnsi="仿宋" w:eastAsia="仿宋"/>
          <w:color w:val="000000"/>
          <w:sz w:val="32"/>
          <w:szCs w:val="32"/>
        </w:rPr>
        <w:t>10月份我区成功列入新时代文明实践中心建设全国试点县区以来，率先提出四中心融合的发展理念，将新时代文明实践中心志愿汇融合到中央厨房，建立大数据可视平台，通过中心大数据平台，可以现场连线、数据统计，实现了平台资源整合，线上功能融合。</w:t>
      </w:r>
    </w:p>
    <w:p>
      <w:pPr>
        <w:widowControl/>
        <w:shd w:val="clear" w:color="auto" w:fill="FFFFFF"/>
        <w:spacing w:line="500" w:lineRule="exact"/>
        <w:ind w:firstLine="640" w:firstLineChars="200"/>
        <w:jc w:val="left"/>
        <w:rPr>
          <w:rFonts w:ascii="仿宋" w:hAnsi="仿宋" w:eastAsia="仿宋" w:cs="仿宋"/>
          <w:sz w:val="32"/>
          <w:szCs w:val="32"/>
        </w:rPr>
      </w:pPr>
      <w:r>
        <w:rPr>
          <w:rStyle w:val="7"/>
          <w:rFonts w:hint="eastAsia" w:ascii="仿宋" w:hAnsi="仿宋" w:eastAsia="仿宋"/>
          <w:color w:val="000000"/>
          <w:sz w:val="32"/>
          <w:szCs w:val="32"/>
        </w:rPr>
        <w:t>2.</w:t>
      </w:r>
      <w:r>
        <w:rPr>
          <w:rFonts w:hint="eastAsia" w:ascii="仿宋" w:hAnsi="仿宋" w:eastAsia="仿宋" w:cs="仿宋"/>
          <w:sz w:val="32"/>
          <w:szCs w:val="32"/>
        </w:rPr>
        <w:t>宣传工作紧密结合党中央、省、市、区委关于宣传工作的要求，明确政治方向，突出正面典型，围绕全区各项中心工作利用手机报、冷水滩发布等各媒体开设专栏，大力宣传报道，营造良好的社会舆论氛围。</w:t>
      </w:r>
    </w:p>
    <w:p>
      <w:pPr>
        <w:widowControl/>
        <w:shd w:val="clear" w:color="auto" w:fill="FFFFFF"/>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3.打造了有冷水滩特色的“湘江滩声”APP，集政治新闻、文明实践、文旅服务、党政服务等多功能于一体，让群众足不出户就可以通过手机APP了解时事、获得讯息，并参与志愿服务。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4.精心策划新闻选题、选准报道方式、提升稿件质量，圆满完成了上级下达的对外宣传任务。全年完成电视上稿：中央电视台上稿3 条，《湖南卫视》上稿 61条，《永州新闻联播》448条，《冷水滩新闻》1050条；完成外宣上稿：中央媒体112余条，省级平台《湖南日报》151余条，《湖南红网》 561余条，《红网时刻》357余条，市级平台《红网永州》1275余条，《今日永州》 3541余条，《新湖南永州》663余条，《永州日报》余 1126条；《学习强国》175 余条，真正做到了稿件质量大幅提升、数量稳中有升，为全区的快速发展、谋势造势营造了浓厚的氛围。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1、经费效益：严格控制预算，</w:t>
      </w:r>
      <w:r>
        <w:rPr>
          <w:rFonts w:hint="eastAsia" w:ascii="仿宋" w:hAnsi="仿宋" w:eastAsia="仿宋" w:cs="仿宋"/>
          <w:color w:val="000000"/>
          <w:kern w:val="0"/>
          <w:sz w:val="32"/>
          <w:szCs w:val="32"/>
          <w:lang w:eastAsia="zh-CN"/>
        </w:rPr>
        <w:t>厉行节约</w:t>
      </w:r>
      <w:r>
        <w:rPr>
          <w:rFonts w:hint="eastAsia" w:ascii="仿宋" w:hAnsi="仿宋" w:eastAsia="仿宋" w:cs="仿宋"/>
          <w:color w:val="000000"/>
          <w:kern w:val="0"/>
          <w:sz w:val="32"/>
          <w:szCs w:val="32"/>
        </w:rPr>
        <w:t>，降低三公经费，压缩办公经费，指标值100%；</w:t>
      </w:r>
    </w:p>
    <w:p>
      <w:pPr>
        <w:spacing w:line="500" w:lineRule="exact"/>
        <w:ind w:firstLine="640" w:firstLineChars="200"/>
        <w:rPr>
          <w:rFonts w:ascii="仿宋_GB2312" w:eastAsia="仿宋_GB2312"/>
          <w:sz w:val="32"/>
          <w:szCs w:val="32"/>
        </w:rPr>
      </w:pPr>
      <w:r>
        <w:rPr>
          <w:rFonts w:hint="eastAsia" w:ascii="仿宋" w:hAnsi="仿宋" w:eastAsia="仿宋" w:cs="仿宋"/>
          <w:color w:val="000000"/>
          <w:kern w:val="0"/>
          <w:sz w:val="32"/>
          <w:szCs w:val="32"/>
        </w:rPr>
        <w:t>2、社会效益：</w:t>
      </w:r>
      <w:r>
        <w:rPr>
          <w:rFonts w:hint="eastAsia" w:ascii="仿宋" w:hAnsi="仿宋" w:eastAsia="仿宋" w:cs="仿宋"/>
          <w:sz w:val="32"/>
          <w:szCs w:val="32"/>
        </w:rPr>
        <w:t>结合中心活动组织业务骨干进行经验交流，邀请红网、永州日报等媒体专家对中心进行业务指导，提升业务能力。自身借助人民日报、新华社、学习强国等媒体平台加强学习，在标题上立新意，在文字上下苦功，不断提升稿件质量。纵向比上稿质量要有上升，横向比上稿排名要有进步，不断将冷水滩声音推上更高平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无</w:t>
      </w:r>
    </w:p>
    <w:p>
      <w:pPr>
        <w:numPr>
          <w:ilvl w:val="0"/>
          <w:numId w:val="4"/>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绩效自评得分为97分，绩效等级为优秀。</w:t>
      </w:r>
    </w:p>
    <w:p>
      <w:pPr>
        <w:numPr>
          <w:ilvl w:val="0"/>
          <w:numId w:val="4"/>
        </w:num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工作经验：明确资金性质、使用发展方向，做好预算，结合区政府安排及本单位实际情况，专款专用合理使用资金，争取达到效益最大化。保证专项资金规范使用。</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存在问题：专项资金来源渠道少，进展缓慢，资金压力大。</w:t>
      </w:r>
    </w:p>
    <w:p>
      <w:pPr>
        <w:spacing w:line="620" w:lineRule="exact"/>
        <w:ind w:firstLine="640" w:firstLineChars="200"/>
        <w:rPr>
          <w:rFonts w:ascii="黑体" w:hAnsi="黑体" w:eastAsia="黑体" w:cs="黑体"/>
          <w:b/>
          <w:bCs/>
          <w:color w:val="000000"/>
          <w:kern w:val="0"/>
          <w:sz w:val="32"/>
          <w:szCs w:val="32"/>
        </w:rPr>
      </w:pPr>
      <w:r>
        <w:rPr>
          <w:rFonts w:hint="eastAsia" w:eastAsia="仿宋_GB2312"/>
          <w:color w:val="000000"/>
          <w:kern w:val="0"/>
          <w:sz w:val="32"/>
          <w:szCs w:val="32"/>
        </w:rPr>
        <w:t>3、建议：加强对项目资金的管理，坚持专款专用的原则，保证专项资金的安全，使得工作顺利开展。严格按照政策标准，优化支出结构，加快工作进度，提高预算编制的科学化精细化水平。完善项目责任制。各业务股室为项目实施责任单位，应加强与财务部门的沟通协调和项目实施，加快预算的执行进度，争取达到财政要求。</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5A7B"/>
    <w:multiLevelType w:val="singleLevel"/>
    <w:tmpl w:val="F4C85A7B"/>
    <w:lvl w:ilvl="0" w:tentative="0">
      <w:start w:val="6"/>
      <w:numFmt w:val="chineseCounting"/>
      <w:suff w:val="nothing"/>
      <w:lvlText w:val="%1、"/>
      <w:lvlJc w:val="left"/>
      <w:rPr>
        <w:rFonts w:hint="eastAsia"/>
      </w:rPr>
    </w:lvl>
  </w:abstractNum>
  <w:abstractNum w:abstractNumId="1">
    <w:nsid w:val="1D802B0F"/>
    <w:multiLevelType w:val="singleLevel"/>
    <w:tmpl w:val="1D802B0F"/>
    <w:lvl w:ilvl="0" w:tentative="0">
      <w:start w:val="2"/>
      <w:numFmt w:val="chineseCounting"/>
      <w:suff w:val="nothing"/>
      <w:lvlText w:val="（%1）"/>
      <w:lvlJc w:val="left"/>
      <w:rPr>
        <w:rFonts w:hint="eastAsia"/>
      </w:rPr>
    </w:lvl>
  </w:abstractNum>
  <w:abstractNum w:abstractNumId="2">
    <w:nsid w:val="4F6B23EC"/>
    <w:multiLevelType w:val="singleLevel"/>
    <w:tmpl w:val="4F6B23EC"/>
    <w:lvl w:ilvl="0" w:tentative="0">
      <w:start w:val="2"/>
      <w:numFmt w:val="chineseCounting"/>
      <w:suff w:val="nothing"/>
      <w:lvlText w:val="（%1）"/>
      <w:lvlJc w:val="left"/>
      <w:rPr>
        <w:rFonts w:hint="eastAsia"/>
      </w:rPr>
    </w:lvl>
  </w:abstractNum>
  <w:abstractNum w:abstractNumId="3">
    <w:nsid w:val="7F8FD241"/>
    <w:multiLevelType w:val="singleLevel"/>
    <w:tmpl w:val="7F8FD241"/>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I3YTkyOGEyMjNjYTE0ZDIwNDc5YzQ2MTY1NjFjZTEifQ=="/>
  </w:docVars>
  <w:rsids>
    <w:rsidRoot w:val="00717CE5"/>
    <w:rsid w:val="00120A6B"/>
    <w:rsid w:val="00445491"/>
    <w:rsid w:val="00717CE5"/>
    <w:rsid w:val="0127302D"/>
    <w:rsid w:val="01391FC3"/>
    <w:rsid w:val="019E2B0C"/>
    <w:rsid w:val="01C7731C"/>
    <w:rsid w:val="02225C47"/>
    <w:rsid w:val="025E2D8F"/>
    <w:rsid w:val="03973B98"/>
    <w:rsid w:val="057747EC"/>
    <w:rsid w:val="0598490D"/>
    <w:rsid w:val="069B1248"/>
    <w:rsid w:val="078F5AA5"/>
    <w:rsid w:val="09F00957"/>
    <w:rsid w:val="09FC6915"/>
    <w:rsid w:val="0A8E2BA5"/>
    <w:rsid w:val="0A9F7489"/>
    <w:rsid w:val="0BFA6988"/>
    <w:rsid w:val="0C9158EF"/>
    <w:rsid w:val="0D135CFF"/>
    <w:rsid w:val="0D6A5B83"/>
    <w:rsid w:val="0D9470C9"/>
    <w:rsid w:val="0DAE5838"/>
    <w:rsid w:val="0EF20D5E"/>
    <w:rsid w:val="0F5F28B6"/>
    <w:rsid w:val="0F7C7ABE"/>
    <w:rsid w:val="0F822B43"/>
    <w:rsid w:val="0FDD79FB"/>
    <w:rsid w:val="10645303"/>
    <w:rsid w:val="110907C5"/>
    <w:rsid w:val="11717107"/>
    <w:rsid w:val="120C5C61"/>
    <w:rsid w:val="12E435F6"/>
    <w:rsid w:val="13DF7282"/>
    <w:rsid w:val="1516405A"/>
    <w:rsid w:val="16D7521E"/>
    <w:rsid w:val="18803B57"/>
    <w:rsid w:val="18EA21E0"/>
    <w:rsid w:val="1A6913A4"/>
    <w:rsid w:val="1ADE0185"/>
    <w:rsid w:val="1B067259"/>
    <w:rsid w:val="1B105C9F"/>
    <w:rsid w:val="1D5952BB"/>
    <w:rsid w:val="1D5B6B36"/>
    <w:rsid w:val="1D8C0AC0"/>
    <w:rsid w:val="1DA07AEF"/>
    <w:rsid w:val="21A11EC2"/>
    <w:rsid w:val="229D3DDC"/>
    <w:rsid w:val="22ED75BA"/>
    <w:rsid w:val="24B23D63"/>
    <w:rsid w:val="251329E1"/>
    <w:rsid w:val="253313F2"/>
    <w:rsid w:val="253624A8"/>
    <w:rsid w:val="25FF3C67"/>
    <w:rsid w:val="273848DA"/>
    <w:rsid w:val="2738598E"/>
    <w:rsid w:val="2864536A"/>
    <w:rsid w:val="2AFB1264"/>
    <w:rsid w:val="2B2E2601"/>
    <w:rsid w:val="2BBA434C"/>
    <w:rsid w:val="2BBB17EB"/>
    <w:rsid w:val="2C57496C"/>
    <w:rsid w:val="2C855827"/>
    <w:rsid w:val="2CD61842"/>
    <w:rsid w:val="2CED3611"/>
    <w:rsid w:val="2EC14B16"/>
    <w:rsid w:val="2F0B78FC"/>
    <w:rsid w:val="2F4877BB"/>
    <w:rsid w:val="2F6129E2"/>
    <w:rsid w:val="31414D03"/>
    <w:rsid w:val="31651E6D"/>
    <w:rsid w:val="318072ED"/>
    <w:rsid w:val="32146368"/>
    <w:rsid w:val="32EA1CC0"/>
    <w:rsid w:val="333B1938"/>
    <w:rsid w:val="33BE03D9"/>
    <w:rsid w:val="33CB2807"/>
    <w:rsid w:val="34FF32E7"/>
    <w:rsid w:val="36B34FC9"/>
    <w:rsid w:val="37FD3430"/>
    <w:rsid w:val="38175D29"/>
    <w:rsid w:val="38310E6D"/>
    <w:rsid w:val="383138F6"/>
    <w:rsid w:val="383578D3"/>
    <w:rsid w:val="386E0F46"/>
    <w:rsid w:val="38E74782"/>
    <w:rsid w:val="3918157C"/>
    <w:rsid w:val="3A246670"/>
    <w:rsid w:val="3AB94FB0"/>
    <w:rsid w:val="3B5B774C"/>
    <w:rsid w:val="3BC5404D"/>
    <w:rsid w:val="3C19171D"/>
    <w:rsid w:val="3CE02637"/>
    <w:rsid w:val="3E004030"/>
    <w:rsid w:val="3E0541A0"/>
    <w:rsid w:val="3E581767"/>
    <w:rsid w:val="3EBA5439"/>
    <w:rsid w:val="3EF41C68"/>
    <w:rsid w:val="3F3372BC"/>
    <w:rsid w:val="3F515FDF"/>
    <w:rsid w:val="3FBF7F8B"/>
    <w:rsid w:val="3FCB60EF"/>
    <w:rsid w:val="40563213"/>
    <w:rsid w:val="40684AA4"/>
    <w:rsid w:val="41BC19F2"/>
    <w:rsid w:val="43363925"/>
    <w:rsid w:val="43B238B3"/>
    <w:rsid w:val="43BA36E9"/>
    <w:rsid w:val="43DD782A"/>
    <w:rsid w:val="44C11CAF"/>
    <w:rsid w:val="44F44D73"/>
    <w:rsid w:val="45A92EC8"/>
    <w:rsid w:val="45B70410"/>
    <w:rsid w:val="45D33217"/>
    <w:rsid w:val="45DD186A"/>
    <w:rsid w:val="464730D6"/>
    <w:rsid w:val="46E9195B"/>
    <w:rsid w:val="482C1D09"/>
    <w:rsid w:val="48BC38BF"/>
    <w:rsid w:val="48D352FD"/>
    <w:rsid w:val="48DD67F1"/>
    <w:rsid w:val="48E50343"/>
    <w:rsid w:val="4A8F52EC"/>
    <w:rsid w:val="4AE52A0D"/>
    <w:rsid w:val="4D5C7334"/>
    <w:rsid w:val="4DB41059"/>
    <w:rsid w:val="4DF16C7F"/>
    <w:rsid w:val="4E50276D"/>
    <w:rsid w:val="4EA8511B"/>
    <w:rsid w:val="4EF8766A"/>
    <w:rsid w:val="4FA853E1"/>
    <w:rsid w:val="519F41E8"/>
    <w:rsid w:val="52F81194"/>
    <w:rsid w:val="54860AA4"/>
    <w:rsid w:val="54D54ACF"/>
    <w:rsid w:val="54ED55EF"/>
    <w:rsid w:val="554A5F3C"/>
    <w:rsid w:val="5594661E"/>
    <w:rsid w:val="59156411"/>
    <w:rsid w:val="59273BC8"/>
    <w:rsid w:val="5AA80E30"/>
    <w:rsid w:val="5C43746C"/>
    <w:rsid w:val="5D3D2843"/>
    <w:rsid w:val="5D534CF2"/>
    <w:rsid w:val="5E03656C"/>
    <w:rsid w:val="5EDF68F4"/>
    <w:rsid w:val="5FCB47F2"/>
    <w:rsid w:val="60481609"/>
    <w:rsid w:val="60481C5A"/>
    <w:rsid w:val="605422EB"/>
    <w:rsid w:val="60C321D1"/>
    <w:rsid w:val="60ED2C22"/>
    <w:rsid w:val="62647045"/>
    <w:rsid w:val="63166803"/>
    <w:rsid w:val="638B48D8"/>
    <w:rsid w:val="63F714B5"/>
    <w:rsid w:val="656C149E"/>
    <w:rsid w:val="65D77C97"/>
    <w:rsid w:val="664D45C0"/>
    <w:rsid w:val="66D9523E"/>
    <w:rsid w:val="66EA7DE8"/>
    <w:rsid w:val="67856E53"/>
    <w:rsid w:val="687268B0"/>
    <w:rsid w:val="68972321"/>
    <w:rsid w:val="68BC6076"/>
    <w:rsid w:val="69D97BF1"/>
    <w:rsid w:val="69E425AC"/>
    <w:rsid w:val="69F15C04"/>
    <w:rsid w:val="69F52E0E"/>
    <w:rsid w:val="6A253D94"/>
    <w:rsid w:val="6A9A3260"/>
    <w:rsid w:val="6B326040"/>
    <w:rsid w:val="6B5E30BE"/>
    <w:rsid w:val="6CE9467F"/>
    <w:rsid w:val="6CEA0741"/>
    <w:rsid w:val="6D232E2F"/>
    <w:rsid w:val="6DF25AE0"/>
    <w:rsid w:val="6E146C61"/>
    <w:rsid w:val="6E5936FD"/>
    <w:rsid w:val="6FB643CF"/>
    <w:rsid w:val="7225507A"/>
    <w:rsid w:val="72A10033"/>
    <w:rsid w:val="7318750F"/>
    <w:rsid w:val="735E4D77"/>
    <w:rsid w:val="74605719"/>
    <w:rsid w:val="74620E6B"/>
    <w:rsid w:val="763F44D9"/>
    <w:rsid w:val="76755950"/>
    <w:rsid w:val="785B7305"/>
    <w:rsid w:val="79B30865"/>
    <w:rsid w:val="7A1351BA"/>
    <w:rsid w:val="7A3E6D13"/>
    <w:rsid w:val="7AB90EC0"/>
    <w:rsid w:val="7B792250"/>
    <w:rsid w:val="7BB62AF1"/>
    <w:rsid w:val="7BC61FA9"/>
    <w:rsid w:val="7BCC12A0"/>
    <w:rsid w:val="7BD6419A"/>
    <w:rsid w:val="7BF41ED1"/>
    <w:rsid w:val="7C85100A"/>
    <w:rsid w:val="7C9A096D"/>
    <w:rsid w:val="7CE33456"/>
    <w:rsid w:val="7E1A5340"/>
    <w:rsid w:val="7E221581"/>
    <w:rsid w:val="7E3324FF"/>
    <w:rsid w:val="7E6C07CA"/>
    <w:rsid w:val="7F6F083C"/>
    <w:rsid w:val="7FCA390A"/>
    <w:rsid w:val="7FF36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8">
    <w:name w:val="s31"/>
    <w:basedOn w:val="6"/>
    <w:qFormat/>
    <w:uiPriority w:val="0"/>
    <w:rPr>
      <w:b/>
    </w:rPr>
  </w:style>
  <w:style w:type="character" w:customStyle="1" w:styleId="9">
    <w:name w:val="页眉 Char"/>
    <w:basedOn w:val="6"/>
    <w:link w:val="3"/>
    <w:uiPriority w:val="0"/>
    <w:rPr>
      <w:rFonts w:ascii="Calibri" w:hAnsi="Calibri" w:cs="Calibri"/>
      <w:kern w:val="2"/>
      <w:sz w:val="18"/>
      <w:szCs w:val="18"/>
    </w:rPr>
  </w:style>
  <w:style w:type="character" w:customStyle="1" w:styleId="10">
    <w:name w:val="页脚 Char"/>
    <w:basedOn w:val="6"/>
    <w:link w:val="2"/>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401</Words>
  <Characters>2286</Characters>
  <Lines>19</Lines>
  <Paragraphs>5</Paragraphs>
  <TotalTime>0</TotalTime>
  <ScaleCrop>false</ScaleCrop>
  <LinksUpToDate>false</LinksUpToDate>
  <CharactersWithSpaces>2682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2021-09-03T03:14:00Z</dcterms:created>
  <dc:creator>Administrator</dc:creator>
  <cp:lastModifiedBy>-</cp:lastModifiedBy>
  <dcterms:modified xsi:type="dcterms:W3CDTF">2023-10-13T02:58:21Z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D8FA3B398BA54A0F94DD8D72E7B4D482</vt:lpwstr>
  </property>
</Properties>
</file>