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eastAsia="仿宋_GB2312"/>
          <w:sz w:val="32"/>
          <w:szCs w:val="32"/>
        </w:rPr>
        <w:t>：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2021</w:t>
      </w:r>
      <w:r>
        <w:rPr>
          <w:rFonts w:eastAsia="方正小标宋简体"/>
          <w:sz w:val="36"/>
          <w:szCs w:val="36"/>
        </w:rPr>
        <w:t>年度部门整体支出绩效自评报告</w:t>
      </w:r>
    </w:p>
    <w:p>
      <w:pPr>
        <w:ind w:firstLine="420" w:firstLineChars="200"/>
        <w:jc w:val="center"/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一、部门概况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（一）部门基本情况。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1、机构设置：内设办公室、</w:t>
      </w:r>
      <w:r>
        <w:rPr>
          <w:rFonts w:hint="eastAsia" w:ascii="仿宋" w:hAnsi="仿宋" w:eastAsia="仿宋"/>
          <w:sz w:val="32"/>
          <w:szCs w:val="22"/>
        </w:rPr>
        <w:t>总编室</w:t>
      </w:r>
      <w:r>
        <w:rPr>
          <w:rFonts w:hint="eastAsia" w:ascii="仿宋" w:hAnsi="仿宋" w:eastAsia="仿宋" w:cs="仿宋_GB2312"/>
          <w:bCs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22"/>
        </w:rPr>
        <w:t>新媒体部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22"/>
        </w:rPr>
        <w:t>采访部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等7个职能组（室）。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2、人员编制情况：</w:t>
      </w:r>
      <w:r>
        <w:rPr>
          <w:rFonts w:hint="eastAsia" w:ascii="仿宋" w:hAnsi="仿宋" w:eastAsia="仿宋"/>
          <w:sz w:val="32"/>
          <w:szCs w:val="22"/>
        </w:rPr>
        <w:t>本部门共有编制人数15人，实有人数15人。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（二）</w:t>
      </w:r>
      <w:r>
        <w:rPr>
          <w:rFonts w:hint="eastAsia" w:ascii="宋体" w:hAnsi="宋体"/>
          <w:color w:val="000000"/>
          <w:sz w:val="30"/>
          <w:szCs w:val="30"/>
        </w:rPr>
        <w:t>2021</w:t>
      </w:r>
      <w:r>
        <w:rPr>
          <w:rFonts w:ascii="宋体" w:hAnsi="宋体"/>
          <w:sz w:val="30"/>
          <w:szCs w:val="30"/>
        </w:rPr>
        <w:t>年的重点工作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1、贯彻落实党的新闻宣传方针政策，宣传党的理论、路线和各项方针政策，坚持正面宣传，团结鼓劲，把握正确的舆论导向和创作导向；积极开展新闻全媒体内外宣传，为全区经济社会发展提供舆论支持。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2、在区委宣传部领导下，整合区级电视、新闻网站、新媒体等媒体资源，肩负举旗帜、聚民心、育新人、兴文化、展形象的使命服务，开展媒体+政务+个性化服务业务，巩固壮大主流思想舆论，提高区级媒体传播力、引导力、影响力、公信力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3、负责融媒体策划、全媒体采访、大数据运维、采访队伍调度指挥、原创作品策划与制作；负责全媒体人才引进、培训和培养。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4、负责冷水滩新闻网、“冷水滩发布”微博微信、湘江滩声手机APP、冷水滩手机报等新媒体平台的图文、视频的采集、编辑、发布、管理等工作；负责《冷水滩新闻》的采、编、播等工作。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5、负责融媒体综合服务平台的建设、运行、维护和平台信息安全防范工作。负责融媒体平台的运行维护和技术支撑,抓好融媒体产品的安全播出和刊发工作。</w:t>
      </w:r>
    </w:p>
    <w:p>
      <w:pPr>
        <w:ind w:firstLine="640" w:firstLineChars="200"/>
        <w:rPr>
          <w:rFonts w:asci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22"/>
        </w:rPr>
        <w:t>6、承办区委、区人民政府交办的其他工作任务</w:t>
      </w:r>
      <w:r>
        <w:rPr>
          <w:rFonts w:hint="eastAsia" w:ascii="仿宋" w:eastAsia="仿宋" w:cs="宋体"/>
          <w:color w:val="333333"/>
          <w:kern w:val="0"/>
          <w:sz w:val="32"/>
          <w:szCs w:val="32"/>
        </w:rPr>
        <w:t>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（三）部门整体支出情况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2021年冷水滩区融媒体中心整体支出情况：总支出</w:t>
      </w:r>
      <w:r>
        <w:rPr>
          <w:rFonts w:hint="eastAsia" w:ascii="仿宋" w:hAnsi="仿宋" w:eastAsia="仿宋"/>
          <w:sz w:val="28"/>
          <w:lang w:val="en-US" w:eastAsia="zh-CN"/>
        </w:rPr>
        <w:t>263.01</w:t>
      </w:r>
      <w:r>
        <w:rPr>
          <w:rFonts w:hint="eastAsia" w:ascii="仿宋" w:hAnsi="仿宋" w:eastAsia="仿宋"/>
          <w:sz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，其中基本支出1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1万元，专项经费支出（含其他专项支出）1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8万元。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二、部门整体支出管理及使用情况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（一）基本支出情况。</w:t>
      </w:r>
    </w:p>
    <w:p>
      <w:pPr>
        <w:spacing w:line="600" w:lineRule="exact"/>
        <w:ind w:firstLine="640" w:firstLineChars="200"/>
        <w:rPr>
          <w:rFonts w:ascii="宋体" w:hAnsi="宋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全年基本支出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万元，其中：工资福利支出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133.79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商品和服务支出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21.22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numPr>
          <w:ilvl w:val="0"/>
          <w:numId w:val="1"/>
        </w:num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项目支出情况。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全年专项资金支出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108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主要用于</w:t>
      </w:r>
      <w:r>
        <w:rPr>
          <w:rFonts w:hint="eastAsia" w:ascii="仿宋_GB2312" w:eastAsia="仿宋_GB2312"/>
          <w:bCs/>
          <w:sz w:val="32"/>
          <w:szCs w:val="32"/>
        </w:rPr>
        <w:t>融媒体临聘人员专项经费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ascii="宋体" w:hAnsi="宋体"/>
          <w:sz w:val="30"/>
          <w:szCs w:val="30"/>
        </w:rPr>
        <w:t>（三）“三公”经费情况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1．因公出国（境）费用</w:t>
      </w:r>
      <w:r>
        <w:rPr>
          <w:rFonts w:hint="eastAsia" w:ascii="宋体" w:hAnsi="宋体"/>
          <w:sz w:val="30"/>
          <w:szCs w:val="30"/>
        </w:rPr>
        <w:t>：无</w:t>
      </w:r>
    </w:p>
    <w:p>
      <w:pPr>
        <w:ind w:firstLine="60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宋体" w:hAnsi="宋体"/>
          <w:sz w:val="30"/>
          <w:szCs w:val="30"/>
        </w:rPr>
        <w:t>2．公务接待费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无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3．公务用车购置及运行费</w:t>
      </w:r>
      <w:r>
        <w:rPr>
          <w:rFonts w:hint="eastAsia" w:ascii="宋体" w:hAnsi="宋体"/>
          <w:sz w:val="30"/>
          <w:szCs w:val="30"/>
        </w:rPr>
        <w:t>：无</w:t>
      </w: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三、部门整体支出绩效情况</w:t>
      </w:r>
    </w:p>
    <w:p>
      <w:pPr>
        <w:pStyle w:val="4"/>
        <w:widowControl/>
        <w:spacing w:beforeAutospacing="0" w:afterAutospacing="0" w:line="460" w:lineRule="exact"/>
        <w:ind w:firstLine="640" w:firstLineChars="200"/>
        <w:jc w:val="both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1、精心策划新闻选题、选准报道方式、提升稿件质量，圆满完成了上级下达的对外宣传任务。截至目前，完成电视上稿：中央电视台上稿3 条，《湖南卫视》上稿 61条，《永州新闻联播》448条，《冷水滩新闻》1050条；完成外宣上稿：中央媒体112余条，省级平台《湖南日报》151余条，《湖南红网》 561余条，《红网时刻》357余条，市级平台《红网永州》1275余条，《今日永州》 3541余条，《新湖南永州》663余条，《永州日报》余 1126条；《学习强国》175 余条，真正做到了稿件质量大幅提升、数量稳中有升，为全区的快速发展、谋势造势营造了浓厚的氛围。</w:t>
      </w:r>
    </w:p>
    <w:p>
      <w:pPr>
        <w:pStyle w:val="4"/>
        <w:widowControl/>
        <w:spacing w:beforeAutospacing="0" w:afterAutospacing="0" w:line="4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我中心2021年度的融媒体建设工作取得了可喜的成绩,获得</w:t>
      </w:r>
      <w:r>
        <w:rPr>
          <w:rFonts w:hint="eastAsia" w:ascii="仿宋" w:hAnsi="仿宋" w:eastAsia="仿宋" w:cs="仿宋"/>
          <w:sz w:val="32"/>
          <w:szCs w:val="32"/>
        </w:rPr>
        <w:t>2021年永州市巾帼建功先进集体、红网冷水滩站2021年度优秀分站、2021年度县级融媒体中心建设工作先进单位、2021年度《红网手机报》建设工作先进单位、2021年度全区党委办公室工作优秀单位、永州市总工会授予冷水滩区融媒体中心永州市五一劳动奖状、冷水滩区2021届文明单位。</w:t>
      </w:r>
    </w:p>
    <w:p>
      <w:pPr>
        <w:numPr>
          <w:ilvl w:val="0"/>
          <w:numId w:val="2"/>
        </w:num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绩效自评得分情况及绩效等级。</w:t>
      </w:r>
    </w:p>
    <w:p>
      <w:pPr>
        <w:ind w:firstLine="600" w:firstLineChars="200"/>
        <w:rPr>
          <w:rFonts w:ascii="宋体" w:hAnsi="宋体"/>
          <w:b/>
          <w:sz w:val="30"/>
          <w:szCs w:val="30"/>
        </w:rPr>
      </w:pPr>
      <w:r>
        <w:rPr>
          <w:rFonts w:hint="eastAsia"/>
          <w:sz w:val="30"/>
          <w:szCs w:val="30"/>
        </w:rPr>
        <w:t>绩效自评得分为98分，其中：预算控制率得分扣1分，公用经费控制率得分扣1分。</w:t>
      </w:r>
    </w:p>
    <w:p>
      <w:pPr>
        <w:numPr>
          <w:ilvl w:val="0"/>
          <w:numId w:val="2"/>
        </w:num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存在的问题</w:t>
      </w:r>
    </w:p>
    <w:p>
      <w:pPr>
        <w:spacing w:line="600" w:lineRule="exact"/>
        <w:ind w:firstLine="640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2021年主要存在的问题有：1、部分预算内工作经费没有及时拨付，绩效指标及目标值有待进一步细化和量化。2、尚未针对绩效考评制定比较明确的实施细则，有待进一步完善。</w:t>
      </w: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六</w:t>
      </w:r>
      <w:r>
        <w:rPr>
          <w:rFonts w:ascii="宋体" w:hAnsi="宋体"/>
          <w:b/>
          <w:sz w:val="30"/>
          <w:szCs w:val="30"/>
        </w:rPr>
        <w:t>、改进措施和有关建议</w:t>
      </w:r>
    </w:p>
    <w:p>
      <w:pPr>
        <w:spacing w:line="600" w:lineRule="exact"/>
        <w:ind w:firstLine="640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2021年改进措施：1、加强财务人员的业务能力学习，积极与财政局各科室领导汇报、学习，进一步完善财务制度；2、科学合理地设置绩效指标，提高预算绩效指标的针对性和可测性，充分发挥预算绩效目标管理的导向作用；3、将预算编制与部门工作有机结合，进一步强化预算执行，提升财政资金使用效益；4、做好基础信息的收集和分析工作，建立相关数据库，为绩效指标值的设置提高有益参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D550D"/>
    <w:multiLevelType w:val="singleLevel"/>
    <w:tmpl w:val="E23D55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F41E80"/>
    <w:multiLevelType w:val="singleLevel"/>
    <w:tmpl w:val="47F41E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ZTIzODQ2ZmM1MmVlNDc2YTU3Zjc3MzgxNGIyYzYifQ=="/>
  </w:docVars>
  <w:rsids>
    <w:rsidRoot w:val="0063355D"/>
    <w:rsid w:val="00420F9B"/>
    <w:rsid w:val="005F01FD"/>
    <w:rsid w:val="0063355D"/>
    <w:rsid w:val="00736827"/>
    <w:rsid w:val="00782C43"/>
    <w:rsid w:val="008846C5"/>
    <w:rsid w:val="00A17A06"/>
    <w:rsid w:val="00C96CBF"/>
    <w:rsid w:val="00E43EA7"/>
    <w:rsid w:val="011F3ABE"/>
    <w:rsid w:val="01527951"/>
    <w:rsid w:val="01D01710"/>
    <w:rsid w:val="01EB78D4"/>
    <w:rsid w:val="01ED50B4"/>
    <w:rsid w:val="01F40A6D"/>
    <w:rsid w:val="02103F2B"/>
    <w:rsid w:val="0224052A"/>
    <w:rsid w:val="025E2CDD"/>
    <w:rsid w:val="02AF6B51"/>
    <w:rsid w:val="02CB3073"/>
    <w:rsid w:val="030A2394"/>
    <w:rsid w:val="033178BB"/>
    <w:rsid w:val="037D262C"/>
    <w:rsid w:val="03C96BB8"/>
    <w:rsid w:val="03CF6044"/>
    <w:rsid w:val="04211053"/>
    <w:rsid w:val="04BA6B48"/>
    <w:rsid w:val="05220B0E"/>
    <w:rsid w:val="052A6868"/>
    <w:rsid w:val="05A677F8"/>
    <w:rsid w:val="065A73D3"/>
    <w:rsid w:val="067A0DE2"/>
    <w:rsid w:val="07EF0A9F"/>
    <w:rsid w:val="08E37473"/>
    <w:rsid w:val="091C3F53"/>
    <w:rsid w:val="09322762"/>
    <w:rsid w:val="09492849"/>
    <w:rsid w:val="09536FFF"/>
    <w:rsid w:val="09C3774E"/>
    <w:rsid w:val="0A07587B"/>
    <w:rsid w:val="0A3379EC"/>
    <w:rsid w:val="0A586919"/>
    <w:rsid w:val="0B232314"/>
    <w:rsid w:val="0B384E3A"/>
    <w:rsid w:val="0B523018"/>
    <w:rsid w:val="0B7768C0"/>
    <w:rsid w:val="0C2002C5"/>
    <w:rsid w:val="0CCB649D"/>
    <w:rsid w:val="0CEB342E"/>
    <w:rsid w:val="0D1834BB"/>
    <w:rsid w:val="0D251F4B"/>
    <w:rsid w:val="0D341E30"/>
    <w:rsid w:val="0D6141EA"/>
    <w:rsid w:val="0D9255DA"/>
    <w:rsid w:val="0DCF1711"/>
    <w:rsid w:val="0EF93FAC"/>
    <w:rsid w:val="0F33414C"/>
    <w:rsid w:val="0F551DF0"/>
    <w:rsid w:val="0F621B7C"/>
    <w:rsid w:val="0FB746AA"/>
    <w:rsid w:val="0FE3115D"/>
    <w:rsid w:val="105B21D1"/>
    <w:rsid w:val="111B53E2"/>
    <w:rsid w:val="11220DDD"/>
    <w:rsid w:val="119F3B02"/>
    <w:rsid w:val="125F6DB1"/>
    <w:rsid w:val="133175ED"/>
    <w:rsid w:val="133330D0"/>
    <w:rsid w:val="134315D1"/>
    <w:rsid w:val="134B2B9C"/>
    <w:rsid w:val="13E82D43"/>
    <w:rsid w:val="140D041C"/>
    <w:rsid w:val="14247EB2"/>
    <w:rsid w:val="14F30A60"/>
    <w:rsid w:val="15235AE7"/>
    <w:rsid w:val="154B7D88"/>
    <w:rsid w:val="15762042"/>
    <w:rsid w:val="15EE4E0C"/>
    <w:rsid w:val="16210EE2"/>
    <w:rsid w:val="16357601"/>
    <w:rsid w:val="169164D2"/>
    <w:rsid w:val="16A61DA0"/>
    <w:rsid w:val="17312599"/>
    <w:rsid w:val="17434A8C"/>
    <w:rsid w:val="17650215"/>
    <w:rsid w:val="17CC0EC1"/>
    <w:rsid w:val="18202F26"/>
    <w:rsid w:val="18586779"/>
    <w:rsid w:val="186B3945"/>
    <w:rsid w:val="18C36AD3"/>
    <w:rsid w:val="18D1384E"/>
    <w:rsid w:val="196447A2"/>
    <w:rsid w:val="198C1B86"/>
    <w:rsid w:val="19B42282"/>
    <w:rsid w:val="19D3443F"/>
    <w:rsid w:val="19F53452"/>
    <w:rsid w:val="1AB403B2"/>
    <w:rsid w:val="1AFC1518"/>
    <w:rsid w:val="1C0B7F89"/>
    <w:rsid w:val="1C651E85"/>
    <w:rsid w:val="1CB80FE7"/>
    <w:rsid w:val="1D051DAC"/>
    <w:rsid w:val="1D1A7C7E"/>
    <w:rsid w:val="1DB07CC7"/>
    <w:rsid w:val="1E7C7E55"/>
    <w:rsid w:val="1E833CBB"/>
    <w:rsid w:val="1EB23F2B"/>
    <w:rsid w:val="1F7E69EF"/>
    <w:rsid w:val="20150ED9"/>
    <w:rsid w:val="20B361BD"/>
    <w:rsid w:val="21476A61"/>
    <w:rsid w:val="21651514"/>
    <w:rsid w:val="227701B4"/>
    <w:rsid w:val="22DF4514"/>
    <w:rsid w:val="23F2149A"/>
    <w:rsid w:val="24A42A7D"/>
    <w:rsid w:val="24E90D02"/>
    <w:rsid w:val="24EC6DBA"/>
    <w:rsid w:val="25B41B81"/>
    <w:rsid w:val="260D3A37"/>
    <w:rsid w:val="26130843"/>
    <w:rsid w:val="263E25CE"/>
    <w:rsid w:val="268E36AD"/>
    <w:rsid w:val="272A235E"/>
    <w:rsid w:val="273214C9"/>
    <w:rsid w:val="27662045"/>
    <w:rsid w:val="276B68E8"/>
    <w:rsid w:val="27A16CFA"/>
    <w:rsid w:val="289D6D38"/>
    <w:rsid w:val="28C612DD"/>
    <w:rsid w:val="28F31E0E"/>
    <w:rsid w:val="28FA543A"/>
    <w:rsid w:val="28FE667F"/>
    <w:rsid w:val="290F0777"/>
    <w:rsid w:val="29CC216A"/>
    <w:rsid w:val="29D33F34"/>
    <w:rsid w:val="2A167E61"/>
    <w:rsid w:val="2A210E52"/>
    <w:rsid w:val="2AF35C99"/>
    <w:rsid w:val="2B1B314A"/>
    <w:rsid w:val="2C0E492C"/>
    <w:rsid w:val="2C987DDE"/>
    <w:rsid w:val="2D267ECB"/>
    <w:rsid w:val="2D7656D2"/>
    <w:rsid w:val="2D95063D"/>
    <w:rsid w:val="2DD13DF0"/>
    <w:rsid w:val="2E000C71"/>
    <w:rsid w:val="2E0530BE"/>
    <w:rsid w:val="2E3059E8"/>
    <w:rsid w:val="2E9831F8"/>
    <w:rsid w:val="2EBB5940"/>
    <w:rsid w:val="2F3E39A6"/>
    <w:rsid w:val="304A1669"/>
    <w:rsid w:val="315B60BE"/>
    <w:rsid w:val="31E875C1"/>
    <w:rsid w:val="33033E74"/>
    <w:rsid w:val="331E5FC3"/>
    <w:rsid w:val="3359150B"/>
    <w:rsid w:val="33665469"/>
    <w:rsid w:val="33864B81"/>
    <w:rsid w:val="349834EB"/>
    <w:rsid w:val="356F787D"/>
    <w:rsid w:val="359858C2"/>
    <w:rsid w:val="35D56A58"/>
    <w:rsid w:val="360A37EB"/>
    <w:rsid w:val="365B01D6"/>
    <w:rsid w:val="371F4E77"/>
    <w:rsid w:val="374636A8"/>
    <w:rsid w:val="388E5722"/>
    <w:rsid w:val="38FA430D"/>
    <w:rsid w:val="39224AF1"/>
    <w:rsid w:val="394557F8"/>
    <w:rsid w:val="39864BA7"/>
    <w:rsid w:val="3A8F1850"/>
    <w:rsid w:val="3AD6663A"/>
    <w:rsid w:val="3AFA1D3C"/>
    <w:rsid w:val="3BF25E0B"/>
    <w:rsid w:val="3C213691"/>
    <w:rsid w:val="3C925319"/>
    <w:rsid w:val="3DB13D93"/>
    <w:rsid w:val="3DFA7FA3"/>
    <w:rsid w:val="3DFC1CF7"/>
    <w:rsid w:val="3E6944BD"/>
    <w:rsid w:val="3E9371CF"/>
    <w:rsid w:val="3EAC38FD"/>
    <w:rsid w:val="3F233067"/>
    <w:rsid w:val="41A03C19"/>
    <w:rsid w:val="41B05606"/>
    <w:rsid w:val="424815D4"/>
    <w:rsid w:val="431A0C8A"/>
    <w:rsid w:val="432559E0"/>
    <w:rsid w:val="44122A53"/>
    <w:rsid w:val="44127371"/>
    <w:rsid w:val="45546E22"/>
    <w:rsid w:val="45D50596"/>
    <w:rsid w:val="480A6551"/>
    <w:rsid w:val="480E4D39"/>
    <w:rsid w:val="48274038"/>
    <w:rsid w:val="48B503F8"/>
    <w:rsid w:val="48E310D9"/>
    <w:rsid w:val="48FE0CBC"/>
    <w:rsid w:val="4989165B"/>
    <w:rsid w:val="499559F8"/>
    <w:rsid w:val="49970B62"/>
    <w:rsid w:val="49B56474"/>
    <w:rsid w:val="4A2D7487"/>
    <w:rsid w:val="4AA10E5A"/>
    <w:rsid w:val="4AA24D82"/>
    <w:rsid w:val="4AAB6BC7"/>
    <w:rsid w:val="4B7B2A53"/>
    <w:rsid w:val="4BA748F1"/>
    <w:rsid w:val="4CD44CAF"/>
    <w:rsid w:val="4D1365C9"/>
    <w:rsid w:val="4D1872BA"/>
    <w:rsid w:val="4D332B6A"/>
    <w:rsid w:val="4D7158D7"/>
    <w:rsid w:val="4DA5100D"/>
    <w:rsid w:val="4E3454C0"/>
    <w:rsid w:val="4E612433"/>
    <w:rsid w:val="4E683310"/>
    <w:rsid w:val="4ECC02BF"/>
    <w:rsid w:val="4ED34380"/>
    <w:rsid w:val="4EE708F5"/>
    <w:rsid w:val="4F1E6DEB"/>
    <w:rsid w:val="4F3F0242"/>
    <w:rsid w:val="4F4D616B"/>
    <w:rsid w:val="50174A4D"/>
    <w:rsid w:val="50BC16E7"/>
    <w:rsid w:val="50D229C6"/>
    <w:rsid w:val="512746AD"/>
    <w:rsid w:val="51356AAD"/>
    <w:rsid w:val="51960D06"/>
    <w:rsid w:val="51981836"/>
    <w:rsid w:val="51A060A1"/>
    <w:rsid w:val="51DC6829"/>
    <w:rsid w:val="521C0503"/>
    <w:rsid w:val="524D313D"/>
    <w:rsid w:val="528206F1"/>
    <w:rsid w:val="55114A53"/>
    <w:rsid w:val="55197FE3"/>
    <w:rsid w:val="55414B10"/>
    <w:rsid w:val="554F1DA6"/>
    <w:rsid w:val="559642E9"/>
    <w:rsid w:val="560830F7"/>
    <w:rsid w:val="561418D9"/>
    <w:rsid w:val="5645225B"/>
    <w:rsid w:val="565A6D40"/>
    <w:rsid w:val="565D3F89"/>
    <w:rsid w:val="56C5508C"/>
    <w:rsid w:val="570D5DFF"/>
    <w:rsid w:val="57556801"/>
    <w:rsid w:val="57D864D1"/>
    <w:rsid w:val="57E06578"/>
    <w:rsid w:val="584C2CDC"/>
    <w:rsid w:val="587213C7"/>
    <w:rsid w:val="58A917CA"/>
    <w:rsid w:val="58DF0505"/>
    <w:rsid w:val="58FE484C"/>
    <w:rsid w:val="59030549"/>
    <w:rsid w:val="59044DF1"/>
    <w:rsid w:val="591D660F"/>
    <w:rsid w:val="595571D3"/>
    <w:rsid w:val="5A6F0873"/>
    <w:rsid w:val="5ACE60FC"/>
    <w:rsid w:val="5B075D39"/>
    <w:rsid w:val="5B0C33D2"/>
    <w:rsid w:val="5B611067"/>
    <w:rsid w:val="5BCE1F8C"/>
    <w:rsid w:val="5BD33352"/>
    <w:rsid w:val="5C4808E2"/>
    <w:rsid w:val="5D0A4A28"/>
    <w:rsid w:val="5D1952F7"/>
    <w:rsid w:val="5DA8192C"/>
    <w:rsid w:val="5DB6747B"/>
    <w:rsid w:val="5E12340D"/>
    <w:rsid w:val="5F18550E"/>
    <w:rsid w:val="5F2303DD"/>
    <w:rsid w:val="5F4D6795"/>
    <w:rsid w:val="5F931729"/>
    <w:rsid w:val="609B5E58"/>
    <w:rsid w:val="60F7031F"/>
    <w:rsid w:val="613215EA"/>
    <w:rsid w:val="615B0286"/>
    <w:rsid w:val="61B266D2"/>
    <w:rsid w:val="61C676A9"/>
    <w:rsid w:val="61DF38B6"/>
    <w:rsid w:val="61EB6FC1"/>
    <w:rsid w:val="61F957C3"/>
    <w:rsid w:val="623E5972"/>
    <w:rsid w:val="624F11D8"/>
    <w:rsid w:val="625C5E87"/>
    <w:rsid w:val="62D6736A"/>
    <w:rsid w:val="636203E0"/>
    <w:rsid w:val="63837919"/>
    <w:rsid w:val="63EB66A5"/>
    <w:rsid w:val="64310DFC"/>
    <w:rsid w:val="64A805A0"/>
    <w:rsid w:val="64A86993"/>
    <w:rsid w:val="650A2F9F"/>
    <w:rsid w:val="65682DDC"/>
    <w:rsid w:val="660A7DFE"/>
    <w:rsid w:val="669405AA"/>
    <w:rsid w:val="66B469FF"/>
    <w:rsid w:val="66F60F76"/>
    <w:rsid w:val="671D45D7"/>
    <w:rsid w:val="67467DE2"/>
    <w:rsid w:val="67BD7A06"/>
    <w:rsid w:val="67C5040F"/>
    <w:rsid w:val="67DE764C"/>
    <w:rsid w:val="68317510"/>
    <w:rsid w:val="68742337"/>
    <w:rsid w:val="68A71B6B"/>
    <w:rsid w:val="694F101C"/>
    <w:rsid w:val="69694B17"/>
    <w:rsid w:val="6A837B6D"/>
    <w:rsid w:val="6AED21CB"/>
    <w:rsid w:val="6B1D76E7"/>
    <w:rsid w:val="6B3A6982"/>
    <w:rsid w:val="6B515587"/>
    <w:rsid w:val="6BCF5895"/>
    <w:rsid w:val="6C35114F"/>
    <w:rsid w:val="6C565449"/>
    <w:rsid w:val="6C9B1499"/>
    <w:rsid w:val="6D393038"/>
    <w:rsid w:val="6D740B63"/>
    <w:rsid w:val="6DCA3FA3"/>
    <w:rsid w:val="6DD85EFF"/>
    <w:rsid w:val="6EE01DBA"/>
    <w:rsid w:val="6F6A1E2D"/>
    <w:rsid w:val="6FB659BF"/>
    <w:rsid w:val="6FE602E7"/>
    <w:rsid w:val="702B047E"/>
    <w:rsid w:val="70AA5FD1"/>
    <w:rsid w:val="70B36876"/>
    <w:rsid w:val="71251776"/>
    <w:rsid w:val="71EE0131"/>
    <w:rsid w:val="721953FF"/>
    <w:rsid w:val="73B94117"/>
    <w:rsid w:val="740F782B"/>
    <w:rsid w:val="74D811CD"/>
    <w:rsid w:val="757A146D"/>
    <w:rsid w:val="777444AA"/>
    <w:rsid w:val="7857278B"/>
    <w:rsid w:val="78EC2EE4"/>
    <w:rsid w:val="78F00CEB"/>
    <w:rsid w:val="79303BC9"/>
    <w:rsid w:val="7A6A11DC"/>
    <w:rsid w:val="7AD85188"/>
    <w:rsid w:val="7B6231F2"/>
    <w:rsid w:val="7BEF048D"/>
    <w:rsid w:val="7C4E4773"/>
    <w:rsid w:val="7C9542E3"/>
    <w:rsid w:val="7CB43E04"/>
    <w:rsid w:val="7CF12F32"/>
    <w:rsid w:val="7D1319BB"/>
    <w:rsid w:val="7D59536B"/>
    <w:rsid w:val="7E026C9D"/>
    <w:rsid w:val="7E3E10B2"/>
    <w:rsid w:val="7E6D2C2B"/>
    <w:rsid w:val="7F424AEF"/>
    <w:rsid w:val="7FB266CF"/>
    <w:rsid w:val="7FBF0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265</Words>
  <Characters>1517</Characters>
  <Lines>12</Lines>
  <Paragraphs>3</Paragraphs>
  <TotalTime>0</TotalTime>
  <ScaleCrop>false</ScaleCrop>
  <LinksUpToDate>false</LinksUpToDate>
  <CharactersWithSpaces>1779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2021-09-03T03:15:00Z</dcterms:created>
  <dc:creator>Administrator</dc:creator>
  <cp:lastModifiedBy>东来</cp:lastModifiedBy>
  <dcterms:modified xsi:type="dcterms:W3CDTF">2023-09-22T09:49:37Z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057E309FA90F49B0B4BFE12202CD3C05</vt:lpwstr>
  </property>
</Properties>
</file>