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lang w:eastAsia="zh-CN"/>
        </w:rPr>
        <w:t>202</w:t>
      </w:r>
      <w:r>
        <w:rPr>
          <w:rFonts w:hint="eastAsia" w:ascii="方正小标宋简体" w:eastAsia="方正小标宋简体"/>
          <w:color w:val="000000"/>
          <w:kern w:val="0"/>
          <w:sz w:val="36"/>
          <w:szCs w:val="36"/>
          <w:lang w:val="en-US" w:eastAsia="zh-CN"/>
        </w:rPr>
        <w:t>1</w:t>
      </w:r>
      <w:r>
        <w:rPr>
          <w:rFonts w:hint="eastAsia" w:ascii="方正小标宋简体" w:eastAsia="方正小标宋简体"/>
          <w:color w:val="000000"/>
          <w:kern w:val="0"/>
          <w:sz w:val="36"/>
          <w:szCs w:val="36"/>
        </w:rPr>
        <w:t>年度专项（项目）资金绩效自评报告</w:t>
      </w:r>
    </w:p>
    <w:p>
      <w:pPr>
        <w:spacing w:line="620" w:lineRule="exact"/>
        <w:jc w:val="center"/>
        <w:rPr>
          <w:rFonts w:hint="eastAsia" w:ascii="楷体_GB2312" w:eastAsia="楷体_GB2312"/>
          <w:b w:val="0"/>
          <w:bCs/>
          <w:color w:val="000000"/>
          <w:kern w:val="0"/>
          <w:sz w:val="32"/>
          <w:szCs w:val="32"/>
        </w:rPr>
      </w:pPr>
      <w:r>
        <w:rPr>
          <w:rFonts w:hint="eastAsia" w:ascii="楷体_GB2312" w:eastAsia="楷体_GB2312"/>
          <w:b w:val="0"/>
          <w:bCs/>
          <w:color w:val="000000"/>
          <w:kern w:val="0"/>
          <w:sz w:val="32"/>
          <w:szCs w:val="32"/>
        </w:rPr>
        <w:t>（</w:t>
      </w:r>
      <w:r>
        <w:rPr>
          <w:rFonts w:hint="eastAsia" w:ascii="楷体_GB2312" w:eastAsia="楷体_GB2312"/>
          <w:b w:val="0"/>
          <w:bCs/>
          <w:color w:val="000000"/>
          <w:kern w:val="0"/>
          <w:sz w:val="32"/>
          <w:szCs w:val="32"/>
          <w:lang w:val="en-US" w:eastAsia="zh-CN"/>
        </w:rPr>
        <w:t>冷水滩区农机事务中心</w:t>
      </w:r>
      <w:r>
        <w:rPr>
          <w:rFonts w:hint="eastAsia" w:ascii="楷体_GB2312" w:eastAsia="楷体_GB2312"/>
          <w:b w:val="0"/>
          <w:bCs/>
          <w:color w:val="000000"/>
          <w:kern w:val="0"/>
          <w:sz w:val="32"/>
          <w:szCs w:val="32"/>
        </w:rPr>
        <w:t>）</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pacing w:line="620" w:lineRule="exact"/>
        <w:ind w:firstLine="640" w:firstLineChars="200"/>
        <w:rPr>
          <w:rFonts w:hint="eastAsia" w:ascii="仿宋_GB2312" w:hAnsi="仿宋_GB2312" w:eastAsia="仿宋_GB2312" w:cs="仿宋_GB2312"/>
          <w:sz w:val="32"/>
          <w:szCs w:val="32"/>
          <w:lang w:val="en-US" w:eastAsia="zh-CN"/>
        </w:rPr>
      </w:pPr>
      <w:r>
        <w:rPr>
          <w:rFonts w:hint="eastAsia" w:eastAsia="仿宋_GB2312"/>
          <w:color w:val="000000"/>
          <w:kern w:val="0"/>
          <w:sz w:val="32"/>
          <w:szCs w:val="32"/>
          <w:lang w:val="en-US" w:eastAsia="zh-CN"/>
        </w:rPr>
        <w:t>1、机构设置：</w:t>
      </w:r>
      <w:r>
        <w:rPr>
          <w:rFonts w:hint="eastAsia" w:ascii="仿宋_GB2312" w:hAnsi="仿宋_GB2312" w:eastAsia="仿宋_GB2312" w:cs="仿宋_GB2312"/>
          <w:sz w:val="32"/>
          <w:szCs w:val="32"/>
          <w:lang w:val="en-US" w:eastAsia="zh-CN"/>
        </w:rPr>
        <w:t>内设综合部、计划财务部、生产服务部、产业发展部、技术推广部。</w:t>
      </w:r>
    </w:p>
    <w:p>
      <w:pPr>
        <w:spacing w:line="6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2、人员编制情况：编制人数47人，实有在职在编人员42人，退休人员19人。</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（二）项目</w:t>
      </w:r>
      <w:r>
        <w:rPr>
          <w:rFonts w:hint="eastAsia" w:eastAsia="仿宋_GB2312"/>
          <w:color w:val="000000"/>
          <w:kern w:val="0"/>
          <w:sz w:val="32"/>
          <w:szCs w:val="32"/>
        </w:rPr>
        <w:t>预算和绩效目标</w:t>
      </w:r>
      <w:r>
        <w:rPr>
          <w:rFonts w:eastAsia="仿宋_GB2312"/>
          <w:color w:val="000000"/>
          <w:kern w:val="0"/>
          <w:sz w:val="32"/>
          <w:szCs w:val="32"/>
        </w:rPr>
        <w:t>情况</w:t>
      </w:r>
    </w:p>
    <w:p>
      <w:pPr>
        <w:spacing w:line="620" w:lineRule="exact"/>
        <w:ind w:firstLine="640" w:firstLineChars="200"/>
        <w:rPr>
          <w:rFonts w:hint="eastAsia" w:eastAsia="仿宋_GB2312"/>
          <w:color w:val="000000"/>
          <w:kern w:val="0"/>
          <w:sz w:val="32"/>
          <w:szCs w:val="32"/>
          <w:highlight w:val="none"/>
        </w:rPr>
      </w:pPr>
      <w:r>
        <w:rPr>
          <w:rFonts w:hint="eastAsia" w:eastAsia="仿宋_GB2312"/>
          <w:color w:val="000000"/>
          <w:kern w:val="0"/>
          <w:sz w:val="32"/>
          <w:szCs w:val="32"/>
          <w:highlight w:val="none"/>
          <w:lang w:val="en-US" w:eastAsia="zh-CN"/>
        </w:rPr>
        <w:t>2021年财政预算安排专项资金572万元，预计</w:t>
      </w:r>
      <w:r>
        <w:rPr>
          <w:rFonts w:hint="eastAsia" w:eastAsia="仿宋_GB2312"/>
          <w:color w:val="000000"/>
          <w:kern w:val="0"/>
          <w:sz w:val="32"/>
          <w:szCs w:val="32"/>
          <w:highlight w:val="none"/>
        </w:rPr>
        <w:t>全区的水稻生产机耕率</w:t>
      </w:r>
      <w:r>
        <w:rPr>
          <w:rFonts w:eastAsia="仿宋_GB2312"/>
          <w:color w:val="000000"/>
          <w:kern w:val="0"/>
          <w:sz w:val="32"/>
          <w:szCs w:val="32"/>
          <w:highlight w:val="none"/>
        </w:rPr>
        <w:t>99.</w:t>
      </w:r>
      <w:r>
        <w:rPr>
          <w:rFonts w:hint="eastAsia" w:eastAsia="仿宋_GB2312"/>
          <w:color w:val="000000"/>
          <w:kern w:val="0"/>
          <w:sz w:val="32"/>
          <w:szCs w:val="32"/>
          <w:highlight w:val="none"/>
          <w:lang w:val="en-US" w:eastAsia="zh-CN"/>
        </w:rPr>
        <w:t>8</w:t>
      </w:r>
      <w:r>
        <w:rPr>
          <w:rFonts w:eastAsia="仿宋_GB2312"/>
          <w:color w:val="000000"/>
          <w:kern w:val="0"/>
          <w:sz w:val="32"/>
          <w:szCs w:val="32"/>
          <w:highlight w:val="none"/>
        </w:rPr>
        <w:t>%</w:t>
      </w:r>
      <w:r>
        <w:rPr>
          <w:rFonts w:hint="eastAsia" w:eastAsia="仿宋_GB2312"/>
          <w:color w:val="000000"/>
          <w:kern w:val="0"/>
          <w:sz w:val="32"/>
          <w:szCs w:val="32"/>
          <w:highlight w:val="none"/>
        </w:rPr>
        <w:t>，机插率</w:t>
      </w:r>
      <w:r>
        <w:rPr>
          <w:rFonts w:hint="eastAsia" w:eastAsia="仿宋_GB2312"/>
          <w:color w:val="000000"/>
          <w:kern w:val="0"/>
          <w:sz w:val="32"/>
          <w:szCs w:val="32"/>
          <w:highlight w:val="none"/>
          <w:lang w:val="en-US" w:eastAsia="zh-CN"/>
        </w:rPr>
        <w:t>48.3</w:t>
      </w:r>
      <w:r>
        <w:rPr>
          <w:rFonts w:eastAsia="仿宋_GB2312"/>
          <w:color w:val="000000"/>
          <w:kern w:val="0"/>
          <w:sz w:val="32"/>
          <w:szCs w:val="32"/>
          <w:highlight w:val="none"/>
        </w:rPr>
        <w:t>%</w:t>
      </w:r>
      <w:r>
        <w:rPr>
          <w:rFonts w:hint="eastAsia" w:eastAsia="仿宋_GB2312"/>
          <w:color w:val="000000"/>
          <w:kern w:val="0"/>
          <w:sz w:val="32"/>
          <w:szCs w:val="32"/>
          <w:highlight w:val="none"/>
        </w:rPr>
        <w:t>，机收率</w:t>
      </w:r>
      <w:r>
        <w:rPr>
          <w:rFonts w:hint="eastAsia" w:eastAsia="仿宋_GB2312"/>
          <w:color w:val="000000"/>
          <w:kern w:val="0"/>
          <w:sz w:val="32"/>
          <w:szCs w:val="32"/>
          <w:highlight w:val="none"/>
          <w:lang w:val="en-US" w:eastAsia="zh-CN"/>
        </w:rPr>
        <w:t>80.6</w:t>
      </w:r>
      <w:r>
        <w:rPr>
          <w:rFonts w:eastAsia="仿宋_GB2312"/>
          <w:color w:val="000000"/>
          <w:kern w:val="0"/>
          <w:sz w:val="32"/>
          <w:szCs w:val="32"/>
          <w:highlight w:val="none"/>
        </w:rPr>
        <w:t>%</w:t>
      </w:r>
      <w:r>
        <w:rPr>
          <w:rFonts w:hint="eastAsia" w:eastAsia="仿宋_GB2312"/>
          <w:color w:val="000000"/>
          <w:kern w:val="0"/>
          <w:sz w:val="32"/>
          <w:szCs w:val="32"/>
          <w:highlight w:val="none"/>
        </w:rPr>
        <w:t>，水稻生产综合机械率</w:t>
      </w:r>
      <w:r>
        <w:rPr>
          <w:rFonts w:hint="eastAsia" w:eastAsia="仿宋_GB2312"/>
          <w:color w:val="000000"/>
          <w:kern w:val="0"/>
          <w:sz w:val="32"/>
          <w:szCs w:val="32"/>
          <w:highlight w:val="none"/>
          <w:lang w:val="en-US" w:eastAsia="zh-CN"/>
        </w:rPr>
        <w:t>78.6</w:t>
      </w:r>
      <w:r>
        <w:rPr>
          <w:rFonts w:eastAsia="仿宋_GB2312"/>
          <w:color w:val="000000"/>
          <w:kern w:val="0"/>
          <w:sz w:val="32"/>
          <w:szCs w:val="32"/>
          <w:highlight w:val="none"/>
        </w:rPr>
        <w:t xml:space="preserve"> %</w:t>
      </w:r>
      <w:r>
        <w:rPr>
          <w:rFonts w:hint="eastAsia" w:eastAsia="仿宋_GB2312"/>
          <w:color w:val="000000"/>
          <w:kern w:val="0"/>
          <w:sz w:val="32"/>
          <w:szCs w:val="32"/>
          <w:highlight w:val="none"/>
        </w:rPr>
        <w:t>，示范基地的机械化率全部达</w:t>
      </w:r>
      <w:r>
        <w:rPr>
          <w:rFonts w:eastAsia="仿宋_GB2312"/>
          <w:color w:val="000000"/>
          <w:kern w:val="0"/>
          <w:sz w:val="32"/>
          <w:szCs w:val="32"/>
          <w:highlight w:val="none"/>
        </w:rPr>
        <w:t>100%</w:t>
      </w:r>
      <w:r>
        <w:rPr>
          <w:rFonts w:hint="eastAsia" w:eastAsia="仿宋_GB2312"/>
          <w:color w:val="000000"/>
          <w:kern w:val="0"/>
          <w:sz w:val="32"/>
          <w:szCs w:val="32"/>
          <w:highlight w:val="none"/>
          <w:lang w:val="en-US" w:eastAsia="zh-CN"/>
        </w:rPr>
        <w:t>并</w:t>
      </w:r>
      <w:r>
        <w:rPr>
          <w:rFonts w:hint="eastAsia" w:eastAsia="仿宋_GB2312"/>
          <w:color w:val="000000"/>
          <w:kern w:val="0"/>
          <w:sz w:val="32"/>
          <w:szCs w:val="32"/>
          <w:highlight w:val="none"/>
        </w:rPr>
        <w:t>取得良好</w:t>
      </w:r>
      <w:r>
        <w:rPr>
          <w:rFonts w:hint="eastAsia" w:eastAsia="仿宋_GB2312"/>
          <w:color w:val="000000"/>
          <w:kern w:val="0"/>
          <w:sz w:val="32"/>
          <w:szCs w:val="32"/>
          <w:highlight w:val="none"/>
          <w:lang w:val="en-US" w:eastAsia="zh-CN"/>
        </w:rPr>
        <w:t>的</w:t>
      </w:r>
      <w:r>
        <w:rPr>
          <w:rFonts w:hint="eastAsia" w:eastAsia="仿宋_GB2312"/>
          <w:color w:val="000000"/>
          <w:kern w:val="0"/>
          <w:sz w:val="32"/>
          <w:szCs w:val="32"/>
          <w:highlight w:val="none"/>
        </w:rPr>
        <w:t>社会效应</w:t>
      </w:r>
      <w:r>
        <w:rPr>
          <w:rFonts w:hint="eastAsia" w:eastAsia="仿宋_GB2312"/>
          <w:color w:val="000000"/>
          <w:kern w:val="0"/>
          <w:sz w:val="32"/>
          <w:szCs w:val="32"/>
          <w:highlight w:val="none"/>
          <w:lang w:val="en-US" w:eastAsia="zh-CN"/>
        </w:rPr>
        <w:t>。</w:t>
      </w:r>
    </w:p>
    <w:p>
      <w:pPr>
        <w:spacing w:line="620" w:lineRule="exact"/>
        <w:ind w:firstLine="640" w:firstLineChars="200"/>
        <w:rPr>
          <w:rFonts w:ascii="黑体" w:eastAsia="黑体"/>
          <w:color w:val="000000"/>
          <w:kern w:val="0"/>
          <w:sz w:val="32"/>
          <w:szCs w:val="32"/>
          <w:highlight w:val="none"/>
        </w:rPr>
      </w:pPr>
      <w:r>
        <w:rPr>
          <w:rFonts w:hint="eastAsia" w:ascii="黑体" w:eastAsia="黑体"/>
          <w:color w:val="000000"/>
          <w:kern w:val="0"/>
          <w:sz w:val="32"/>
          <w:szCs w:val="32"/>
          <w:highlight w:val="none"/>
        </w:rPr>
        <w:t>二、项目组织实施情况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（一）项目组织情况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lang w:val="en-US" w:eastAsia="zh-CN"/>
        </w:rPr>
        <w:t>严格制定项目实施方案，</w:t>
      </w:r>
      <w:r>
        <w:rPr>
          <w:rFonts w:hint="eastAsia" w:eastAsia="仿宋_GB2312"/>
          <w:color w:val="000000"/>
          <w:kern w:val="0"/>
          <w:sz w:val="32"/>
          <w:szCs w:val="32"/>
        </w:rPr>
        <w:t>实行</w:t>
      </w:r>
      <w:r>
        <w:rPr>
          <w:rFonts w:hint="eastAsia" w:eastAsia="仿宋_GB2312"/>
          <w:color w:val="000000"/>
          <w:kern w:val="0"/>
          <w:sz w:val="32"/>
          <w:szCs w:val="32"/>
          <w:lang w:val="en-US" w:eastAsia="zh-CN"/>
        </w:rPr>
        <w:t>项目</w:t>
      </w:r>
      <w:r>
        <w:rPr>
          <w:rFonts w:hint="eastAsia" w:eastAsia="仿宋_GB2312"/>
          <w:color w:val="000000"/>
          <w:kern w:val="0"/>
          <w:sz w:val="32"/>
          <w:szCs w:val="32"/>
        </w:rPr>
        <w:t>目标管理考核责任制。</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（二）项目管理情况</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实行专项资金管理，严格按照专项资金管理制度和财政国库集中支付规定办理各项业务的报账核算。</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（一）项目资金（包括财政资金、自筹资金等）</w:t>
      </w:r>
    </w:p>
    <w:p>
      <w:pPr>
        <w:spacing w:line="620" w:lineRule="exact"/>
        <w:ind w:firstLine="640" w:firstLineChars="200"/>
        <w:rPr>
          <w:rFonts w:hint="eastAsia" w:eastAsia="仿宋_GB2312"/>
          <w:color w:val="000000"/>
          <w:kern w:val="0"/>
          <w:sz w:val="32"/>
          <w:szCs w:val="32"/>
          <w:highlight w:val="none"/>
          <w:lang w:val="en-US" w:eastAsia="zh-CN"/>
        </w:rPr>
      </w:pPr>
      <w:r>
        <w:rPr>
          <w:rFonts w:hint="eastAsia" w:eastAsia="仿宋_GB2312"/>
          <w:color w:val="000000"/>
          <w:kern w:val="0"/>
          <w:sz w:val="32"/>
          <w:szCs w:val="32"/>
          <w:highlight w:val="none"/>
          <w:lang w:val="en-US" w:eastAsia="zh-CN"/>
        </w:rPr>
        <w:t>2021年预算安排专项资金572万元，实际使用资金572万元。</w:t>
      </w:r>
    </w:p>
    <w:p>
      <w:pPr>
        <w:numPr>
          <w:ilvl w:val="0"/>
          <w:numId w:val="1"/>
        </w:numPr>
        <w:spacing w:line="620" w:lineRule="exact"/>
        <w:ind w:firstLine="640" w:firstLineChars="200"/>
        <w:rPr>
          <w:rFonts w:hint="eastAsia" w:eastAsia="仿宋_GB2312"/>
          <w:color w:val="000000"/>
          <w:kern w:val="0"/>
          <w:sz w:val="32"/>
          <w:szCs w:val="32"/>
          <w:highlight w:val="none"/>
        </w:rPr>
      </w:pPr>
      <w:r>
        <w:rPr>
          <w:rFonts w:hint="eastAsia" w:eastAsia="仿宋_GB2312"/>
          <w:color w:val="000000"/>
          <w:kern w:val="0"/>
          <w:sz w:val="32"/>
          <w:szCs w:val="32"/>
          <w:highlight w:val="none"/>
        </w:rPr>
        <w:t>项目资金（主要是指财政资金）实际使用情况</w:t>
      </w:r>
    </w:p>
    <w:p>
      <w:pPr>
        <w:numPr>
          <w:ilvl w:val="0"/>
          <w:numId w:val="0"/>
        </w:numPr>
        <w:spacing w:line="620" w:lineRule="exact"/>
        <w:ind w:firstLine="640" w:firstLineChars="200"/>
        <w:rPr>
          <w:rFonts w:eastAsia="仿宋_GB2312"/>
          <w:color w:val="000000"/>
          <w:kern w:val="0"/>
          <w:sz w:val="32"/>
          <w:szCs w:val="32"/>
          <w:highlight w:val="none"/>
        </w:rPr>
      </w:pPr>
      <w:r>
        <w:rPr>
          <w:rFonts w:hint="eastAsia" w:eastAsia="仿宋_GB2312"/>
          <w:color w:val="000000"/>
          <w:kern w:val="0"/>
          <w:sz w:val="32"/>
          <w:szCs w:val="32"/>
          <w:highlight w:val="none"/>
          <w:lang w:val="en-US" w:eastAsia="zh-CN"/>
        </w:rPr>
        <w:t>2021年实际使用专项资金572万元（其中农机购置补贴专项资金557万元、农机化发展资金15万元、）</w:t>
      </w:r>
      <w:r>
        <w:rPr>
          <w:rFonts w:hint="eastAsia" w:eastAsia="仿宋_GB2312"/>
          <w:color w:val="000000"/>
          <w:kern w:val="0"/>
          <w:sz w:val="32"/>
          <w:szCs w:val="32"/>
          <w:highlight w:val="none"/>
        </w:rPr>
        <w:t>。</w:t>
      </w:r>
    </w:p>
    <w:p>
      <w:pPr>
        <w:numPr>
          <w:ilvl w:val="0"/>
          <w:numId w:val="1"/>
        </w:numPr>
        <w:spacing w:line="620" w:lineRule="exact"/>
        <w:ind w:left="0" w:leftChars="0" w:firstLine="640" w:firstLineChars="200"/>
        <w:rPr>
          <w:rFonts w:hint="eastAsia" w:eastAsia="仿宋_GB2312"/>
          <w:color w:val="000000"/>
          <w:kern w:val="0"/>
          <w:sz w:val="32"/>
          <w:szCs w:val="32"/>
        </w:rPr>
      </w:pPr>
      <w:r>
        <w:rPr>
          <w:rFonts w:hint="eastAsia" w:eastAsia="仿宋_GB2312"/>
          <w:color w:val="000000"/>
          <w:kern w:val="0"/>
          <w:sz w:val="32"/>
          <w:szCs w:val="32"/>
        </w:rPr>
        <w:t>项目资金管理情况分析，主要包括管理制度、办法的制订及执行情况</w:t>
      </w:r>
    </w:p>
    <w:p>
      <w:pPr>
        <w:numPr>
          <w:ilvl w:val="0"/>
          <w:numId w:val="0"/>
        </w:num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lang w:val="en-US" w:eastAsia="zh-CN"/>
        </w:rPr>
        <w:t>根据《湖南省2021-2023年农业机械购置补贴实施方案》湘农联【2021】54号等相关文件精神，我们制定了相应的专项资金使用办法，强化资金管理，确保各类专项资金规范使用、及时结算，杜绝挤占、挪用、滞留，确保资金使用规范、安全、有效。</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（一）产出指标完成情况分析</w:t>
      </w:r>
    </w:p>
    <w:p>
      <w:pPr>
        <w:spacing w:line="54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今年完成农机购置补贴机具1685台、受益农户1404户；2021年一家合作社成功申报了湖南省现代农机合作社。</w:t>
      </w:r>
    </w:p>
    <w:p>
      <w:pPr>
        <w:numPr>
          <w:ilvl w:val="0"/>
          <w:numId w:val="2"/>
        </w:numPr>
        <w:spacing w:line="5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效益指标完成情况分析</w:t>
      </w:r>
    </w:p>
    <w:p>
      <w:pPr>
        <w:numPr>
          <w:ilvl w:val="0"/>
          <w:numId w:val="0"/>
        </w:numPr>
        <w:spacing w:line="5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全区的水稻生产机耕率99.</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%，机插</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抛）</w:t>
      </w:r>
      <w:r>
        <w:rPr>
          <w:rFonts w:hint="eastAsia" w:ascii="仿宋_GB2312" w:eastAsia="仿宋_GB2312"/>
          <w:sz w:val="32"/>
          <w:szCs w:val="32"/>
          <w:highlight w:val="none"/>
        </w:rPr>
        <w:t>率</w:t>
      </w:r>
      <w:r>
        <w:rPr>
          <w:rFonts w:hint="eastAsia" w:ascii="仿宋_GB2312" w:eastAsia="仿宋_GB2312"/>
          <w:sz w:val="32"/>
          <w:szCs w:val="32"/>
          <w:highlight w:val="none"/>
          <w:lang w:val="en-US" w:eastAsia="zh-CN"/>
        </w:rPr>
        <w:t>48.3</w:t>
      </w:r>
      <w:r>
        <w:rPr>
          <w:rFonts w:hint="eastAsia" w:ascii="仿宋_GB2312" w:eastAsia="仿宋_GB2312"/>
          <w:sz w:val="32"/>
          <w:szCs w:val="32"/>
          <w:highlight w:val="none"/>
        </w:rPr>
        <w:t>%，机收率</w:t>
      </w:r>
      <w:r>
        <w:rPr>
          <w:rFonts w:hint="eastAsia" w:ascii="仿宋_GB2312" w:eastAsia="仿宋_GB2312"/>
          <w:sz w:val="32"/>
          <w:szCs w:val="32"/>
          <w:highlight w:val="none"/>
          <w:lang w:val="en-US" w:eastAsia="zh-CN"/>
        </w:rPr>
        <w:t>80.6</w:t>
      </w:r>
      <w:r>
        <w:rPr>
          <w:rFonts w:hint="eastAsia" w:ascii="仿宋_GB2312" w:eastAsia="仿宋_GB2312"/>
          <w:sz w:val="32"/>
          <w:szCs w:val="32"/>
          <w:highlight w:val="none"/>
        </w:rPr>
        <w:t>%，水稻生产综合机械率</w:t>
      </w:r>
      <w:r>
        <w:rPr>
          <w:rFonts w:hint="eastAsia" w:ascii="仿宋_GB2312" w:eastAsia="仿宋_GB2312"/>
          <w:sz w:val="32"/>
          <w:szCs w:val="32"/>
          <w:highlight w:val="none"/>
          <w:lang w:val="en-US" w:eastAsia="zh-CN"/>
        </w:rPr>
        <w:t>78.6</w:t>
      </w:r>
      <w:r>
        <w:rPr>
          <w:rFonts w:hint="eastAsia" w:ascii="仿宋_GB2312" w:eastAsia="仿宋_GB2312"/>
          <w:sz w:val="32"/>
          <w:szCs w:val="32"/>
          <w:highlight w:val="none"/>
        </w:rPr>
        <w:t>%，示范基地的机械化率全部达100。</w:t>
      </w:r>
      <w:r>
        <w:rPr>
          <w:rFonts w:hint="eastAsia" w:ascii="仿宋_GB2312" w:eastAsia="仿宋_GB2312"/>
          <w:sz w:val="32"/>
          <w:szCs w:val="32"/>
          <w:highlight w:val="none"/>
          <w:lang w:val="en-US" w:eastAsia="zh-CN"/>
        </w:rPr>
        <w:t xml:space="preserve">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（三）满意度指标完成情况分析</w:t>
      </w:r>
    </w:p>
    <w:p>
      <w:pPr>
        <w:spacing w:line="54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达到了年初预定的目标，取得了良好社会效应，</w:t>
      </w:r>
      <w:r>
        <w:rPr>
          <w:rFonts w:hint="eastAsia" w:eastAsia="仿宋_GB2312"/>
          <w:color w:val="000000"/>
          <w:kern w:val="0"/>
          <w:sz w:val="32"/>
          <w:szCs w:val="32"/>
          <w:lang w:val="en-US" w:eastAsia="zh-CN"/>
        </w:rPr>
        <w:t xml:space="preserve"> 得到了广大农户的一致好评，极大</w:t>
      </w:r>
      <w:r>
        <w:rPr>
          <w:rFonts w:hint="eastAsia" w:eastAsia="仿宋_GB2312"/>
          <w:color w:val="000000"/>
          <w:kern w:val="0"/>
          <w:sz w:val="32"/>
          <w:szCs w:val="32"/>
        </w:rPr>
        <w:t>促进了全区农业机械的应用与推广。</w:t>
      </w:r>
    </w:p>
    <w:p>
      <w:pPr>
        <w:numPr>
          <w:ilvl w:val="0"/>
          <w:numId w:val="3"/>
        </w:numPr>
        <w:spacing w:line="54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绩效目标未完成原因和下一步改进措施</w:t>
      </w:r>
    </w:p>
    <w:p>
      <w:pPr>
        <w:spacing w:line="540" w:lineRule="exact"/>
        <w:ind w:firstLine="640" w:firstLineChars="200"/>
        <w:rPr>
          <w:rFonts w:hint="eastAsia" w:eastAsia="仿宋_GB2312"/>
          <w:color w:val="000000"/>
          <w:kern w:val="0"/>
          <w:sz w:val="32"/>
          <w:szCs w:val="32"/>
        </w:rPr>
      </w:pPr>
      <w:r>
        <w:rPr>
          <w:rFonts w:hint="eastAsia" w:eastAsia="仿宋_GB2312"/>
          <w:color w:val="000000"/>
          <w:kern w:val="0"/>
          <w:sz w:val="32"/>
          <w:szCs w:val="32"/>
          <w:lang w:val="en-US" w:eastAsia="zh-CN"/>
        </w:rPr>
        <w:t>达到了年初预定的目标。</w:t>
      </w:r>
    </w:p>
    <w:p>
      <w:pPr>
        <w:numPr>
          <w:ilvl w:val="0"/>
          <w:numId w:val="3"/>
        </w:numPr>
        <w:spacing w:line="54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绩效自评得分等级结果及拟应用和公开情况</w:t>
      </w:r>
    </w:p>
    <w:p>
      <w:pPr>
        <w:spacing w:line="54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自评为“优秀”，得分</w:t>
      </w:r>
      <w:r>
        <w:rPr>
          <w:rFonts w:hint="eastAsia" w:eastAsia="仿宋_GB2312"/>
          <w:color w:val="000000"/>
          <w:kern w:val="0"/>
          <w:sz w:val="32"/>
          <w:szCs w:val="32"/>
          <w:highlight w:val="none"/>
          <w:lang w:val="en-US" w:eastAsia="zh-CN"/>
        </w:rPr>
        <w:t>为97分</w:t>
      </w:r>
      <w:r>
        <w:rPr>
          <w:rFonts w:hint="eastAsia" w:eastAsia="仿宋_GB2312"/>
          <w:color w:val="000000"/>
          <w:kern w:val="0"/>
          <w:sz w:val="32"/>
          <w:szCs w:val="32"/>
          <w:lang w:val="en-US" w:eastAsia="zh-CN"/>
        </w:rPr>
        <w:t>，按要求公开。</w:t>
      </w:r>
    </w:p>
    <w:p>
      <w:pPr>
        <w:numPr>
          <w:ilvl w:val="0"/>
          <w:numId w:val="3"/>
        </w:numPr>
        <w:spacing w:line="600" w:lineRule="exact"/>
        <w:ind w:left="0" w:leftChars="0"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sz w:val="32"/>
          <w:szCs w:val="32"/>
        </w:rPr>
        <w:t>绩效自评工作的经验、问题和建议。</w:t>
      </w:r>
      <w:r>
        <w:rPr>
          <w:rFonts w:hint="eastAsia" w:ascii="黑体" w:hAnsi="黑体" w:eastAsia="黑体" w:cs="黑体"/>
          <w:b w:val="0"/>
          <w:bCs w:val="0"/>
          <w:color w:val="000000"/>
          <w:kern w:val="0"/>
          <w:sz w:val="32"/>
          <w:szCs w:val="32"/>
        </w:rPr>
        <w:t>主要包括资金安排、使用过程中的经验、做法、存在的问题、改进措施和有关建议等。</w:t>
      </w:r>
    </w:p>
    <w:p>
      <w:pPr>
        <w:spacing w:line="54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一是农机具严重老化。目前农民生产中使用的柴油机、耕整机等农业机械60%以上的机械已经老化，难以正常发挥使用效率，对提高机械化作业水平有一定的影响。</w:t>
      </w:r>
    </w:p>
    <w:p>
      <w:pPr>
        <w:spacing w:line="54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二是基础设施薄弱。农村田园化面积少，标准化的机耕道不多，农民种植水稻品种不一，农机作业环境不佳。农机作业用油价格过高，农机操作手和农机拥有者没有享受到国家的燃油补贴，农民增产难以增收。同时，也影响了农民购机用机的积极性。</w:t>
      </w:r>
    </w:p>
    <w:p>
      <w:pPr>
        <w:spacing w:line="54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三是农机化资金投入不足。目前，各级财政对农机化的投入主要集中体现在农机购置补贴上，而购机补贴资金远远不能满足农民发展农机化的需要，受农机化发展经费的制约，现实中还有很多适合丘陵山区特色的农机化新技术、新机具难以引进和推广。</w:t>
      </w:r>
    </w:p>
    <w:p>
      <w:pPr>
        <w:spacing w:line="620" w:lineRule="exact"/>
        <w:ind w:firstLine="643" w:firstLineChars="200"/>
        <w:rPr>
          <w:rFonts w:hint="eastAsia" w:ascii="黑体" w:hAnsi="黑体" w:eastAsia="黑体" w:cs="黑体"/>
          <w:b/>
          <w:bCs/>
          <w:color w:val="000000"/>
          <w:kern w:val="0"/>
          <w:sz w:val="32"/>
          <w:szCs w:val="32"/>
        </w:rPr>
      </w:pPr>
    </w:p>
    <w:p>
      <w:pPr>
        <w:numPr>
          <w:ilvl w:val="0"/>
          <w:numId w:val="3"/>
        </w:numPr>
        <w:spacing w:line="360" w:lineRule="auto"/>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其他需说明的问题</w:t>
      </w:r>
    </w:p>
    <w:p>
      <w:pPr>
        <w:spacing w:line="54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加大资金投入，确保新型农机具得到推广和应用，确保我区粮食生产安全。</w:t>
      </w:r>
    </w:p>
    <w:p>
      <w:pPr>
        <w:rPr>
          <w:rFonts w:hint="eastAsia" w:ascii="仿宋_GB2312" w:hAnsi="仿宋_GB2312" w:eastAsia="仿宋_GB2312" w:cs="仿宋_GB2312"/>
          <w:bCs/>
          <w:kern w:val="0"/>
          <w:sz w:val="32"/>
          <w:szCs w:val="32"/>
        </w:rPr>
      </w:pPr>
      <w:r>
        <w:rPr>
          <w:rFonts w:hint="eastAsia"/>
          <w:lang w:val="en-US" w:eastAsia="zh-CN"/>
        </w:rPr>
        <w:t xml:space="preserve"> </w:t>
      </w: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2020</w:t>
      </w:r>
      <w:r>
        <w:rPr>
          <w:rFonts w:hint="eastAsia" w:ascii="方正小标宋简体" w:hAnsi="方正小标宋简体" w:eastAsia="方正小标宋简体" w:cs="方正小标宋简体"/>
          <w:kern w:val="0"/>
          <w:sz w:val="36"/>
          <w:szCs w:val="36"/>
        </w:rPr>
        <w:t>年度财政专项（项目）资金绩效评价表</w:t>
      </w:r>
    </w:p>
    <w:p>
      <w:pPr>
        <w:widowControl/>
        <w:ind w:left="93"/>
        <w:jc w:val="center"/>
        <w:rPr>
          <w:rFonts w:hint="eastAsia" w:ascii="方正小标宋简体" w:hAnsi="方正小标宋简体" w:eastAsia="方正小标宋简体" w:cs="方正小标宋简体"/>
          <w:kern w:val="0"/>
          <w:sz w:val="36"/>
          <w:szCs w:val="36"/>
        </w:rPr>
      </w:pP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vAlign w:val="top"/>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spacing w:line="280" w:lineRule="exact"/>
              <w:rPr>
                <w:rFonts w:hint="default" w:ascii="宋体" w:eastAsia="宋体"/>
                <w:color w:val="000000"/>
                <w:kern w:val="0"/>
                <w:sz w:val="24"/>
                <w:lang w:val="en-US" w:eastAsia="zh-CN"/>
              </w:rPr>
            </w:pPr>
            <w:r>
              <w:rPr>
                <w:rFonts w:hint="eastAsia" w:ascii="宋体"/>
                <w:color w:val="000000"/>
                <w:kern w:val="0"/>
                <w:sz w:val="24"/>
                <w:lang w:val="en-US" w:eastAsia="zh-CN"/>
              </w:rPr>
              <w:t>1</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vAlign w:val="top"/>
          </w:tcPr>
          <w:p>
            <w:pPr>
              <w:widowControl/>
              <w:jc w:val="left"/>
              <w:rPr>
                <w:rFonts w:hint="default"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olor w:val="000000"/>
                <w:kern w:val="0"/>
                <w:sz w:val="18"/>
                <w:szCs w:val="18"/>
                <w:lang w:eastAsia="zh-CN"/>
              </w:rPr>
            </w:pPr>
            <w:r>
              <w:rPr>
                <w:rFonts w:hint="eastAsia" w:ascii="仿宋_GB2312" w:hAnsi="宋体" w:eastAsia="仿宋_GB2312"/>
                <w:color w:val="000000"/>
                <w:kern w:val="0"/>
                <w:sz w:val="24"/>
                <w:szCs w:val="24"/>
                <w:lang w:eastAsia="zh-CN"/>
              </w:rPr>
              <w:t>合计得分</w:t>
            </w:r>
          </w:p>
        </w:tc>
        <w:tc>
          <w:tcPr>
            <w:tcW w:w="385" w:type="dxa"/>
            <w:tcBorders>
              <w:top w:val="single" w:color="auto" w:sz="4" w:space="0"/>
              <w:left w:val="single" w:color="auto" w:sz="4" w:space="0"/>
              <w:bottom w:val="single" w:color="auto" w:sz="4" w:space="0"/>
              <w:right w:val="single" w:color="auto" w:sz="4" w:space="0"/>
            </w:tcBorders>
            <w:vAlign w:val="top"/>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97</w:t>
            </w:r>
          </w:p>
        </w:tc>
      </w:tr>
    </w:tbl>
    <w:p>
      <w:pPr>
        <w:pStyle w:val="2"/>
        <w:rPr>
          <w:rFonts w:hint="eastAsia"/>
          <w:lang w:val="en-US"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C3C38"/>
    <w:multiLevelType w:val="singleLevel"/>
    <w:tmpl w:val="97DC3C38"/>
    <w:lvl w:ilvl="0" w:tentative="0">
      <w:start w:val="2"/>
      <w:numFmt w:val="chineseCounting"/>
      <w:suff w:val="nothing"/>
      <w:lvlText w:val="（%1）"/>
      <w:lvlJc w:val="left"/>
      <w:rPr>
        <w:rFonts w:hint="eastAsia"/>
      </w:rPr>
    </w:lvl>
  </w:abstractNum>
  <w:abstractNum w:abstractNumId="1">
    <w:nsid w:val="B26ADD3E"/>
    <w:multiLevelType w:val="singleLevel"/>
    <w:tmpl w:val="B26ADD3E"/>
    <w:lvl w:ilvl="0" w:tentative="0">
      <w:start w:val="5"/>
      <w:numFmt w:val="chineseCounting"/>
      <w:suff w:val="nothing"/>
      <w:lvlText w:val="%1、"/>
      <w:lvlJc w:val="left"/>
      <w:rPr>
        <w:rFonts w:hint="eastAsia" w:ascii="黑体" w:hAnsi="黑体" w:eastAsia="黑体" w:cs="黑体"/>
        <w:sz w:val="32"/>
        <w:szCs w:val="32"/>
      </w:rPr>
    </w:lvl>
  </w:abstractNum>
  <w:abstractNum w:abstractNumId="2">
    <w:nsid w:val="10880C10"/>
    <w:multiLevelType w:val="singleLevel"/>
    <w:tmpl w:val="10880C10"/>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NzcyNmU4NmRkMTZmMDM3ZWM5YzJkZjllNDVlYTEifQ=="/>
  </w:docVars>
  <w:rsids>
    <w:rsidRoot w:val="58ED0BAC"/>
    <w:rsid w:val="00337D19"/>
    <w:rsid w:val="1ED30B42"/>
    <w:rsid w:val="2E8719A2"/>
    <w:rsid w:val="3980686B"/>
    <w:rsid w:val="3D7C47FE"/>
    <w:rsid w:val="4B52260C"/>
    <w:rsid w:val="58ED0BAC"/>
    <w:rsid w:val="657F7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hint="default"/>
      <w:sz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3690</Words>
  <Characters>3808</Characters>
  <Lines>0</Lines>
  <Paragraphs>0</Paragraphs>
  <TotalTime>31</TotalTime>
  <ScaleCrop>false</ScaleCrop>
  <LinksUpToDate>false</LinksUpToDate>
  <CharactersWithSpaces>3825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2022-08-18T08:51:00Z</dcterms:created>
  <dc:creator>俺是老实人1408404429</dc:creator>
  <cp:lastModifiedBy>俺是老实人1408404429</cp:lastModifiedBy>
  <cp:lastPrinted>2022-08-24T01:32:10Z</cp:lastPrinted>
  <dcterms:modified xsi:type="dcterms:W3CDTF">2022-08-24T01:38:02Z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E6025BB76C0C4D539D7C879E60C5B5B5</vt:lpwstr>
  </property>
</Properties>
</file>