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pPr>
      <w:r>
        <w:rPr>
          <w:rFonts w:ascii="宋体" w:hAnsi="宋体" w:eastAsia="宋体" w:cs="宋体"/>
          <w:color w:val="000000"/>
          <w:sz w:val="44"/>
          <w:szCs w:val="44"/>
        </w:rPr>
        <w:t>2021年度冷水滩区杨村甸乡政府部门决算</w:t>
      </w:r>
      <w:r>
        <w:rPr>
          <w:color w:val="000000"/>
        </w:rPr>
        <w:t xml:space="preserve"> </w:t>
      </w:r>
    </w:p>
    <w:p>
      <w:pPr>
        <w:spacing w:before="0" w:beforeAutospacing="0" w:after="2" w:afterAutospacing="0"/>
        <w:jc w:val="center"/>
        <w:rPr>
          <w:sz w:val="21"/>
          <w:szCs w:val="21"/>
        </w:rPr>
      </w:pPr>
      <w:r>
        <w:rPr>
          <w:color w:val="000000"/>
          <w:sz w:val="32"/>
          <w:szCs w:val="32"/>
        </w:rPr>
        <w:t> </w:t>
      </w:r>
      <w:r>
        <w:rPr>
          <w:color w:val="000000"/>
          <w:sz w:val="21"/>
          <w:szCs w:val="21"/>
        </w:rPr>
        <w:t xml:space="preserve"> </w:t>
      </w:r>
    </w:p>
    <w:p>
      <w:pPr>
        <w:spacing w:before="0" w:beforeAutospacing="0" w:after="2" w:afterAutospacing="0"/>
        <w:jc w:val="center"/>
        <w:rPr>
          <w:rFonts w:hint="eastAsia" w:ascii="宋体" w:hAnsi="宋体" w:eastAsia="宋体" w:cs="宋体"/>
          <w:sz w:val="21"/>
          <w:szCs w:val="21"/>
        </w:rPr>
      </w:pPr>
      <w:r>
        <w:rPr>
          <w:rFonts w:hint="eastAsia" w:ascii="宋体" w:hAnsi="宋体" w:eastAsia="宋体" w:cs="宋体"/>
          <w:color w:val="000000"/>
          <w:sz w:val="32"/>
          <w:szCs w:val="32"/>
        </w:rPr>
        <w:t>目 录</w:t>
      </w:r>
      <w:r>
        <w:rPr>
          <w:rFonts w:hint="eastAsia" w:ascii="宋体" w:hAnsi="宋体" w:eastAsia="宋体" w:cs="宋体"/>
          <w:color w:val="000000"/>
          <w:sz w:val="21"/>
          <w:szCs w:val="21"/>
        </w:rPr>
        <w:t xml:space="preserve"> </w:t>
      </w:r>
    </w:p>
    <w:p>
      <w:pPr>
        <w:spacing w:before="0" w:beforeAutospacing="0" w:after="2" w:afterAutospacing="0"/>
        <w:jc w:val="center"/>
        <w:rPr>
          <w:sz w:val="21"/>
          <w:szCs w:val="21"/>
        </w:rPr>
      </w:pP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第一部分 冷水滩区杨村甸乡政府概况</w:t>
      </w:r>
      <w:r>
        <w:rPr>
          <w:color w:val="000000"/>
          <w:sz w:val="27"/>
          <w:szCs w:val="27"/>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一、部门职责</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二、机构设置</w:t>
      </w:r>
      <w:r>
        <w:rPr>
          <w:color w:val="000000"/>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第二部分 2021年度部门决算表</w:t>
      </w:r>
      <w:r>
        <w:rPr>
          <w:color w:val="000000"/>
          <w:sz w:val="27"/>
          <w:szCs w:val="27"/>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一、收入支出决算总表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二、收入决算表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三、支出决算表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四、财政拨款收入支出决算总表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五、一般公共预算财政拨款支出决算表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六、一般公共预算财政拨款基本支出决算明细表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七、一般公共预算财政拨款“三公”经费支出决算表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八、政府性基金预算财政拨款收入支出决算表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九、国有资本经营预算财政拨款支出决算表</w:t>
      </w:r>
      <w:r>
        <w:rPr>
          <w:color w:val="000000"/>
        </w:rPr>
        <w:t xml:space="preserve"> </w:t>
      </w:r>
    </w:p>
    <w:p>
      <w:pPr>
        <w:pStyle w:val="14"/>
        <w:spacing w:before="0" w:beforeAutospacing="0" w:after="2" w:afterAutospacing="0"/>
        <w:ind w:left="0" w:firstLine="700"/>
      </w:pPr>
      <w:r>
        <w:rPr>
          <w:rFonts w:hint="eastAsia" w:ascii="宋体" w:hAnsi="宋体" w:eastAsia="宋体" w:cs="宋体"/>
          <w:b/>
          <w:bCs/>
          <w:color w:val="000000"/>
          <w:sz w:val="32"/>
          <w:szCs w:val="32"/>
        </w:rPr>
        <w:t>第三部分 2021年度部门决算情况说明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一、收入支出决算总体情况说明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二、收入决算情况说明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三、支出决算情况说明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四、财政拨款收入支出决算总体情况说明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五、一般公共预算财政拨款支出决算情况说明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六、一般公共预算财政拨款基本支出决算情况说明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七、一般公共预算财政拨款三公经费支出决算情况说明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八、政府性基金预算收入支出决算情况</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九、关于机关运行经费支出说明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十、一般性支出情况</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十一、关于政府采购支出说明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十二、关于国有资产占用情况说明</w:t>
      </w:r>
      <w:r>
        <w:rPr>
          <w:color w:val="000000"/>
        </w:rPr>
        <w:t xml:space="preserve"> </w:t>
      </w:r>
    </w:p>
    <w:p>
      <w:pPr>
        <w:pStyle w:val="14"/>
        <w:spacing w:before="0" w:beforeAutospacing="0" w:after="2" w:afterAutospacing="0"/>
        <w:ind w:left="0" w:firstLine="700"/>
      </w:pPr>
      <w:r>
        <w:rPr>
          <w:rFonts w:hint="eastAsia" w:ascii="宋体" w:hAnsi="宋体" w:eastAsia="宋体" w:cs="宋体"/>
          <w:color w:val="000000"/>
          <w:sz w:val="28"/>
          <w:szCs w:val="28"/>
        </w:rPr>
        <w:t>十三、关于2021年度预算绩效情况的说明</w:t>
      </w:r>
      <w:r>
        <w:rPr>
          <w:color w:val="000000"/>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第四部分 名词解释</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第五部分 附件</w:t>
      </w:r>
      <w:r>
        <w:rPr>
          <w:color w:val="000000"/>
          <w:sz w:val="27"/>
          <w:szCs w:val="27"/>
        </w:rPr>
        <w:t xml:space="preserve"> </w:t>
      </w:r>
    </w:p>
    <w:p/>
    <w:p/>
    <w:p/>
    <w:p/>
    <w:p/>
    <w:p>
      <w:pPr>
        <w:spacing w:before="0" w:beforeAutospacing="0" w:after="2" w:afterAutospacing="0" w:line="600" w:lineRule="atLeast"/>
        <w:ind w:left="0" w:right="0"/>
        <w:jc w:val="center"/>
        <w:rPr>
          <w:sz w:val="21"/>
          <w:szCs w:val="21"/>
        </w:rPr>
      </w:pPr>
      <w:r>
        <w:rPr>
          <w:rFonts w:hint="eastAsia" w:ascii="宋体" w:hAnsi="宋体" w:eastAsia="宋体" w:cs="宋体"/>
          <w:b/>
          <w:bCs/>
          <w:color w:val="000000"/>
          <w:sz w:val="36"/>
          <w:szCs w:val="36"/>
        </w:rPr>
        <w:t>第一部分 冷水滩区杨村甸乡政府概况</w:t>
      </w:r>
      <w:r>
        <w:rPr>
          <w:b/>
          <w:bCs/>
          <w:color w:val="000000"/>
          <w:sz w:val="21"/>
          <w:szCs w:val="21"/>
        </w:rPr>
        <w:t xml:space="preserve"> </w:t>
      </w:r>
    </w:p>
    <w:p>
      <w:pPr>
        <w:pStyle w:val="9"/>
        <w:keepNext w:val="0"/>
        <w:keepLines w:val="0"/>
        <w:widowControl/>
        <w:suppressLineNumbers w:val="0"/>
        <w:spacing w:before="0" w:beforeAutospacing="0" w:after="2" w:afterAutospacing="0"/>
      </w:pPr>
    </w:p>
    <w:p>
      <w:pPr>
        <w:pStyle w:val="9"/>
        <w:keepNext w:val="0"/>
        <w:keepLines w:val="0"/>
        <w:widowControl/>
        <w:suppressLineNumbers w:val="0"/>
        <w:spacing w:before="0" w:beforeAutospacing="0" w:after="2" w:afterAutospacing="0"/>
        <w:ind w:left="0" w:right="0" w:firstLine="0"/>
      </w:pPr>
      <w:r>
        <w:rPr>
          <w:rFonts w:hint="eastAsia" w:ascii="黑体" w:hAnsi="宋体" w:eastAsia="黑体" w:cs="黑体"/>
          <w:color w:val="000000"/>
          <w:sz w:val="32"/>
          <w:szCs w:val="32"/>
        </w:rPr>
        <w:t> </w:t>
      </w:r>
      <w:r>
        <w:rPr>
          <w:color w:val="000000"/>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一、部门职责</w:t>
      </w:r>
      <w:r>
        <w:rPr>
          <w:color w:val="000000"/>
          <w:sz w:val="27"/>
          <w:szCs w:val="27"/>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（一）搞好基层组织建设。</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二）搞好农业农村工作：完成社会主义新农村建设任务（包括农村环境治理、山塘维修、村级道路建设、改厕改水等）；退耕还林工作；农业产业结构调整；林权改革工作；疾病防疫工作；防汛、抗旱工作；粮食生产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（三）森林防火工作。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（四）计划生育工作。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（五）社会稳定工作。</w:t>
      </w:r>
      <w:r>
        <w:rPr>
          <w:color w:val="000000"/>
          <w:sz w:val="32"/>
          <w:szCs w:val="32"/>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（六）社会事务工作（含农村合作医疗、民政、残联、劳动保障等工作）。</w:t>
      </w:r>
      <w:r>
        <w:rPr>
          <w:color w:val="000000"/>
          <w:sz w:val="32"/>
          <w:szCs w:val="32"/>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二、机构设置及决算单位构成</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（一）内设机构设置</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冷水滩区杨村甸乡政府内设机构包括：本部门共有编制人数44人，实有人数44人。内设股室4个，分别为党委、人大、政府（经管站、文化站、农技站、农机站、企业办、兽医站、林业站、水管站）、政协。</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（二）决算单位构成</w:t>
      </w:r>
      <w:r>
        <w:rPr>
          <w:color w:val="000000"/>
          <w:sz w:val="27"/>
          <w:szCs w:val="27"/>
        </w:rPr>
        <w:t xml:space="preserve"> </w:t>
      </w:r>
    </w:p>
    <w:p>
      <w:pPr>
        <w:pStyle w:val="14"/>
        <w:spacing w:before="0" w:beforeAutospacing="0" w:after="2" w:afterAutospacing="0"/>
        <w:ind w:left="0" w:firstLine="641"/>
        <w:rPr>
          <w:sz w:val="27"/>
          <w:szCs w:val="27"/>
        </w:rPr>
      </w:pPr>
      <w:r>
        <w:rPr>
          <w:rFonts w:ascii="宋体" w:hAnsi="宋体" w:eastAsia="宋体" w:cs="宋体"/>
          <w:color w:val="000000"/>
          <w:sz w:val="32"/>
          <w:szCs w:val="32"/>
        </w:rPr>
        <w:t>冷水滩区杨村甸乡政府为一级预算单位，无独立二级单位，因此本次决算公开单位为冷水滩区杨村甸乡政府本级。</w:t>
      </w:r>
      <w:r>
        <w:rPr>
          <w:color w:val="000000"/>
          <w:sz w:val="27"/>
          <w:szCs w:val="27"/>
        </w:rPr>
        <w:t xml:space="preserve"> </w:t>
      </w:r>
    </w:p>
    <w:p>
      <w:pPr>
        <w:rPr>
          <w:color w:val="000000"/>
          <w:sz w:val="32"/>
          <w:szCs w:val="32"/>
        </w:rPr>
        <w:sectPr>
          <w:pgSz w:w="11906" w:h="16838" w:orient="landscape"/>
          <w:pgMar w:top="1440" w:right="1080" w:bottom="1440" w:left="1080" w:header="851" w:footer="992" w:gutter="0"/>
          <w:paperSrc/>
          <w:cols w:space="0" w:num="1"/>
          <w:docGrid w:type="lines" w:linePitch="160" w:charSpace="0"/>
        </w:sectPr>
      </w:pPr>
    </w:p>
    <w:p>
      <w:pPr>
        <w:spacing w:before="0" w:beforeAutospacing="0" w:after="2" w:afterAutospacing="0"/>
        <w:ind w:left="0" w:firstLine="721"/>
        <w:jc w:val="center"/>
        <w:rPr>
          <w:sz w:val="21"/>
          <w:szCs w:val="21"/>
        </w:rPr>
      </w:pPr>
    </w:p>
    <w:p>
      <w:pPr>
        <w:spacing w:before="0" w:beforeAutospacing="0" w:after="2" w:afterAutospacing="0"/>
        <w:ind w:left="0" w:firstLine="721"/>
        <w:jc w:val="center"/>
        <w:rPr>
          <w:sz w:val="21"/>
          <w:szCs w:val="21"/>
        </w:rPr>
      </w:pPr>
      <w:r>
        <w:rPr>
          <w:rFonts w:hint="eastAsia" w:ascii="宋体" w:hAnsi="宋体" w:eastAsia="宋体" w:cs="宋体"/>
          <w:b/>
          <w:bCs/>
          <w:color w:val="000000"/>
          <w:sz w:val="36"/>
          <w:szCs w:val="36"/>
        </w:rPr>
        <w:t>第二部分 2021年度部门决算表</w:t>
      </w:r>
      <w:r>
        <w:rPr>
          <w:color w:val="000000"/>
          <w:sz w:val="21"/>
          <w:szCs w:val="21"/>
        </w:rPr>
        <w:t xml:space="preserve"> </w:t>
      </w:r>
    </w:p>
    <w:p>
      <w:pPr>
        <w:pStyle w:val="9"/>
        <w:keepNext w:val="0"/>
        <w:keepLines w:val="0"/>
        <w:widowControl/>
        <w:suppressLineNumbers w:val="0"/>
        <w:spacing w:before="0" w:beforeAutospacing="0" w:after="2" w:afterAutospacing="0"/>
      </w:pPr>
    </w:p>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02"/>
        <w:gridCol w:w="648"/>
        <w:gridCol w:w="2569"/>
        <w:gridCol w:w="4802"/>
        <w:gridCol w:w="648"/>
        <w:gridCol w:w="2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6"/>
            <w:shd w:val="clear"/>
            <w:vAlign w:val="center"/>
          </w:tcPr>
          <w:p>
            <w:pPr>
              <w:pStyle w:val="9"/>
              <w:keepNext w:val="0"/>
              <w:keepLines w:val="0"/>
              <w:widowControl/>
              <w:suppressLineNumbers w:val="0"/>
              <w:jc w:val="center"/>
            </w:pPr>
            <w:r>
              <w:rPr>
                <w:b w:val="0"/>
                <w:bCs w:val="0"/>
                <w:sz w:val="40"/>
                <w:szCs w:val="4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shd w:val="clear"/>
            <w:vAlign w:val="center"/>
          </w:tcPr>
          <w:p>
            <w:pPr>
              <w:rPr>
                <w:rFonts w:hint="eastAsia" w:ascii="宋体"/>
                <w:b w:val="0"/>
                <w:bCs w:val="0"/>
                <w:sz w:val="22"/>
                <w:szCs w:val="22"/>
              </w:rPr>
            </w:pPr>
          </w:p>
        </w:tc>
        <w:tc>
          <w:tcPr>
            <w:tcW w:w="202" w:type="pct"/>
            <w:shd w:val="clear"/>
            <w:vAlign w:val="center"/>
          </w:tcPr>
          <w:p>
            <w:pPr>
              <w:rPr>
                <w:rFonts w:hint="eastAsia" w:ascii="宋体"/>
                <w:b w:val="0"/>
                <w:bCs w:val="0"/>
                <w:sz w:val="22"/>
                <w:szCs w:val="22"/>
              </w:rPr>
            </w:pPr>
          </w:p>
        </w:tc>
        <w:tc>
          <w:tcPr>
            <w:tcW w:w="799" w:type="pct"/>
            <w:shd w:val="clear"/>
            <w:vAlign w:val="center"/>
          </w:tcPr>
          <w:p>
            <w:pPr>
              <w:rPr>
                <w:rFonts w:hint="eastAsia" w:ascii="宋体"/>
                <w:b w:val="0"/>
                <w:bCs w:val="0"/>
                <w:sz w:val="22"/>
                <w:szCs w:val="22"/>
              </w:rPr>
            </w:pPr>
          </w:p>
        </w:tc>
        <w:tc>
          <w:tcPr>
            <w:tcW w:w="1497" w:type="pct"/>
            <w:shd w:val="clear"/>
            <w:vAlign w:val="center"/>
          </w:tcPr>
          <w:p>
            <w:pPr>
              <w:rPr>
                <w:rFonts w:hint="eastAsia" w:ascii="宋体"/>
                <w:b w:val="0"/>
                <w:bCs w:val="0"/>
                <w:sz w:val="22"/>
                <w:szCs w:val="22"/>
              </w:rPr>
            </w:pPr>
          </w:p>
        </w:tc>
        <w:tc>
          <w:tcPr>
            <w:tcW w:w="1002" w:type="pct"/>
            <w:gridSpan w:val="2"/>
            <w:shd w:val="clear"/>
            <w:vAlign w:val="center"/>
          </w:tcPr>
          <w:p>
            <w:pPr>
              <w:pStyle w:val="9"/>
              <w:keepNext w:val="0"/>
              <w:keepLines w:val="0"/>
              <w:widowControl/>
              <w:suppressLineNumbers w:val="0"/>
              <w:jc w:val="right"/>
            </w:pPr>
            <w:r>
              <w:rPr>
                <w:b w:val="0"/>
                <w:bCs w:val="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997" w:type="pct"/>
            <w:gridSpan w:val="4"/>
            <w:shd w:val="clear"/>
            <w:vAlign w:val="center"/>
          </w:tcPr>
          <w:p>
            <w:pPr>
              <w:pStyle w:val="9"/>
              <w:keepNext w:val="0"/>
              <w:keepLines w:val="0"/>
              <w:widowControl/>
              <w:suppressLineNumbers w:val="0"/>
              <w:jc w:val="left"/>
            </w:pPr>
            <w:r>
              <w:rPr>
                <w:b w:val="0"/>
                <w:bCs w:val="0"/>
                <w:sz w:val="22"/>
                <w:szCs w:val="22"/>
              </w:rPr>
              <w:t>部门：永州市冷水滩区杨村甸乡人民政府</w:t>
            </w:r>
          </w:p>
        </w:tc>
        <w:tc>
          <w:tcPr>
            <w:tcW w:w="1002"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收入</w:t>
            </w:r>
          </w:p>
        </w:tc>
        <w:tc>
          <w:tcPr>
            <w:tcW w:w="250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行次</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金额</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行次</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一、一般公共预算财政拨款收入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758.66</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一、一般公共服务支出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380.90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二、政府性基金预算财政拨款收入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二、外交支出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三、国有资本经营预算财政拨款收入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三、国防支出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四、上级补助收入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四、公共安全支出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五、事业收入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五、教育支出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六、经营收入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六、科学技术支出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七、附属单位上缴收入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七、文化旅游体育与传媒支出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八、其他收入</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八、社会保障和就业支出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九、卫生健康支出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十、节能环保支出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十一、城乡社区支出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十二、农林水支出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319.29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十三、交通运输支出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十四、资源勘探工业信息等支出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十五、商业服务业等支出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十六、金融支出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十七、援助其他地区支出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十八、自然资源海洋气象等支出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十九、住房保障支出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二十、粮油物资储备支出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二十一、国有资本经营预算支出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二十二、灾害防治及应急管理支出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23</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二十三、其他支出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0"/>
                <w:szCs w:val="20"/>
              </w:rPr>
              <w:t>24</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二十四、债务还本支出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0"/>
                <w:szCs w:val="20"/>
              </w:rPr>
              <w:t>25</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二十五、债务付息支出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0"/>
                <w:szCs w:val="20"/>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0"/>
                <w:szCs w:val="20"/>
              </w:rPr>
              <w:t>26</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0"/>
                <w:szCs w:val="20"/>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二十六、抗疫特别国债安排的支出</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本年收入合计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27</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758.66</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本年支出合计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使用非财政拨款结余</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28</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结余分配</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年初结转和结余</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29</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年末结转和结余</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30</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31</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758.66</w:t>
            </w:r>
          </w:p>
        </w:tc>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62</w:t>
            </w:r>
          </w:p>
        </w:tc>
        <w:tc>
          <w:tcPr>
            <w:tcW w:w="7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6"/>
            <w:shd w:val="clear"/>
            <w:vAlign w:val="center"/>
          </w:tcPr>
          <w:p>
            <w:pPr>
              <w:pStyle w:val="9"/>
              <w:keepNext w:val="0"/>
              <w:keepLines w:val="0"/>
              <w:widowControl/>
              <w:suppressLineNumbers w:val="0"/>
              <w:jc w:val="left"/>
            </w:pPr>
            <w:r>
              <w:rPr>
                <w:b w:val="0"/>
                <w:bCs w:val="0"/>
                <w:sz w:val="22"/>
                <w:szCs w:val="22"/>
              </w:rPr>
              <w:t>注：本表反映部门本年度的总收支和年末结转结余情况。本表金额转换为万元时，因四舍五入可能存在尾数误差。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62"/>
        <w:gridCol w:w="362"/>
        <w:gridCol w:w="362"/>
        <w:gridCol w:w="3192"/>
        <w:gridCol w:w="2175"/>
        <w:gridCol w:w="1594"/>
        <w:gridCol w:w="1594"/>
        <w:gridCol w:w="1594"/>
        <w:gridCol w:w="1607"/>
        <w:gridCol w:w="1594"/>
        <w:gridCol w:w="1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11"/>
            <w:shd w:val="clear"/>
            <w:vAlign w:val="center"/>
          </w:tcPr>
          <w:p>
            <w:pPr>
              <w:pStyle w:val="9"/>
              <w:keepNext w:val="0"/>
              <w:keepLines w:val="0"/>
              <w:widowControl/>
              <w:suppressLineNumbers w:val="0"/>
              <w:jc w:val="center"/>
            </w:pPr>
            <w:r>
              <w:rPr>
                <w:b w:val="0"/>
                <w:bCs w:val="0"/>
                <w:sz w:val="40"/>
                <w:szCs w:val="4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13" w:type="pct"/>
            <w:shd w:val="clear"/>
            <w:vAlign w:val="center"/>
          </w:tcPr>
          <w:p>
            <w:pPr>
              <w:rPr>
                <w:rFonts w:hint="eastAsia" w:ascii="宋体"/>
                <w:b w:val="0"/>
                <w:bCs w:val="0"/>
                <w:sz w:val="22"/>
                <w:szCs w:val="22"/>
              </w:rPr>
            </w:pPr>
          </w:p>
        </w:tc>
        <w:tc>
          <w:tcPr>
            <w:tcW w:w="113" w:type="pct"/>
            <w:shd w:val="clear"/>
            <w:vAlign w:val="center"/>
          </w:tcPr>
          <w:p>
            <w:pPr>
              <w:rPr>
                <w:rFonts w:hint="eastAsia" w:ascii="宋体"/>
                <w:b w:val="0"/>
                <w:bCs w:val="0"/>
                <w:sz w:val="22"/>
                <w:szCs w:val="22"/>
              </w:rPr>
            </w:pPr>
          </w:p>
        </w:tc>
        <w:tc>
          <w:tcPr>
            <w:tcW w:w="113" w:type="pct"/>
            <w:shd w:val="clear"/>
            <w:vAlign w:val="center"/>
          </w:tcPr>
          <w:p>
            <w:pPr>
              <w:rPr>
                <w:rFonts w:hint="eastAsia" w:ascii="宋体"/>
                <w:b w:val="0"/>
                <w:bCs w:val="0"/>
                <w:sz w:val="22"/>
                <w:szCs w:val="22"/>
              </w:rPr>
            </w:pPr>
          </w:p>
        </w:tc>
        <w:tc>
          <w:tcPr>
            <w:tcW w:w="995" w:type="pct"/>
            <w:shd w:val="clear"/>
            <w:vAlign w:val="center"/>
          </w:tcPr>
          <w:p>
            <w:pPr>
              <w:rPr>
                <w:rFonts w:hint="eastAsia" w:ascii="宋体"/>
                <w:b w:val="0"/>
                <w:bCs w:val="0"/>
                <w:sz w:val="22"/>
                <w:szCs w:val="22"/>
              </w:rPr>
            </w:pPr>
          </w:p>
        </w:tc>
        <w:tc>
          <w:tcPr>
            <w:tcW w:w="678" w:type="pct"/>
            <w:shd w:val="clear"/>
            <w:vAlign w:val="center"/>
          </w:tcPr>
          <w:p>
            <w:pPr>
              <w:rPr>
                <w:rFonts w:hint="eastAsia" w:ascii="宋体"/>
                <w:b w:val="0"/>
                <w:bCs w:val="0"/>
                <w:sz w:val="22"/>
                <w:szCs w:val="22"/>
              </w:rPr>
            </w:pPr>
          </w:p>
        </w:tc>
        <w:tc>
          <w:tcPr>
            <w:tcW w:w="497" w:type="pct"/>
            <w:shd w:val="clear"/>
            <w:vAlign w:val="center"/>
          </w:tcPr>
          <w:p>
            <w:pPr>
              <w:rPr>
                <w:rFonts w:hint="eastAsia" w:ascii="宋体"/>
                <w:b w:val="0"/>
                <w:bCs w:val="0"/>
                <w:sz w:val="22"/>
                <w:szCs w:val="22"/>
              </w:rPr>
            </w:pPr>
          </w:p>
        </w:tc>
        <w:tc>
          <w:tcPr>
            <w:tcW w:w="497" w:type="pct"/>
            <w:shd w:val="clear"/>
            <w:vAlign w:val="center"/>
          </w:tcPr>
          <w:p>
            <w:pPr>
              <w:rPr>
                <w:rFonts w:hint="eastAsia" w:ascii="宋体"/>
                <w:b w:val="0"/>
                <w:bCs w:val="0"/>
                <w:sz w:val="22"/>
                <w:szCs w:val="22"/>
              </w:rPr>
            </w:pPr>
          </w:p>
        </w:tc>
        <w:tc>
          <w:tcPr>
            <w:tcW w:w="497" w:type="pct"/>
            <w:shd w:val="clear"/>
            <w:vAlign w:val="center"/>
          </w:tcPr>
          <w:p>
            <w:pPr>
              <w:rPr>
                <w:rFonts w:hint="eastAsia" w:ascii="宋体"/>
                <w:b w:val="0"/>
                <w:bCs w:val="0"/>
                <w:sz w:val="22"/>
                <w:szCs w:val="22"/>
              </w:rPr>
            </w:pPr>
          </w:p>
        </w:tc>
        <w:tc>
          <w:tcPr>
            <w:tcW w:w="497" w:type="pct"/>
            <w:shd w:val="clear"/>
            <w:vAlign w:val="center"/>
          </w:tcPr>
          <w:p>
            <w:pPr>
              <w:rPr>
                <w:rFonts w:hint="eastAsia" w:ascii="宋体"/>
                <w:b w:val="0"/>
                <w:bCs w:val="0"/>
                <w:sz w:val="22"/>
                <w:szCs w:val="22"/>
              </w:rPr>
            </w:pPr>
          </w:p>
        </w:tc>
        <w:tc>
          <w:tcPr>
            <w:tcW w:w="995" w:type="pct"/>
            <w:gridSpan w:val="2"/>
            <w:shd w:val="clear"/>
            <w:vAlign w:val="center"/>
          </w:tcPr>
          <w:p>
            <w:pPr>
              <w:pStyle w:val="9"/>
              <w:keepNext w:val="0"/>
              <w:keepLines w:val="0"/>
              <w:widowControl/>
              <w:suppressLineNumbers w:val="0"/>
              <w:jc w:val="right"/>
            </w:pPr>
            <w:r>
              <w:rPr>
                <w:b w:val="0"/>
                <w:bCs w:val="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004" w:type="pct"/>
            <w:gridSpan w:val="9"/>
            <w:shd w:val="clear"/>
            <w:vAlign w:val="center"/>
          </w:tcPr>
          <w:p>
            <w:pPr>
              <w:pStyle w:val="9"/>
              <w:keepNext w:val="0"/>
              <w:keepLines w:val="0"/>
              <w:widowControl/>
              <w:suppressLineNumbers w:val="0"/>
              <w:jc w:val="left"/>
            </w:pPr>
            <w:r>
              <w:rPr>
                <w:b w:val="0"/>
                <w:bCs w:val="0"/>
                <w:sz w:val="22"/>
                <w:szCs w:val="22"/>
              </w:rPr>
              <w:t>部门：永州市冷水滩区杨村甸乡人民政府</w:t>
            </w:r>
          </w:p>
        </w:tc>
        <w:tc>
          <w:tcPr>
            <w:tcW w:w="995"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本年收入合计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财政拨款收入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上级补助收入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事业收入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经营收入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附属单位上缴收入</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758.66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758.66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一般公共服务支出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380.90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380.90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人大事务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2010101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20102</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政协事务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29.63</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29.63</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2010201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29.63</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29.63</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20103</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政府办公厅（室）及相关机构事务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301.66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301.66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2010301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301.66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301.66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20105</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统计信息事务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3.55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3.55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2010507</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专项普查活动</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2010599</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其他统计信息事务支出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20131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党委办公厅（室）及相关机构事务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39.30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39.30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2013101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39.30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39.30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205</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教育支出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5.35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5.35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20502</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普通教育</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5.35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5.35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2050299</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其他普通教育支出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5.35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5.35</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社会保障和就业支出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27.04</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27.04</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20805</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行政事业单位养老支出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3.33</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3.33</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2080599</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其他行政事业单位养老支出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3.33</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3.33</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20808</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抚恤</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22.41</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22.41</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2080801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死亡抚恤</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22.41</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22.41</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20899</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其他社会保障和就业支出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1.30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1.30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2089999</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其他社会保障和就业支出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1.30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1.30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210</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卫生健康支出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0.30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0.30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21004</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公共卫生</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0.30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0.30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2100410</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突发公共卫生事件应急处理</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0.30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0.30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农林水支出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319.29</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319.29</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农业农村</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47.89</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47.89</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2130101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29.89</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29.89</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2130142</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农村道路建设</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18.00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18.00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21303</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水利</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17.12</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17.12</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2130316</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农村水利</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2130399</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其他水利支出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12.12</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12.12</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21305</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扶贫</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21.98</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21.98</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2130599</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其他扶贫支出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21.98</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21.98</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21307</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农村综合改革</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222.30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222.30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2130705</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对村民委员会和村党支部的补助</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222.30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222.30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21399</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其他农林水支出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2139999</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其他农林水支出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10.00</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住房保障支出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23.36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23.36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22102</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住房改革支出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23.36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23.36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2210201</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住房公积金</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23.36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23.36</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224</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灾害防治及应急管理支出</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2.42</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2.42</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22402</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消防事务</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2.42</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2.42</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2240204</w:t>
            </w:r>
          </w:p>
        </w:tc>
        <w:tc>
          <w:tcPr>
            <w:tcW w:w="99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消防应急救援</w:t>
            </w:r>
          </w:p>
        </w:tc>
        <w:tc>
          <w:tcPr>
            <w:tcW w:w="67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2.42</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2.42</w:t>
            </w: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97"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5000" w:type="pct"/>
            <w:gridSpan w:val="11"/>
            <w:shd w:val="clear"/>
            <w:vAlign w:val="center"/>
          </w:tcPr>
          <w:p>
            <w:pPr>
              <w:pStyle w:val="9"/>
              <w:keepNext w:val="0"/>
              <w:keepLines w:val="0"/>
              <w:widowControl/>
              <w:suppressLineNumbers w:val="0"/>
              <w:jc w:val="left"/>
            </w:pPr>
            <w:r>
              <w:rPr>
                <w:b w:val="0"/>
                <w:bCs w:val="0"/>
                <w:sz w:val="22"/>
                <w:szCs w:val="22"/>
              </w:rPr>
              <w:t>注：本表反映部门本年度取得的各项收入情况。本表金额转换为万元时，因四舍五入可能存在尾数误差。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00"/>
        <w:gridCol w:w="401"/>
        <w:gridCol w:w="404"/>
        <w:gridCol w:w="3548"/>
        <w:gridCol w:w="2415"/>
        <w:gridCol w:w="1771"/>
        <w:gridCol w:w="1771"/>
        <w:gridCol w:w="1780"/>
        <w:gridCol w:w="1771"/>
        <w:gridCol w:w="1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10"/>
            <w:shd w:val="clear"/>
            <w:vAlign w:val="center"/>
          </w:tcPr>
          <w:p>
            <w:pPr>
              <w:pStyle w:val="9"/>
              <w:keepNext w:val="0"/>
              <w:keepLines w:val="0"/>
              <w:widowControl/>
              <w:suppressLineNumbers w:val="0"/>
              <w:jc w:val="center"/>
            </w:pPr>
            <w:r>
              <w:rPr>
                <w:b w:val="0"/>
                <w:bCs w:val="0"/>
                <w:sz w:val="40"/>
                <w:szCs w:val="4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5" w:type="pct"/>
            <w:shd w:val="clear"/>
            <w:vAlign w:val="center"/>
          </w:tcPr>
          <w:p>
            <w:pPr>
              <w:rPr>
                <w:rFonts w:hint="eastAsia" w:ascii="宋体"/>
                <w:b w:val="0"/>
                <w:bCs w:val="0"/>
                <w:sz w:val="22"/>
                <w:szCs w:val="22"/>
              </w:rPr>
            </w:pPr>
          </w:p>
        </w:tc>
        <w:tc>
          <w:tcPr>
            <w:tcW w:w="125" w:type="pct"/>
            <w:shd w:val="clear"/>
            <w:vAlign w:val="center"/>
          </w:tcPr>
          <w:p>
            <w:pPr>
              <w:rPr>
                <w:rFonts w:hint="eastAsia" w:ascii="宋体"/>
                <w:b w:val="0"/>
                <w:bCs w:val="0"/>
                <w:sz w:val="22"/>
                <w:szCs w:val="22"/>
              </w:rPr>
            </w:pPr>
          </w:p>
        </w:tc>
        <w:tc>
          <w:tcPr>
            <w:tcW w:w="125" w:type="pct"/>
            <w:shd w:val="clear"/>
            <w:vAlign w:val="center"/>
          </w:tcPr>
          <w:p>
            <w:pPr>
              <w:rPr>
                <w:rFonts w:hint="eastAsia" w:ascii="宋体"/>
                <w:b w:val="0"/>
                <w:bCs w:val="0"/>
                <w:sz w:val="22"/>
                <w:szCs w:val="22"/>
              </w:rPr>
            </w:pPr>
          </w:p>
        </w:tc>
        <w:tc>
          <w:tcPr>
            <w:tcW w:w="1105" w:type="pct"/>
            <w:shd w:val="clear"/>
            <w:vAlign w:val="center"/>
          </w:tcPr>
          <w:p>
            <w:pPr>
              <w:rPr>
                <w:rFonts w:hint="eastAsia" w:ascii="宋体"/>
                <w:b w:val="0"/>
                <w:bCs w:val="0"/>
                <w:sz w:val="22"/>
                <w:szCs w:val="22"/>
              </w:rPr>
            </w:pPr>
          </w:p>
        </w:tc>
        <w:tc>
          <w:tcPr>
            <w:tcW w:w="753" w:type="pct"/>
            <w:shd w:val="clear"/>
            <w:vAlign w:val="center"/>
          </w:tcPr>
          <w:p>
            <w:pPr>
              <w:rPr>
                <w:rFonts w:hint="eastAsia" w:ascii="宋体"/>
                <w:b w:val="0"/>
                <w:bCs w:val="0"/>
                <w:sz w:val="22"/>
                <w:szCs w:val="22"/>
              </w:rPr>
            </w:pPr>
          </w:p>
        </w:tc>
        <w:tc>
          <w:tcPr>
            <w:tcW w:w="552" w:type="pct"/>
            <w:shd w:val="clear"/>
            <w:vAlign w:val="center"/>
          </w:tcPr>
          <w:p>
            <w:pPr>
              <w:rPr>
                <w:rFonts w:hint="eastAsia" w:ascii="宋体"/>
                <w:b w:val="0"/>
                <w:bCs w:val="0"/>
                <w:sz w:val="22"/>
                <w:szCs w:val="22"/>
              </w:rPr>
            </w:pPr>
          </w:p>
        </w:tc>
        <w:tc>
          <w:tcPr>
            <w:tcW w:w="552" w:type="pct"/>
            <w:shd w:val="clear"/>
            <w:vAlign w:val="center"/>
          </w:tcPr>
          <w:p>
            <w:pPr>
              <w:rPr>
                <w:rFonts w:hint="eastAsia" w:ascii="宋体"/>
                <w:b w:val="0"/>
                <w:bCs w:val="0"/>
                <w:sz w:val="22"/>
                <w:szCs w:val="22"/>
              </w:rPr>
            </w:pPr>
          </w:p>
        </w:tc>
        <w:tc>
          <w:tcPr>
            <w:tcW w:w="552" w:type="pct"/>
            <w:shd w:val="clear"/>
            <w:vAlign w:val="center"/>
          </w:tcPr>
          <w:p>
            <w:pPr>
              <w:rPr>
                <w:rFonts w:hint="eastAsia" w:ascii="宋体"/>
                <w:b w:val="0"/>
                <w:bCs w:val="0"/>
                <w:sz w:val="22"/>
                <w:szCs w:val="22"/>
              </w:rPr>
            </w:pPr>
          </w:p>
        </w:tc>
        <w:tc>
          <w:tcPr>
            <w:tcW w:w="1105" w:type="pct"/>
            <w:gridSpan w:val="2"/>
            <w:shd w:val="clear"/>
            <w:vAlign w:val="center"/>
          </w:tcPr>
          <w:p>
            <w:pPr>
              <w:pStyle w:val="9"/>
              <w:keepNext w:val="0"/>
              <w:keepLines w:val="0"/>
              <w:widowControl/>
              <w:suppressLineNumbers w:val="0"/>
              <w:jc w:val="right"/>
            </w:pPr>
            <w:r>
              <w:rPr>
                <w:b w:val="0"/>
                <w:bCs w:val="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894" w:type="pct"/>
            <w:gridSpan w:val="8"/>
            <w:shd w:val="clear"/>
            <w:vAlign w:val="center"/>
          </w:tcPr>
          <w:p>
            <w:pPr>
              <w:pStyle w:val="9"/>
              <w:keepNext w:val="0"/>
              <w:keepLines w:val="0"/>
              <w:widowControl/>
              <w:suppressLineNumbers w:val="0"/>
              <w:jc w:val="left"/>
            </w:pPr>
            <w:r>
              <w:rPr>
                <w:b w:val="0"/>
                <w:bCs w:val="0"/>
                <w:sz w:val="22"/>
                <w:szCs w:val="22"/>
              </w:rPr>
              <w:t>部门：永州市冷水滩区杨村甸乡人民政府</w:t>
            </w:r>
          </w:p>
        </w:tc>
        <w:tc>
          <w:tcPr>
            <w:tcW w:w="1105"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本年支出合计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上缴上级支出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经营支出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758.66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501.24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257.42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一般公共服务支出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380.90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380.90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人大事务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2010101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政协事务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29.63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29.63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2010201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29.63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29.63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20103</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政府办公厅（室）及相关机构事务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301.66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301.66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2010301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301.66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301.66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20105</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统计信息事务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3.55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3.55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2010507</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专项普查活动</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2010599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其他统计信息事务支出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20131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党委办公厅（室）及相关机构事务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39.30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39.30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2013101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39.30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39.30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205</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教育支出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5.35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5.35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20502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普通教育</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5.35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5.35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2050299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其他普通教育支出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5.35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5.35</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社会保障和就业支出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27.04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27.04</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20805</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行政事业单位养老支出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3.33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3.33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2080599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其他行政事业单位养老支出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3.33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3.33</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20808</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抚恤</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22.41</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22.41</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2080801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死亡抚恤</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22.41</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22.41</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20899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其他社会保障和就业支出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1.30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1.30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2089999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其他社会保障和就业支出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1.30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1.30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210</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卫生健康支出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0.30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0.30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21004</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公共卫生</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0.30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0.30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2100410</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突发公共卫生事件应急处理</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0.30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0.30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农林水支出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319.29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61.87</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257.42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农业农村</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47.89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29.89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18.00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2130101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29.89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29.89</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2130142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农村道路建设</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18.00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18.00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21303</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水利</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17.12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17.12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2130316</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农村水利</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2130399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其他水利支出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12.12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12.12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21305</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扶贫</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21.98</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21.98</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2130599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其他扶贫支出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21.98</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21.98</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21307</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农村综合改革</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222.30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222.30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2130705</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对村民委员会和村党支部的补助</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222.30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222.30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21399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其他农林水支出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2139999</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其他农林水支出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10.00</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住房保障支出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23.36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23.36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22102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住房改革支出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23.36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23.36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2210201</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住房公积金</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23.36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23.36</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224</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灾害防治及应急管理支出</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22402</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消防事务</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2240204</w:t>
            </w:r>
          </w:p>
        </w:tc>
        <w:tc>
          <w:tcPr>
            <w:tcW w:w="110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消防应急救援</w:t>
            </w:r>
          </w:p>
        </w:tc>
        <w:tc>
          <w:tcPr>
            <w:tcW w:w="7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2.42</w:t>
            </w: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5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5000" w:type="pct"/>
            <w:gridSpan w:val="10"/>
            <w:shd w:val="clear"/>
            <w:vAlign w:val="center"/>
          </w:tcPr>
          <w:p>
            <w:pPr>
              <w:pStyle w:val="9"/>
              <w:keepNext w:val="0"/>
              <w:keepLines w:val="0"/>
              <w:widowControl/>
              <w:suppressLineNumbers w:val="0"/>
              <w:jc w:val="left"/>
            </w:pPr>
            <w:r>
              <w:rPr>
                <w:b w:val="0"/>
                <w:bCs w:val="0"/>
                <w:sz w:val="22"/>
                <w:szCs w:val="22"/>
              </w:rPr>
              <w:t>注：本表反映部门本年度各项支出情况。本表金额转换为万元时，因四舍五入可能存在尾数误差。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04"/>
        <w:gridCol w:w="529"/>
        <w:gridCol w:w="1559"/>
        <w:gridCol w:w="3692"/>
        <w:gridCol w:w="529"/>
        <w:gridCol w:w="2130"/>
        <w:gridCol w:w="1466"/>
        <w:gridCol w:w="1463"/>
        <w:gridCol w:w="1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9"/>
            <w:shd w:val="clear"/>
            <w:vAlign w:val="center"/>
          </w:tcPr>
          <w:p>
            <w:pPr>
              <w:pStyle w:val="9"/>
              <w:keepNext w:val="0"/>
              <w:keepLines w:val="0"/>
              <w:widowControl/>
              <w:suppressLineNumbers w:val="0"/>
              <w:jc w:val="center"/>
            </w:pPr>
            <w:r>
              <w:rPr>
                <w:b w:val="0"/>
                <w:bCs w:val="0"/>
                <w:sz w:val="40"/>
                <w:szCs w:val="4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shd w:val="clear"/>
            <w:vAlign w:val="center"/>
          </w:tcPr>
          <w:p>
            <w:pPr>
              <w:rPr>
                <w:rFonts w:hint="eastAsia" w:ascii="宋体"/>
                <w:b w:val="0"/>
                <w:bCs w:val="0"/>
                <w:sz w:val="22"/>
                <w:szCs w:val="22"/>
              </w:rPr>
            </w:pPr>
          </w:p>
        </w:tc>
        <w:tc>
          <w:tcPr>
            <w:tcW w:w="165" w:type="pct"/>
            <w:shd w:val="clear"/>
            <w:vAlign w:val="center"/>
          </w:tcPr>
          <w:p>
            <w:pPr>
              <w:rPr>
                <w:rFonts w:hint="eastAsia" w:ascii="宋体"/>
                <w:b w:val="0"/>
                <w:bCs w:val="0"/>
                <w:sz w:val="22"/>
                <w:szCs w:val="22"/>
              </w:rPr>
            </w:pPr>
          </w:p>
        </w:tc>
        <w:tc>
          <w:tcPr>
            <w:tcW w:w="486" w:type="pct"/>
            <w:shd w:val="clear"/>
            <w:vAlign w:val="center"/>
          </w:tcPr>
          <w:p>
            <w:pPr>
              <w:rPr>
                <w:rFonts w:hint="eastAsia" w:ascii="宋体"/>
                <w:b w:val="0"/>
                <w:bCs w:val="0"/>
                <w:sz w:val="22"/>
                <w:szCs w:val="22"/>
              </w:rPr>
            </w:pPr>
          </w:p>
        </w:tc>
        <w:tc>
          <w:tcPr>
            <w:tcW w:w="1151" w:type="pct"/>
            <w:shd w:val="clear"/>
            <w:vAlign w:val="center"/>
          </w:tcPr>
          <w:p>
            <w:pPr>
              <w:rPr>
                <w:rFonts w:hint="eastAsia" w:ascii="宋体"/>
                <w:b w:val="0"/>
                <w:bCs w:val="0"/>
                <w:sz w:val="22"/>
                <w:szCs w:val="22"/>
              </w:rPr>
            </w:pPr>
          </w:p>
        </w:tc>
        <w:tc>
          <w:tcPr>
            <w:tcW w:w="165" w:type="pct"/>
            <w:shd w:val="clear"/>
            <w:vAlign w:val="center"/>
          </w:tcPr>
          <w:p>
            <w:pPr>
              <w:rPr>
                <w:rFonts w:hint="eastAsia" w:ascii="宋体"/>
                <w:b w:val="0"/>
                <w:bCs w:val="0"/>
                <w:sz w:val="22"/>
                <w:szCs w:val="22"/>
              </w:rPr>
            </w:pPr>
          </w:p>
        </w:tc>
        <w:tc>
          <w:tcPr>
            <w:tcW w:w="664" w:type="pct"/>
            <w:shd w:val="clear"/>
            <w:vAlign w:val="center"/>
          </w:tcPr>
          <w:p>
            <w:pPr>
              <w:rPr>
                <w:rFonts w:hint="eastAsia" w:ascii="宋体"/>
                <w:b w:val="0"/>
                <w:bCs w:val="0"/>
                <w:sz w:val="22"/>
                <w:szCs w:val="22"/>
              </w:rPr>
            </w:pPr>
          </w:p>
        </w:tc>
        <w:tc>
          <w:tcPr>
            <w:tcW w:w="456" w:type="pct"/>
            <w:shd w:val="clear"/>
            <w:vAlign w:val="center"/>
          </w:tcPr>
          <w:p>
            <w:pPr>
              <w:rPr>
                <w:rFonts w:hint="eastAsia" w:ascii="宋体"/>
                <w:b w:val="0"/>
                <w:bCs w:val="0"/>
                <w:sz w:val="22"/>
                <w:szCs w:val="22"/>
              </w:rPr>
            </w:pPr>
          </w:p>
        </w:tc>
        <w:tc>
          <w:tcPr>
            <w:tcW w:w="912" w:type="pct"/>
            <w:gridSpan w:val="2"/>
            <w:shd w:val="clear"/>
            <w:vAlign w:val="center"/>
          </w:tcPr>
          <w:p>
            <w:pPr>
              <w:pStyle w:val="9"/>
              <w:keepNext w:val="0"/>
              <w:keepLines w:val="0"/>
              <w:widowControl/>
              <w:suppressLineNumbers w:val="0"/>
              <w:jc w:val="right"/>
            </w:pPr>
            <w:r>
              <w:rPr>
                <w:b w:val="0"/>
                <w:bCs w:val="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087" w:type="pct"/>
            <w:gridSpan w:val="7"/>
            <w:shd w:val="clear"/>
            <w:vAlign w:val="center"/>
          </w:tcPr>
          <w:p>
            <w:pPr>
              <w:pStyle w:val="9"/>
              <w:keepNext w:val="0"/>
              <w:keepLines w:val="0"/>
              <w:widowControl/>
              <w:suppressLineNumbers w:val="0"/>
              <w:jc w:val="left"/>
            </w:pPr>
            <w:r>
              <w:rPr>
                <w:b w:val="0"/>
                <w:bCs w:val="0"/>
                <w:sz w:val="22"/>
                <w:szCs w:val="22"/>
              </w:rPr>
              <w:t>部门：永州市冷水滩区杨村甸乡人民政府</w:t>
            </w:r>
          </w:p>
        </w:tc>
        <w:tc>
          <w:tcPr>
            <w:tcW w:w="912"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收 入</w:t>
            </w:r>
          </w:p>
        </w:tc>
        <w:tc>
          <w:tcPr>
            <w:tcW w:w="3349"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金额</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一般公共预算财政拨款</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政府性基金预算财政拨款</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一、一般公共预算财政拨款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758.66</w:t>
            </w: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一、一般公共服务支出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33</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380.90</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380.90</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二、政府性基金预算财政拨款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二、外交支出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34</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三、国有资本经营财政拨款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三、国防支出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35</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四、公共安全支出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36</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五、教育支出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37</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5.35</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5.35</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六、科学技术支出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38</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7</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七、文化旅游体育与传媒支出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39</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8</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八、社会保障和就业支出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40</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27.04</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27.04</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9</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九、卫生健康支出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41</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0.30</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0.30</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10</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十、节能环保支出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42</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11</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十一、城乡社区支出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43</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12</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十二、农林水支出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44</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319.29</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319.29</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13</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十三、交通运输支出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45</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14</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十四、资源勘探工业信息等支出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46</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15</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十五、商业服务业等支出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47</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16</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十六、金融支出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48</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17</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十七、援助其他地区支出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49</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18</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十八、自然资源海洋气象等支出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50</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19</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十九、住房保障支出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51</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23.36</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23.36</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20</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二十、粮油物资储备支出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52</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21</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二十一、国有资本经营预算支出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53</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22</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二十二、灾害防治及应急管理支出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54</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2.42</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2.42</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23</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二十三、其他支出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55</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24</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二十四、债务还本支出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56</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25</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二十五、债务付息支出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57</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0"/>
                <w:szCs w:val="20"/>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26</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二十六、抗疫特别国债安排的支出</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58</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本年收入合计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27</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758.66</w:t>
            </w: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本年支出合计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59</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758.66</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758.66</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年初财政拨款结转和结余</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28</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年末财政拨款结转和结余</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60</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一般公共预算财政拨款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29</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61</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政府性基金预算财政拨款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30</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62</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国有资本经营预算财政拨款</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31</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63</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32</w:t>
            </w:r>
          </w:p>
        </w:tc>
        <w:tc>
          <w:tcPr>
            <w:tcW w:w="48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758.66</w:t>
            </w:r>
          </w:p>
        </w:tc>
        <w:tc>
          <w:tcPr>
            <w:tcW w:w="1151"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64</w:t>
            </w:r>
          </w:p>
        </w:tc>
        <w:tc>
          <w:tcPr>
            <w:tcW w:w="6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758.66</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758.66</w:t>
            </w: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45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5000" w:type="pct"/>
            <w:gridSpan w:val="9"/>
            <w:shd w:val="clear"/>
            <w:vAlign w:val="center"/>
          </w:tcPr>
          <w:p>
            <w:pPr>
              <w:pStyle w:val="9"/>
              <w:keepNext w:val="0"/>
              <w:keepLines w:val="0"/>
              <w:widowControl/>
              <w:suppressLineNumbers w:val="0"/>
              <w:jc w:val="left"/>
            </w:pPr>
            <w:r>
              <w:rPr>
                <w:b w:val="0"/>
                <w:bCs w:val="0"/>
                <w:sz w:val="22"/>
                <w:szCs w:val="22"/>
              </w:rPr>
              <w:t>注：本表反映部门本年度一般公共预算财政拨款、政府性基金预算财政拨款和国有资本经营预算财政拨款的总收支和年末结转结余情况。本表金额转换为万元时，因四舍五入可能存在尾数误差。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2"/>
        <w:gridCol w:w="452"/>
        <w:gridCol w:w="455"/>
        <w:gridCol w:w="5398"/>
        <w:gridCol w:w="3092"/>
        <w:gridCol w:w="3093"/>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7"/>
            <w:shd w:val="clear"/>
            <w:vAlign w:val="center"/>
          </w:tcPr>
          <w:p>
            <w:pPr>
              <w:pStyle w:val="9"/>
              <w:keepNext w:val="0"/>
              <w:keepLines w:val="0"/>
              <w:widowControl/>
              <w:suppressLineNumbers w:val="0"/>
              <w:jc w:val="center"/>
            </w:pPr>
            <w:r>
              <w:rPr>
                <w:b w:val="0"/>
                <w:bCs w:val="0"/>
                <w:sz w:val="40"/>
                <w:szCs w:val="4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1" w:type="pct"/>
            <w:shd w:val="clear"/>
            <w:vAlign w:val="center"/>
          </w:tcPr>
          <w:p>
            <w:pPr>
              <w:rPr>
                <w:rFonts w:hint="eastAsia" w:ascii="宋体"/>
                <w:b w:val="0"/>
                <w:bCs w:val="0"/>
                <w:sz w:val="22"/>
                <w:szCs w:val="22"/>
              </w:rPr>
            </w:pPr>
          </w:p>
        </w:tc>
        <w:tc>
          <w:tcPr>
            <w:tcW w:w="141" w:type="pct"/>
            <w:shd w:val="clear"/>
            <w:vAlign w:val="center"/>
          </w:tcPr>
          <w:p>
            <w:pPr>
              <w:rPr>
                <w:rFonts w:hint="eastAsia" w:ascii="宋体"/>
                <w:b w:val="0"/>
                <w:bCs w:val="0"/>
                <w:sz w:val="22"/>
                <w:szCs w:val="22"/>
              </w:rPr>
            </w:pPr>
          </w:p>
        </w:tc>
        <w:tc>
          <w:tcPr>
            <w:tcW w:w="141" w:type="pct"/>
            <w:shd w:val="clear"/>
            <w:vAlign w:val="center"/>
          </w:tcPr>
          <w:p>
            <w:pPr>
              <w:rPr>
                <w:rFonts w:hint="eastAsia" w:ascii="宋体"/>
                <w:b w:val="0"/>
                <w:bCs w:val="0"/>
                <w:sz w:val="22"/>
                <w:szCs w:val="22"/>
              </w:rPr>
            </w:pPr>
          </w:p>
        </w:tc>
        <w:tc>
          <w:tcPr>
            <w:tcW w:w="1683" w:type="pct"/>
            <w:shd w:val="clear"/>
            <w:vAlign w:val="center"/>
          </w:tcPr>
          <w:p>
            <w:pPr>
              <w:rPr>
                <w:rFonts w:hint="eastAsia" w:ascii="宋体"/>
                <w:b w:val="0"/>
                <w:bCs w:val="0"/>
                <w:sz w:val="22"/>
                <w:szCs w:val="22"/>
              </w:rPr>
            </w:pPr>
          </w:p>
        </w:tc>
        <w:tc>
          <w:tcPr>
            <w:tcW w:w="964" w:type="pct"/>
            <w:shd w:val="clear"/>
            <w:vAlign w:val="center"/>
          </w:tcPr>
          <w:p>
            <w:pPr>
              <w:rPr>
                <w:rFonts w:hint="eastAsia" w:ascii="宋体"/>
                <w:b w:val="0"/>
                <w:bCs w:val="0"/>
                <w:sz w:val="22"/>
                <w:szCs w:val="22"/>
              </w:rPr>
            </w:pPr>
          </w:p>
        </w:tc>
        <w:tc>
          <w:tcPr>
            <w:tcW w:w="1928" w:type="pct"/>
            <w:gridSpan w:val="2"/>
            <w:shd w:val="clear"/>
            <w:vAlign w:val="center"/>
          </w:tcPr>
          <w:p>
            <w:pPr>
              <w:pStyle w:val="9"/>
              <w:keepNext w:val="0"/>
              <w:keepLines w:val="0"/>
              <w:widowControl/>
              <w:suppressLineNumbers w:val="0"/>
              <w:jc w:val="right"/>
            </w:pPr>
            <w:r>
              <w:rPr>
                <w:b w:val="0"/>
                <w:bCs w:val="0"/>
                <w:sz w:val="20"/>
                <w:szCs w:val="2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071" w:type="pct"/>
            <w:gridSpan w:val="5"/>
            <w:shd w:val="clear"/>
            <w:vAlign w:val="center"/>
          </w:tcPr>
          <w:p>
            <w:pPr>
              <w:pStyle w:val="9"/>
              <w:keepNext w:val="0"/>
              <w:keepLines w:val="0"/>
              <w:widowControl/>
              <w:suppressLineNumbers w:val="0"/>
              <w:jc w:val="left"/>
            </w:pPr>
            <w:r>
              <w:rPr>
                <w:b w:val="0"/>
                <w:bCs w:val="0"/>
                <w:sz w:val="22"/>
                <w:szCs w:val="22"/>
              </w:rPr>
              <w:t>部门：永州市冷水滩区杨村甸乡人民政府</w:t>
            </w:r>
          </w:p>
        </w:tc>
        <w:tc>
          <w:tcPr>
            <w:tcW w:w="1928"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289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758.66</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501.24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257.42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一般公共服务支出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380.90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380.90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人大事务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6.76</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6.76</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2010101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6.76</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6.76</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20102</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政协事务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29.63</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29.63</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2010201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29.63</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29.63</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20103</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政府办公厅（室）及相关机构事务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301.66</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301.66</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2010301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301.66</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301.66</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20105</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统计信息事务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3.55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3.55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2010507</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专项普查活动</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2010599</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其他统计信息事务支出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20131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党委办公厅（室）及相关机构事务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39.30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39.30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2013101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39.30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39.30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205</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教育支出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5.35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5.35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20502</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普通教育</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5.35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5.35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2050299</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其他普通教育支出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5.35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5.35</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社会保障和就业支出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27.04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27.04</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20805</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行政事业单位养老支出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3.33</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3.33</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2080599</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其他行政事业单位养老支出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3.33</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3.33</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20808</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抚恤</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22.41</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22.41</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2080801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死亡抚恤</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22.41</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22.41</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20899</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其他社会保障和就业支出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1.30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1.30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2089999</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其他社会保障和就业支出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1.30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1.30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210</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卫生健康支出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0.30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0.30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21004</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公共卫生</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0.30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0.30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2100410</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突发公共卫生事件应急处理</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0.30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0.30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农林水支出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319.29</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61.87</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257.42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农业农村</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47.89</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29.89</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2130101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行政运行</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29.89</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29.89</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2130142</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农村道路建设</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18.00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21303</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水利</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17.12</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2130316</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农村水利</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2130399</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其他水利支出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12.12</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21305</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扶贫</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21.98</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21.98</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2130599</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其他扶贫支出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21.98</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21.98</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21307</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农村综合改革</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222.30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2130705</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对村民委员会和村党支部的补助</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222.30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222.30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21399</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其他农林水支出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2139999</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其他农林水支出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10.00</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住房保障支出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23.36</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23.36</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22102</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住房改革支出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23.36</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23.36</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2210201</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住房公积金</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23.36</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23.36</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224</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灾害防治及应急管理支出</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2.42</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2.42</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22402</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消防事务</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2.42</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2.42</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2240204</w:t>
            </w:r>
          </w:p>
        </w:tc>
        <w:tc>
          <w:tcPr>
            <w:tcW w:w="168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消防应急救援</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2.42</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2.42</w:t>
            </w:r>
          </w:p>
        </w:tc>
        <w:tc>
          <w:tcPr>
            <w:tcW w:w="96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5000" w:type="pct"/>
            <w:gridSpan w:val="7"/>
            <w:shd w:val="clear"/>
            <w:vAlign w:val="center"/>
          </w:tcPr>
          <w:p>
            <w:pPr>
              <w:pStyle w:val="9"/>
              <w:keepNext w:val="0"/>
              <w:keepLines w:val="0"/>
              <w:widowControl/>
              <w:suppressLineNumbers w:val="0"/>
              <w:jc w:val="left"/>
            </w:pPr>
            <w:r>
              <w:rPr>
                <w:b w:val="0"/>
                <w:bCs w:val="0"/>
                <w:sz w:val="22"/>
                <w:szCs w:val="22"/>
              </w:rPr>
              <w:t>注：本表反映部门本年度一般公共预算财政拨款支出情况。本表金额转换为万元时，因四舍五入可能存在尾数误差。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18"/>
        <w:gridCol w:w="3380"/>
        <w:gridCol w:w="1726"/>
        <w:gridCol w:w="719"/>
        <w:gridCol w:w="2659"/>
        <w:gridCol w:w="1726"/>
        <w:gridCol w:w="722"/>
        <w:gridCol w:w="2659"/>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9"/>
            <w:shd w:val="clear"/>
            <w:vAlign w:val="center"/>
          </w:tcPr>
          <w:p>
            <w:pPr>
              <w:pStyle w:val="9"/>
              <w:keepNext w:val="0"/>
              <w:keepLines w:val="0"/>
              <w:widowControl/>
              <w:suppressLineNumbers w:val="0"/>
              <w:jc w:val="center"/>
            </w:pPr>
            <w:r>
              <w:rPr>
                <w:b w:val="0"/>
                <w:bCs w:val="0"/>
                <w:sz w:val="40"/>
                <w:szCs w:val="40"/>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shd w:val="clear"/>
            <w:vAlign w:val="center"/>
          </w:tcPr>
          <w:p>
            <w:pPr>
              <w:rPr>
                <w:rFonts w:hint="eastAsia" w:ascii="宋体"/>
                <w:b w:val="0"/>
                <w:bCs w:val="0"/>
                <w:sz w:val="22"/>
                <w:szCs w:val="22"/>
              </w:rPr>
            </w:pPr>
          </w:p>
        </w:tc>
        <w:tc>
          <w:tcPr>
            <w:tcW w:w="1053" w:type="pct"/>
            <w:shd w:val="clear"/>
            <w:vAlign w:val="center"/>
          </w:tcPr>
          <w:p>
            <w:pPr>
              <w:rPr>
                <w:rFonts w:hint="eastAsia" w:ascii="宋体"/>
                <w:b w:val="0"/>
                <w:bCs w:val="0"/>
                <w:sz w:val="22"/>
                <w:szCs w:val="22"/>
              </w:rPr>
            </w:pPr>
          </w:p>
        </w:tc>
        <w:tc>
          <w:tcPr>
            <w:tcW w:w="538" w:type="pct"/>
            <w:shd w:val="clear"/>
            <w:vAlign w:val="center"/>
          </w:tcPr>
          <w:p>
            <w:pPr>
              <w:rPr>
                <w:rFonts w:hint="eastAsia" w:ascii="宋体"/>
                <w:b w:val="0"/>
                <w:bCs w:val="0"/>
                <w:sz w:val="22"/>
                <w:szCs w:val="22"/>
              </w:rPr>
            </w:pPr>
          </w:p>
        </w:tc>
        <w:tc>
          <w:tcPr>
            <w:tcW w:w="224" w:type="pct"/>
            <w:shd w:val="clear"/>
            <w:vAlign w:val="center"/>
          </w:tcPr>
          <w:p>
            <w:pPr>
              <w:rPr>
                <w:rFonts w:hint="eastAsia" w:ascii="宋体"/>
                <w:b w:val="0"/>
                <w:bCs w:val="0"/>
                <w:sz w:val="22"/>
                <w:szCs w:val="22"/>
              </w:rPr>
            </w:pPr>
          </w:p>
        </w:tc>
        <w:tc>
          <w:tcPr>
            <w:tcW w:w="829" w:type="pct"/>
            <w:shd w:val="clear"/>
            <w:vAlign w:val="center"/>
          </w:tcPr>
          <w:p>
            <w:pPr>
              <w:rPr>
                <w:rFonts w:hint="eastAsia" w:ascii="宋体"/>
                <w:b w:val="0"/>
                <w:bCs w:val="0"/>
                <w:sz w:val="22"/>
                <w:szCs w:val="22"/>
              </w:rPr>
            </w:pPr>
          </w:p>
        </w:tc>
        <w:tc>
          <w:tcPr>
            <w:tcW w:w="538" w:type="pct"/>
            <w:shd w:val="clear"/>
            <w:vAlign w:val="center"/>
          </w:tcPr>
          <w:p>
            <w:pPr>
              <w:rPr>
                <w:rFonts w:hint="eastAsia" w:ascii="宋体"/>
                <w:b w:val="0"/>
                <w:bCs w:val="0"/>
                <w:sz w:val="22"/>
                <w:szCs w:val="22"/>
              </w:rPr>
            </w:pPr>
          </w:p>
        </w:tc>
        <w:tc>
          <w:tcPr>
            <w:tcW w:w="224" w:type="pct"/>
            <w:shd w:val="clear"/>
            <w:vAlign w:val="center"/>
          </w:tcPr>
          <w:p>
            <w:pPr>
              <w:rPr>
                <w:rFonts w:hint="eastAsia" w:ascii="宋体"/>
                <w:b w:val="0"/>
                <w:bCs w:val="0"/>
                <w:sz w:val="22"/>
                <w:szCs w:val="22"/>
              </w:rPr>
            </w:pPr>
          </w:p>
        </w:tc>
        <w:tc>
          <w:tcPr>
            <w:tcW w:w="1367" w:type="pct"/>
            <w:gridSpan w:val="2"/>
            <w:shd w:val="clear"/>
            <w:vAlign w:val="center"/>
          </w:tcPr>
          <w:p>
            <w:pPr>
              <w:pStyle w:val="9"/>
              <w:keepNext w:val="0"/>
              <w:keepLines w:val="0"/>
              <w:widowControl/>
              <w:suppressLineNumbers w:val="0"/>
              <w:jc w:val="right"/>
            </w:pPr>
            <w:r>
              <w:rPr>
                <w:b w:val="0"/>
                <w:bCs w:val="0"/>
                <w:sz w:val="18"/>
                <w:szCs w:val="18"/>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632" w:type="pct"/>
            <w:gridSpan w:val="7"/>
            <w:shd w:val="clear"/>
            <w:vAlign w:val="center"/>
          </w:tcPr>
          <w:p>
            <w:pPr>
              <w:pStyle w:val="9"/>
              <w:keepNext w:val="0"/>
              <w:keepLines w:val="0"/>
              <w:widowControl/>
              <w:suppressLineNumbers w:val="0"/>
              <w:jc w:val="left"/>
            </w:pPr>
            <w:r>
              <w:rPr>
                <w:b w:val="0"/>
                <w:bCs w:val="0"/>
                <w:sz w:val="22"/>
                <w:szCs w:val="22"/>
              </w:rPr>
              <w:t>部门：永州市冷水滩区杨村甸乡人民政府</w:t>
            </w:r>
          </w:p>
        </w:tc>
        <w:tc>
          <w:tcPr>
            <w:tcW w:w="1367" w:type="pct"/>
            <w:gridSpan w:val="2"/>
            <w:shd w:val="clear"/>
            <w:vAlign w:val="center"/>
          </w:tcPr>
          <w:p>
            <w:pPr>
              <w:pStyle w:val="9"/>
              <w:keepNext w:val="0"/>
              <w:keepLines w:val="0"/>
              <w:widowControl/>
              <w:suppressLineNumbers w:val="0"/>
              <w:jc w:val="right"/>
            </w:pPr>
            <w:r>
              <w:rPr>
                <w:b w:val="0"/>
                <w:bCs w:val="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人员经费</w:t>
            </w:r>
          </w:p>
        </w:tc>
        <w:tc>
          <w:tcPr>
            <w:tcW w:w="3183"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301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工资福利支出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382.89</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302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商品和服务支出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59.54</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307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债务利息及费用支出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基本工资</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129.38</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办公费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6.85</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30701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国内债务付息</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30102</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津贴补贴</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52.90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印刷费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16.08</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30702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国外债务付息</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30103</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奖金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40.64</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30203</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咨询费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310</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资本性支出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30106</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伙食补助费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30204</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手续费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房屋建筑物购建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30107</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绩效工资</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35.19</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30205</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办公设备购置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30108</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机关事业单位基本养老保险缴费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39.49</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30206</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电费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5.00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31003</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专用设备购置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30109</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职业年金缴费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8.97</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邮电费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31005</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基础设施建设</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30110</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职工基本医疗保险缴费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19.68</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30208</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取暖费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31006</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大型修缮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30111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公务员医疗补助缴费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30209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物业管理费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信息网络及软件购置更新</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30112</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其他社会保障缴费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0.91</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差旅费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4.00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31008</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物资储备</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30113</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住房公积金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23.36</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因公出国（境）费用</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31009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土地补偿</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30114</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医疗费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30213</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维修（护）费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31010</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安置补助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30199</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其他工资福利支出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32.38</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30214</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租赁费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31011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地上附着物和青苗补偿</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303</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对个人和家庭的补助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58.81</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30215</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会议费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1.50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31012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拆迁补偿</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离休费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30216</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培训费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31013</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公务用车购置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30302</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退休费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公务接待费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3.10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31019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其他交通工具购置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30303</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退职（役）费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30218</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专用材料费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31021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文物和陈列品购置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30304</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抚恤金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19.61</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30224</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被装购置费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31022</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无形资产购置</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30305</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生活补助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39.20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30225</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专用燃料费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31099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其他资本性支出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30306</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救济费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30226</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劳务费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4.87</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399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bCs/>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30307</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医疗费补助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委托业务费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39906</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赠与</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30308</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助学金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30228</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工会经费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2.10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39907</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国家赔偿费用支出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30309</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奖励金</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30229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福利费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1.00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39908</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对民间非营利组织和群众性自治组织补贴</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30310</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个人农业生产补贴</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30231</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公务用车运行维护费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3.60</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39999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30311</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代缴社会保险费</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30239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其他交通费用</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30399</w:t>
            </w: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其他对个人和家庭的补助</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30240</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税金及附加费用</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05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30299</w:t>
            </w: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pPr>
            <w:r>
              <w:rPr>
                <w:b w:val="0"/>
                <w:bCs w:val="0"/>
                <w:sz w:val="22"/>
                <w:szCs w:val="22"/>
              </w:rPr>
              <w:t>其他商品和服务支出</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8.94</w:t>
            </w:r>
          </w:p>
        </w:tc>
        <w:tc>
          <w:tcPr>
            <w:tcW w:w="22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29"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人员经费合计</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441.70</w:t>
            </w:r>
          </w:p>
        </w:tc>
        <w:tc>
          <w:tcPr>
            <w:tcW w:w="2645" w:type="pct"/>
            <w:gridSpan w:val="5"/>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bCs/>
                <w:sz w:val="22"/>
                <w:szCs w:val="22"/>
              </w:rPr>
              <w:t>公用经费合计</w:t>
            </w:r>
          </w:p>
        </w:tc>
        <w:tc>
          <w:tcPr>
            <w:tcW w:w="53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bCs/>
                <w:sz w:val="22"/>
                <w:szCs w:val="22"/>
              </w:rPr>
              <w:t>59.54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9"/>
            <w:shd w:val="clear"/>
            <w:vAlign w:val="center"/>
          </w:tcPr>
          <w:p>
            <w:pPr>
              <w:pStyle w:val="9"/>
              <w:keepNext w:val="0"/>
              <w:keepLines w:val="0"/>
              <w:widowControl/>
              <w:suppressLineNumbers w:val="0"/>
              <w:jc w:val="left"/>
            </w:pPr>
            <w:r>
              <w:rPr>
                <w:b w:val="0"/>
                <w:bCs w:val="0"/>
                <w:sz w:val="22"/>
                <w:szCs w:val="22"/>
              </w:rPr>
              <w:t>注：本表反映部门本年度一般公共预算财政拨款基本支出明细情况。本表金额转换为万元时，因四舍五入可能存在尾数误差。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12"/>
            <w:shd w:val="clear"/>
            <w:vAlign w:val="center"/>
          </w:tcPr>
          <w:p>
            <w:pPr>
              <w:pStyle w:val="9"/>
              <w:keepNext w:val="0"/>
              <w:keepLines w:val="0"/>
              <w:widowControl/>
              <w:suppressLineNumbers w:val="0"/>
              <w:jc w:val="center"/>
            </w:pPr>
            <w:r>
              <w:rPr>
                <w:b w:val="0"/>
                <w:bCs w:val="0"/>
                <w:sz w:val="40"/>
                <w:szCs w:val="4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416" w:type="pct"/>
            <w:shd w:val="clear"/>
            <w:vAlign w:val="center"/>
          </w:tcPr>
          <w:p>
            <w:pPr>
              <w:rPr>
                <w:rFonts w:hint="eastAsia" w:ascii="宋体"/>
                <w:b w:val="0"/>
                <w:bCs w:val="0"/>
                <w:sz w:val="22"/>
                <w:szCs w:val="22"/>
              </w:rPr>
            </w:pPr>
          </w:p>
        </w:tc>
        <w:tc>
          <w:tcPr>
            <w:tcW w:w="833" w:type="pct"/>
            <w:gridSpan w:val="2"/>
            <w:shd w:val="clear"/>
            <w:vAlign w:val="center"/>
          </w:tcPr>
          <w:p>
            <w:pPr>
              <w:pStyle w:val="9"/>
              <w:keepNext w:val="0"/>
              <w:keepLines w:val="0"/>
              <w:widowControl/>
              <w:suppressLineNumbers w:val="0"/>
              <w:jc w:val="right"/>
            </w:pPr>
            <w:r>
              <w:rPr>
                <w:b w:val="0"/>
                <w:bCs w:val="0"/>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6" w:type="pct"/>
            <w:gridSpan w:val="10"/>
            <w:shd w:val="clear"/>
            <w:vAlign w:val="center"/>
          </w:tcPr>
          <w:p>
            <w:pPr>
              <w:pStyle w:val="9"/>
              <w:keepNext w:val="0"/>
              <w:keepLines w:val="0"/>
              <w:widowControl/>
              <w:suppressLineNumbers w:val="0"/>
              <w:jc w:val="left"/>
            </w:pPr>
            <w:r>
              <w:rPr>
                <w:b w:val="0"/>
                <w:bCs w:val="0"/>
                <w:sz w:val="22"/>
                <w:szCs w:val="22"/>
              </w:rPr>
              <w:t>部门：永州市冷水滩区杨村甸乡人民政府</w:t>
            </w:r>
          </w:p>
        </w:tc>
        <w:tc>
          <w:tcPr>
            <w:tcW w:w="833"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预算数</w:t>
            </w:r>
          </w:p>
        </w:tc>
        <w:tc>
          <w:tcPr>
            <w:tcW w:w="2500"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公务接待费</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小计</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公务用车运行费</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小计</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公务用车运行费</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7</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8</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9</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10</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11</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8.50</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4.00</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4.00</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4.50</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6.70</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3.60</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3.60</w:t>
            </w:r>
          </w:p>
        </w:tc>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pPr>
            <w:r>
              <w:rPr>
                <w:b w:val="0"/>
                <w:bCs w:val="0"/>
                <w:sz w:val="22"/>
                <w:szCs w:val="22"/>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000" w:type="pct"/>
            <w:gridSpan w:val="12"/>
            <w:shd w:val="clear"/>
            <w:vAlign w:val="center"/>
          </w:tcPr>
          <w:p>
            <w:pPr>
              <w:pStyle w:val="9"/>
              <w:keepNext w:val="0"/>
              <w:keepLines w:val="0"/>
              <w:widowControl/>
              <w:suppressLineNumbers w:val="0"/>
              <w:jc w:val="left"/>
            </w:pPr>
            <w:r>
              <w:rPr>
                <w:b w:val="0"/>
                <w:bCs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33"/>
        <w:gridCol w:w="334"/>
        <w:gridCol w:w="334"/>
        <w:gridCol w:w="3458"/>
        <w:gridCol w:w="1180"/>
        <w:gridCol w:w="1969"/>
        <w:gridCol w:w="1075"/>
        <w:gridCol w:w="1527"/>
        <w:gridCol w:w="1517"/>
        <w:gridCol w:w="4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10"/>
            <w:shd w:val="clear"/>
            <w:vAlign w:val="center"/>
          </w:tcPr>
          <w:p>
            <w:pPr>
              <w:pStyle w:val="9"/>
              <w:keepNext w:val="0"/>
              <w:keepLines w:val="0"/>
              <w:widowControl/>
              <w:suppressLineNumbers w:val="0"/>
              <w:jc w:val="center"/>
            </w:pPr>
            <w:r>
              <w:rPr>
                <w:b w:val="0"/>
                <w:bCs w:val="0"/>
                <w:sz w:val="40"/>
                <w:szCs w:val="4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04" w:type="pct"/>
            <w:shd w:val="clear"/>
            <w:vAlign w:val="center"/>
          </w:tcPr>
          <w:p>
            <w:pPr>
              <w:rPr>
                <w:rFonts w:hint="eastAsia" w:ascii="宋体"/>
                <w:b w:val="0"/>
                <w:bCs w:val="0"/>
                <w:sz w:val="22"/>
                <w:szCs w:val="22"/>
              </w:rPr>
            </w:pPr>
          </w:p>
        </w:tc>
        <w:tc>
          <w:tcPr>
            <w:tcW w:w="104" w:type="pct"/>
            <w:shd w:val="clear"/>
            <w:vAlign w:val="center"/>
          </w:tcPr>
          <w:p>
            <w:pPr>
              <w:rPr>
                <w:rFonts w:hint="eastAsia" w:ascii="宋体"/>
                <w:b w:val="0"/>
                <w:bCs w:val="0"/>
                <w:sz w:val="22"/>
                <w:szCs w:val="22"/>
              </w:rPr>
            </w:pPr>
          </w:p>
        </w:tc>
        <w:tc>
          <w:tcPr>
            <w:tcW w:w="104" w:type="pct"/>
            <w:shd w:val="clear"/>
            <w:vAlign w:val="center"/>
          </w:tcPr>
          <w:p>
            <w:pPr>
              <w:rPr>
                <w:rFonts w:hint="eastAsia" w:ascii="宋体"/>
                <w:b w:val="0"/>
                <w:bCs w:val="0"/>
                <w:sz w:val="22"/>
                <w:szCs w:val="22"/>
              </w:rPr>
            </w:pPr>
          </w:p>
        </w:tc>
        <w:tc>
          <w:tcPr>
            <w:tcW w:w="1078" w:type="pct"/>
            <w:shd w:val="clear"/>
            <w:vAlign w:val="center"/>
          </w:tcPr>
          <w:p>
            <w:pPr>
              <w:rPr>
                <w:rFonts w:hint="eastAsia" w:ascii="宋体"/>
                <w:b w:val="0"/>
                <w:bCs w:val="0"/>
                <w:sz w:val="22"/>
                <w:szCs w:val="22"/>
              </w:rPr>
            </w:pPr>
          </w:p>
        </w:tc>
        <w:tc>
          <w:tcPr>
            <w:tcW w:w="368" w:type="pct"/>
            <w:shd w:val="clear"/>
            <w:vAlign w:val="center"/>
          </w:tcPr>
          <w:p>
            <w:pPr>
              <w:rPr>
                <w:rFonts w:hint="eastAsia" w:ascii="宋体"/>
                <w:b w:val="0"/>
                <w:bCs w:val="0"/>
                <w:sz w:val="22"/>
                <w:szCs w:val="22"/>
              </w:rPr>
            </w:pPr>
          </w:p>
        </w:tc>
        <w:tc>
          <w:tcPr>
            <w:tcW w:w="614" w:type="pct"/>
            <w:shd w:val="clear"/>
            <w:vAlign w:val="center"/>
          </w:tcPr>
          <w:p>
            <w:pPr>
              <w:rPr>
                <w:rFonts w:hint="eastAsia" w:ascii="宋体"/>
                <w:b w:val="0"/>
                <w:bCs w:val="0"/>
                <w:sz w:val="22"/>
                <w:szCs w:val="22"/>
              </w:rPr>
            </w:pPr>
          </w:p>
        </w:tc>
        <w:tc>
          <w:tcPr>
            <w:tcW w:w="335" w:type="pct"/>
            <w:shd w:val="clear"/>
            <w:vAlign w:val="center"/>
          </w:tcPr>
          <w:p>
            <w:pPr>
              <w:rPr>
                <w:rFonts w:hint="eastAsia" w:ascii="宋体"/>
                <w:b w:val="0"/>
                <w:bCs w:val="0"/>
                <w:sz w:val="22"/>
                <w:szCs w:val="22"/>
              </w:rPr>
            </w:pPr>
          </w:p>
        </w:tc>
        <w:tc>
          <w:tcPr>
            <w:tcW w:w="473" w:type="pct"/>
            <w:shd w:val="clear"/>
            <w:vAlign w:val="center"/>
          </w:tcPr>
          <w:p>
            <w:pPr>
              <w:rPr>
                <w:rFonts w:hint="eastAsia" w:ascii="宋体"/>
                <w:b w:val="0"/>
                <w:bCs w:val="0"/>
                <w:sz w:val="22"/>
                <w:szCs w:val="22"/>
              </w:rPr>
            </w:pPr>
          </w:p>
        </w:tc>
        <w:tc>
          <w:tcPr>
            <w:tcW w:w="1816" w:type="pct"/>
            <w:gridSpan w:val="2"/>
            <w:shd w:val="clear"/>
            <w:vAlign w:val="center"/>
          </w:tcPr>
          <w:p>
            <w:pPr>
              <w:pStyle w:val="9"/>
              <w:keepNext w:val="0"/>
              <w:keepLines w:val="0"/>
              <w:widowControl/>
              <w:suppressLineNumbers w:val="0"/>
              <w:jc w:val="right"/>
            </w:pPr>
            <w:r>
              <w:rPr>
                <w:b w:val="0"/>
                <w:bCs w:val="0"/>
                <w:sz w:val="20"/>
                <w:szCs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83" w:type="pct"/>
            <w:gridSpan w:val="8"/>
            <w:shd w:val="clear"/>
            <w:vAlign w:val="center"/>
          </w:tcPr>
          <w:p>
            <w:pPr>
              <w:pStyle w:val="9"/>
              <w:keepNext w:val="0"/>
              <w:keepLines w:val="0"/>
              <w:widowControl/>
              <w:suppressLineNumbers w:val="0"/>
              <w:jc w:val="left"/>
            </w:pPr>
            <w:r>
              <w:rPr>
                <w:b w:val="0"/>
                <w:bCs w:val="0"/>
                <w:sz w:val="22"/>
                <w:szCs w:val="22"/>
              </w:rPr>
              <w:t>部门：永州市冷水滩区杨村甸乡人民政府</w:t>
            </w:r>
          </w:p>
        </w:tc>
        <w:tc>
          <w:tcPr>
            <w:tcW w:w="1816"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年初结转和结余</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本年收入</w:t>
            </w:r>
          </w:p>
        </w:tc>
        <w:tc>
          <w:tcPr>
            <w:tcW w:w="1281"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项目支出</w:t>
            </w: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4</w:t>
            </w: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5</w:t>
            </w: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07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68"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614"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335"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47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3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5000" w:type="pct"/>
            <w:gridSpan w:val="10"/>
            <w:shd w:val="clear"/>
            <w:vAlign w:val="center"/>
          </w:tcPr>
          <w:p>
            <w:pPr>
              <w:pStyle w:val="9"/>
              <w:keepNext w:val="0"/>
              <w:keepLines w:val="0"/>
              <w:widowControl/>
              <w:suppressLineNumbers w:val="0"/>
              <w:jc w:val="left"/>
            </w:pPr>
            <w:r>
              <w:rPr>
                <w:b w:val="0"/>
                <w:bCs w:val="0"/>
                <w:sz w:val="22"/>
                <w:szCs w:val="22"/>
              </w:rPr>
              <w:t>注：本表反映部门本年度政府性基金预算财政拨款收入、支出及结转和结余情况。本单位没有政府性基金收入，也没有使用政府性基金安排的支出，故本表无数据。</w:t>
            </w:r>
          </w:p>
        </w:tc>
      </w:tr>
    </w:tbl>
    <w:p>
      <w:pPr>
        <w:spacing w:before="0" w:beforeAutospacing="0" w:after="2" w:afterAutospacing="0"/>
        <w:ind w:left="0" w:right="0"/>
        <w:jc w:val="center"/>
        <w:rPr>
          <w:sz w:val="21"/>
          <w:szCs w:val="21"/>
        </w:rPr>
      </w:pP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9"/>
        <w:gridCol w:w="529"/>
        <w:gridCol w:w="532"/>
        <w:gridCol w:w="6329"/>
        <w:gridCol w:w="2707"/>
        <w:gridCol w:w="2704"/>
        <w:gridCol w:w="2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5000" w:type="pct"/>
            <w:gridSpan w:val="7"/>
            <w:shd w:val="clear"/>
            <w:vAlign w:val="center"/>
          </w:tcPr>
          <w:p>
            <w:pPr>
              <w:pStyle w:val="9"/>
              <w:keepNext w:val="0"/>
              <w:keepLines w:val="0"/>
              <w:widowControl/>
              <w:suppressLineNumbers w:val="0"/>
              <w:jc w:val="center"/>
            </w:pPr>
            <w:r>
              <w:rPr>
                <w:b w:val="0"/>
                <w:bCs w:val="0"/>
                <w:sz w:val="40"/>
                <w:szCs w:val="40"/>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65" w:type="pct"/>
            <w:shd w:val="clear"/>
            <w:vAlign w:val="center"/>
          </w:tcPr>
          <w:p>
            <w:pPr>
              <w:rPr>
                <w:rFonts w:hint="eastAsia" w:ascii="宋体"/>
                <w:b w:val="0"/>
                <w:bCs w:val="0"/>
                <w:sz w:val="22"/>
                <w:szCs w:val="22"/>
              </w:rPr>
            </w:pPr>
          </w:p>
        </w:tc>
        <w:tc>
          <w:tcPr>
            <w:tcW w:w="165" w:type="pct"/>
            <w:shd w:val="clear"/>
            <w:vAlign w:val="center"/>
          </w:tcPr>
          <w:p>
            <w:pPr>
              <w:rPr>
                <w:rFonts w:hint="eastAsia" w:ascii="宋体"/>
                <w:b w:val="0"/>
                <w:bCs w:val="0"/>
                <w:sz w:val="22"/>
                <w:szCs w:val="22"/>
              </w:rPr>
            </w:pPr>
          </w:p>
        </w:tc>
        <w:tc>
          <w:tcPr>
            <w:tcW w:w="165" w:type="pct"/>
            <w:shd w:val="clear"/>
            <w:vAlign w:val="center"/>
          </w:tcPr>
          <w:p>
            <w:pPr>
              <w:rPr>
                <w:rFonts w:hint="eastAsia" w:ascii="宋体"/>
                <w:b w:val="0"/>
                <w:bCs w:val="0"/>
                <w:sz w:val="22"/>
                <w:szCs w:val="22"/>
              </w:rPr>
            </w:pPr>
          </w:p>
        </w:tc>
        <w:tc>
          <w:tcPr>
            <w:tcW w:w="1972" w:type="pct"/>
            <w:shd w:val="clear"/>
            <w:vAlign w:val="center"/>
          </w:tcPr>
          <w:p>
            <w:pPr>
              <w:rPr>
                <w:rFonts w:hint="eastAsia" w:ascii="宋体"/>
                <w:b w:val="0"/>
                <w:bCs w:val="0"/>
                <w:sz w:val="22"/>
                <w:szCs w:val="22"/>
              </w:rPr>
            </w:pPr>
          </w:p>
        </w:tc>
        <w:tc>
          <w:tcPr>
            <w:tcW w:w="843" w:type="pct"/>
            <w:shd w:val="clear"/>
            <w:vAlign w:val="center"/>
          </w:tcPr>
          <w:p>
            <w:pPr>
              <w:rPr>
                <w:rFonts w:hint="eastAsia" w:ascii="宋体"/>
                <w:b w:val="0"/>
                <w:bCs w:val="0"/>
                <w:sz w:val="22"/>
                <w:szCs w:val="22"/>
              </w:rPr>
            </w:pPr>
          </w:p>
        </w:tc>
        <w:tc>
          <w:tcPr>
            <w:tcW w:w="1686" w:type="pct"/>
            <w:gridSpan w:val="2"/>
            <w:shd w:val="clear"/>
            <w:vAlign w:val="center"/>
          </w:tcPr>
          <w:p>
            <w:pPr>
              <w:pStyle w:val="9"/>
              <w:keepNext w:val="0"/>
              <w:keepLines w:val="0"/>
              <w:widowControl/>
              <w:suppressLineNumbers w:val="0"/>
              <w:jc w:val="right"/>
            </w:pPr>
            <w:r>
              <w:rPr>
                <w:b w:val="0"/>
                <w:bCs w:val="0"/>
                <w:sz w:val="20"/>
                <w:szCs w:val="2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3313" w:type="pct"/>
            <w:gridSpan w:val="5"/>
            <w:shd w:val="clear"/>
            <w:vAlign w:val="center"/>
          </w:tcPr>
          <w:p>
            <w:pPr>
              <w:pStyle w:val="9"/>
              <w:keepNext w:val="0"/>
              <w:keepLines w:val="0"/>
              <w:widowControl/>
              <w:suppressLineNumbers w:val="0"/>
              <w:jc w:val="left"/>
            </w:pPr>
            <w:r>
              <w:rPr>
                <w:b w:val="0"/>
                <w:bCs w:val="0"/>
                <w:sz w:val="22"/>
                <w:szCs w:val="22"/>
              </w:rPr>
              <w:t>部门：永州市冷水滩区杨村甸乡人民政府</w:t>
            </w:r>
          </w:p>
        </w:tc>
        <w:tc>
          <w:tcPr>
            <w:tcW w:w="1686" w:type="pct"/>
            <w:gridSpan w:val="2"/>
            <w:shd w:val="clear"/>
            <w:vAlign w:val="center"/>
          </w:tcPr>
          <w:p>
            <w:pPr>
              <w:pStyle w:val="9"/>
              <w:keepNext w:val="0"/>
              <w:keepLines w:val="0"/>
              <w:widowControl/>
              <w:suppressLineNumbers w:val="0"/>
              <w:jc w:val="right"/>
            </w:pPr>
            <w:r>
              <w:rPr>
                <w:b w:val="0"/>
                <w:bCs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w:t>
            </w:r>
          </w:p>
        </w:tc>
        <w:tc>
          <w:tcPr>
            <w:tcW w:w="253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栏次</w:t>
            </w: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1</w:t>
            </w: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2</w:t>
            </w: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pPr>
            <w:r>
              <w:rPr>
                <w:b w:val="0"/>
                <w:bCs w:val="0"/>
                <w:sz w:val="22"/>
                <w:szCs w:val="22"/>
              </w:rPr>
              <w:t>合计</w:t>
            </w: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1972"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c>
          <w:tcPr>
            <w:tcW w:w="843" w:type="pct"/>
            <w:tcBorders>
              <w:top w:val="single" w:color="666666" w:sz="6" w:space="0"/>
              <w:left w:val="single" w:color="666666" w:sz="6" w:space="0"/>
              <w:bottom w:val="single" w:color="666666" w:sz="6" w:space="0"/>
              <w:right w:val="single" w:color="666666" w:sz="6" w:space="0"/>
            </w:tcBorders>
            <w:shd w:val="clear"/>
            <w:vAlign w:val="center"/>
          </w:tcPr>
          <w:p>
            <w:pPr>
              <w:rPr>
                <w:rFonts w:hint="eastAsia" w:ascii="宋体"/>
                <w:b w:val="0"/>
                <w:bCs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5000" w:type="pct"/>
            <w:gridSpan w:val="7"/>
            <w:shd w:val="clear"/>
            <w:vAlign w:val="center"/>
          </w:tcPr>
          <w:p>
            <w:pPr>
              <w:pStyle w:val="9"/>
              <w:keepNext w:val="0"/>
              <w:keepLines w:val="0"/>
              <w:widowControl/>
              <w:suppressLineNumbers w:val="0"/>
              <w:jc w:val="left"/>
            </w:pPr>
            <w:r>
              <w:rPr>
                <w:b w:val="0"/>
                <w:bCs w:val="0"/>
                <w:sz w:val="22"/>
                <w:szCs w:val="22"/>
              </w:rPr>
              <w:t>注：本表反映部门本年度国有资本经营预算财政拨款支出情况。本单位没有国有资本经营预算财政拨款收入，也没有使用国有资本经营预算财政拨款安排的支出，故本表无数据。</w:t>
            </w:r>
          </w:p>
        </w:tc>
      </w:tr>
    </w:tbl>
    <w:p>
      <w:pPr>
        <w:rPr>
          <w:color w:val="000000"/>
          <w:sz w:val="32"/>
          <w:szCs w:val="32"/>
        </w:rPr>
        <w:sectPr>
          <w:pgSz w:w="16838" w:h="11906"/>
          <w:pgMar w:top="1080" w:right="400" w:bottom="1080" w:left="400" w:header="851" w:footer="992" w:gutter="0"/>
          <w:paperSrc/>
          <w:cols w:space="0" w:num="1"/>
          <w:docGrid w:type="linesAndChars" w:linePitch="160" w:charSpace="0"/>
        </w:sectPr>
      </w:pPr>
    </w:p>
    <w:p>
      <w:pPr>
        <w:spacing w:before="0" w:beforeAutospacing="0" w:after="2" w:afterAutospacing="0"/>
        <w:jc w:val="center"/>
        <w:rPr>
          <w:sz w:val="21"/>
          <w:szCs w:val="21"/>
        </w:rPr>
      </w:pPr>
      <w:r>
        <w:rPr>
          <w:rFonts w:hint="eastAsia" w:ascii="宋体" w:hAnsi="宋体" w:eastAsia="宋体" w:cs="宋体"/>
          <w:b/>
          <w:bCs/>
          <w:color w:val="000000"/>
          <w:sz w:val="36"/>
          <w:szCs w:val="36"/>
        </w:rPr>
        <w:t>第三部分 2021年度部门决算情况说明</w:t>
      </w:r>
      <w:r>
        <w:rPr>
          <w:color w:val="000000"/>
          <w:sz w:val="21"/>
          <w:szCs w:val="21"/>
        </w:rPr>
        <w:t xml:space="preserve"> </w:t>
      </w:r>
    </w:p>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一、收入支出决算总体情况说明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2021年度收、支总计758.66万元。与上一年度相比，收、支总计各减少58.58万元，下降7.17%。主要是因为项目收支减少。</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二、收入决算情况说明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2021年度收入合计758.66万元，其中：财政拨款收入758.66万元，占100%；上级补助收入0万元，占0%；事业收入0万元，占0%；经营收入0万元，占0%；附属单位上缴收入0万元，占0%；其他收入0万元，占0%。</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三、支出决算情况说明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2021年度支出合计758.66万元，其中：基本支出501.24万元，占66.07%；项目支出257.42万元，占33.93%；上缴上级支出0万元，占0%；经营支出0万元，占0%；对附属单位补助支出0万元，占0%。</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四、财政拨款收入支出决算总体情况说明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2021年度财政拨款收、支总计758.66万元。与上一年度相比，财政拨款收、支总计各减少58.58万元，下降7.17%。主要是因为项目收支减少。</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五、一般公共预算财政拨款支出决算情况说明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（一）财政拨款支出决算总体情况</w:t>
      </w:r>
      <w:r>
        <w:rPr>
          <w:color w:val="000000"/>
          <w:sz w:val="27"/>
          <w:szCs w:val="27"/>
        </w:rPr>
        <w:t xml:space="preserve"> </w:t>
      </w:r>
    </w:p>
    <w:p>
      <w:pPr>
        <w:pStyle w:val="14"/>
        <w:spacing w:before="0" w:beforeAutospacing="0" w:after="2" w:afterAutospacing="0"/>
        <w:ind w:left="0" w:firstLine="855"/>
        <w:rPr>
          <w:sz w:val="27"/>
          <w:szCs w:val="27"/>
        </w:rPr>
      </w:pPr>
      <w:r>
        <w:rPr>
          <w:rFonts w:ascii="宋体" w:hAnsi="宋体" w:eastAsia="宋体" w:cs="宋体"/>
          <w:color w:val="000000"/>
          <w:sz w:val="32"/>
          <w:szCs w:val="32"/>
        </w:rPr>
        <w:t>2021年度财政拨款支出758.66万元，占本年支出合计的100%。与上一年度相比，财政拨款支出减少53.58万元，下降6.6%。主要是因为项目收支减少。</w:t>
      </w:r>
      <w:r>
        <w:rPr>
          <w:rFonts w:hint="eastAsia" w:ascii="宋体" w:hAnsi="宋体" w:eastAsia="宋体" w:cs="宋体"/>
          <w:color w:val="000000"/>
          <w:sz w:val="32"/>
          <w:szCs w:val="32"/>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（二）财政拨款支出决算结构情况</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支出758.66万元，主要用于以下方面：一般公共服务支出380.9万元，占50.2%；教育支出5.35万元，占0.71%；社会保障和就业支出27.04万元，占3.56%；卫生健康支出0.3万元，占0.04%；农林水支出319.29万元，占42.09%；住房保障支出23.36万元，占3.08%；灾害防治及应急管理支出2.42万元，占0.32%。</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（三）财政拨款支出决算具体情况</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2021年度财政拨款支出年初预算数为685.75万元，支出决算数为758.66万元，完成年初预算的110.63%，其中：</w:t>
      </w:r>
      <w:r>
        <w:rPr>
          <w:color w:val="000000"/>
          <w:sz w:val="27"/>
          <w:szCs w:val="27"/>
        </w:rPr>
        <w:t xml:space="preserve"> </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1、一般公共服务支出（类）人大事务（款）行政运行（项）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年初预算为13.32万元，支出决算为6.76万元，完成年初预算的50.75%。决算数小于年初预算数的主要原因是：单位人数变动及单位事权调整，预算科目调整。</w:t>
      </w:r>
      <w:bookmarkStart w:id="0" w:name="_GoBack"/>
      <w:bookmarkEnd w:id="0"/>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2、一般公共服务支出（类）政协事务（款）行政运行（项）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年初预算为13.27万元，支出决算为29.63万元，完成年初预算的223.29%。决算数大于年初预算数的主要原因是：单位人数变动及单位事权调整，预算科目调整。</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3、一般公共服务支出（类）政府办公厅（室）及相关机构事务（款）行政运行（项）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年初预算为255.46万元，支出决算为301.66万元，完成年初预算的118.09%。决算数大于年初预算数的主要原因是：根据工作需要追加预算。</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4、一般公共服务支出（类）统计信息事务（款）专项普查活动（项）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年初预算为0万元，支出决算为1.55万元，</w:t>
      </w:r>
      <w:r>
        <w:rPr>
          <w:rFonts w:hint="eastAsia" w:ascii="宋体" w:hAnsi="宋体" w:eastAsia="宋体" w:cs="宋体"/>
          <w:color w:val="000000"/>
          <w:sz w:val="32"/>
          <w:szCs w:val="32"/>
        </w:rPr>
        <w:t>由于预算数为0，无法计算百分比</w:t>
      </w:r>
      <w:r>
        <w:rPr>
          <w:rFonts w:hint="eastAsia" w:ascii="宋体" w:hAnsi="宋体" w:eastAsia="宋体" w:cs="宋体"/>
          <w:color w:val="000000"/>
          <w:sz w:val="32"/>
          <w:szCs w:val="32"/>
        </w:rPr>
        <w:t>。决算数大于年初预算数的主要原因是：根据资金实际使用情况，科目进行了调整。</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5、一般公共服务支出（类）统计信息事务（款）其他统计信息事务支出（项）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年初预算为0万元，支出决算为2万元，</w:t>
      </w:r>
      <w:r>
        <w:rPr>
          <w:rFonts w:hint="eastAsia" w:ascii="宋体" w:hAnsi="宋体" w:eastAsia="宋体" w:cs="宋体"/>
          <w:color w:val="000000"/>
          <w:sz w:val="32"/>
          <w:szCs w:val="32"/>
        </w:rPr>
        <w:t>由于预算数为0，无法计算百分比</w:t>
      </w:r>
      <w:r>
        <w:rPr>
          <w:rFonts w:hint="eastAsia" w:ascii="宋体" w:hAnsi="宋体" w:eastAsia="宋体" w:cs="宋体"/>
          <w:color w:val="000000"/>
          <w:sz w:val="32"/>
          <w:szCs w:val="32"/>
        </w:rPr>
        <w:t>。决算数大于年初预算数的主要原因是：根据资金实际使用情况，科目进行了调整。</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6、一般公共服务支出（类）党委办公厅（室）及相关机构事务（款）行政运行（项）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年初预算为78.05万元，支出决算为39.3万元，完成年初预算的50.35%。决算数小于年初预算数的主要原因是：根据资金实际使用情况，科目进行了调整。</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7、教育支出（类）普通教育（款）其他普通教育支出（项）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年初预算为0万元，支出决算为5.35万元，</w:t>
      </w:r>
      <w:r>
        <w:rPr>
          <w:rFonts w:hint="eastAsia" w:ascii="宋体" w:hAnsi="宋体" w:eastAsia="宋体" w:cs="宋体"/>
          <w:color w:val="000000"/>
          <w:sz w:val="32"/>
          <w:szCs w:val="32"/>
        </w:rPr>
        <w:t>由于预算数为0，无法计算百分比</w:t>
      </w:r>
      <w:r>
        <w:rPr>
          <w:rFonts w:hint="eastAsia" w:ascii="宋体" w:hAnsi="宋体" w:eastAsia="宋体" w:cs="宋体"/>
          <w:color w:val="000000"/>
          <w:sz w:val="32"/>
          <w:szCs w:val="32"/>
        </w:rPr>
        <w:t>。决算数大于年初预算数的主要原因是：根据资金实际使用情况，科目进行了调整。</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8、社会保障和就业支出（类）行政事业单位养老支出（款）其他行政事业单位养老支出（项）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年初预算为0万元，支出决算为3.33万元，</w:t>
      </w:r>
      <w:r>
        <w:rPr>
          <w:rFonts w:hint="eastAsia" w:ascii="宋体" w:hAnsi="宋体" w:eastAsia="宋体" w:cs="宋体"/>
          <w:color w:val="000000"/>
          <w:sz w:val="32"/>
          <w:szCs w:val="32"/>
        </w:rPr>
        <w:t>由于预算数为0，无法计算百分比</w:t>
      </w:r>
      <w:r>
        <w:rPr>
          <w:rFonts w:hint="eastAsia" w:ascii="宋体" w:hAnsi="宋体" w:eastAsia="宋体" w:cs="宋体"/>
          <w:color w:val="000000"/>
          <w:sz w:val="32"/>
          <w:szCs w:val="32"/>
        </w:rPr>
        <w:t>。决算数大于年初预算数的主要原因是：根据资金实际使用情况，科目进行了调整。。</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9、社会保障和就业支出（类）抚恤（款）死亡抚恤（项）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年初预算为0万元，支出决算为22.41万元，</w:t>
      </w:r>
      <w:r>
        <w:rPr>
          <w:rFonts w:hint="eastAsia" w:ascii="宋体" w:hAnsi="宋体" w:eastAsia="宋体" w:cs="宋体"/>
          <w:color w:val="000000"/>
          <w:sz w:val="32"/>
          <w:szCs w:val="32"/>
        </w:rPr>
        <w:t>由于预算数为0，无法计算百分比</w:t>
      </w:r>
      <w:r>
        <w:rPr>
          <w:rFonts w:hint="eastAsia" w:ascii="宋体" w:hAnsi="宋体" w:eastAsia="宋体" w:cs="宋体"/>
          <w:color w:val="000000"/>
          <w:sz w:val="32"/>
          <w:szCs w:val="32"/>
        </w:rPr>
        <w:t>。决算数大于年初预算数的主要原因是：根据资金实际使用情况，科目进行了调整。</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10、社会保障和就业支出（类）其他社会保障和就业支出（款）其他社会保障和就业支出（项）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年初预算为0万元，支出决算为1.3万元，</w:t>
      </w:r>
      <w:r>
        <w:rPr>
          <w:rFonts w:hint="eastAsia" w:ascii="宋体" w:hAnsi="宋体" w:eastAsia="宋体" w:cs="宋体"/>
          <w:color w:val="000000"/>
          <w:sz w:val="32"/>
          <w:szCs w:val="32"/>
        </w:rPr>
        <w:t>由于预算数为0，无法计算百分比</w:t>
      </w:r>
      <w:r>
        <w:rPr>
          <w:rFonts w:hint="eastAsia" w:ascii="宋体" w:hAnsi="宋体" w:eastAsia="宋体" w:cs="宋体"/>
          <w:color w:val="000000"/>
          <w:sz w:val="32"/>
          <w:szCs w:val="32"/>
        </w:rPr>
        <w:t>。决算数大于年初预算数的主要原因是：根据资金实际使用情况，科目进行了调整。</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11、卫生健康支出（类）公共卫生（款）突发公共卫生事件应急处理（项）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年初预算为0万元，支出决算为0.3万元，</w:t>
      </w:r>
      <w:r>
        <w:rPr>
          <w:rFonts w:hint="eastAsia" w:ascii="宋体" w:hAnsi="宋体" w:eastAsia="宋体" w:cs="宋体"/>
          <w:color w:val="000000"/>
          <w:sz w:val="32"/>
          <w:szCs w:val="32"/>
        </w:rPr>
        <w:t>由于预算数为0，无法计算百分比</w:t>
      </w:r>
      <w:r>
        <w:rPr>
          <w:rFonts w:hint="eastAsia" w:ascii="宋体" w:hAnsi="宋体" w:eastAsia="宋体" w:cs="宋体"/>
          <w:color w:val="000000"/>
          <w:sz w:val="32"/>
          <w:szCs w:val="32"/>
        </w:rPr>
        <w:t>。决算数大于年初预算数的主要原因是：根据资金实际使用情况，科目进行了调整。</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12、农林水支出（类）农业农村（款）行政运行（项）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年初预算为57.32万元，支出决算为29.89万元，</w:t>
      </w:r>
      <w:r>
        <w:rPr>
          <w:rFonts w:hint="eastAsia" w:ascii="宋体" w:hAnsi="宋体" w:eastAsia="宋体" w:cs="宋体"/>
          <w:color w:val="000000"/>
          <w:sz w:val="32"/>
          <w:szCs w:val="32"/>
        </w:rPr>
        <w:t>完成年初预算的52.1</w:t>
      </w:r>
      <w:r>
        <w:rPr>
          <w:rFonts w:hint="eastAsia" w:ascii="宋体" w:hAnsi="宋体" w:eastAsia="宋体" w:cs="宋体"/>
          <w:i w:val="0"/>
          <w:iCs w:val="0"/>
          <w:caps w:val="0"/>
          <w:color w:val="000000"/>
          <w:spacing w:val="0"/>
          <w:sz w:val="32"/>
          <w:szCs w:val="32"/>
        </w:rPr>
        <w:t>5%</w:t>
      </w:r>
      <w:r>
        <w:rPr>
          <w:rFonts w:hint="eastAsia" w:ascii="宋体" w:hAnsi="宋体" w:eastAsia="宋体" w:cs="宋体"/>
          <w:color w:val="000000"/>
          <w:sz w:val="32"/>
          <w:szCs w:val="32"/>
        </w:rPr>
        <w:t>。决算数小于年初预算数的主要原因是：根据资金实际使用情况，科目进行了调整。</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13、农林水支出（类）农业农村（款）农村道路建设（项）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年初预算为0万元，支出决算为18万元，</w:t>
      </w:r>
      <w:r>
        <w:rPr>
          <w:rFonts w:hint="eastAsia" w:ascii="宋体" w:hAnsi="宋体" w:eastAsia="宋体" w:cs="宋体"/>
          <w:color w:val="000000"/>
          <w:sz w:val="32"/>
          <w:szCs w:val="32"/>
        </w:rPr>
        <w:t>由于预算数为0，无法计算百分比</w:t>
      </w:r>
      <w:r>
        <w:rPr>
          <w:rFonts w:hint="eastAsia" w:ascii="宋体" w:hAnsi="宋体" w:eastAsia="宋体" w:cs="宋体"/>
          <w:color w:val="000000"/>
          <w:sz w:val="32"/>
          <w:szCs w:val="32"/>
        </w:rPr>
        <w:t>。决算数大于年初预算数的主要原因是：根据资金实际使用情况，科目进行了调整。</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14、农林水支出（类）水利（款）农村水利（项）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年初预算为0万元，支出决算为5万元，</w:t>
      </w:r>
      <w:r>
        <w:rPr>
          <w:rFonts w:hint="eastAsia" w:ascii="宋体" w:hAnsi="宋体" w:eastAsia="宋体" w:cs="宋体"/>
          <w:color w:val="000000"/>
          <w:sz w:val="32"/>
          <w:szCs w:val="32"/>
        </w:rPr>
        <w:t>由于预算数为0，无法计算百分比</w:t>
      </w:r>
      <w:r>
        <w:rPr>
          <w:rFonts w:hint="eastAsia" w:ascii="宋体" w:hAnsi="宋体" w:eastAsia="宋体" w:cs="宋体"/>
          <w:color w:val="000000"/>
          <w:sz w:val="32"/>
          <w:szCs w:val="32"/>
        </w:rPr>
        <w:t>。决算数大于年初预算数的主要原因是：根据资金实际使用情况，科目进行了调整。</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15、农林水支出（类）水利（款）其他水利支出（项）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年初预算为0万元，支出决算为12.12万元，</w:t>
      </w:r>
      <w:r>
        <w:rPr>
          <w:rFonts w:hint="eastAsia" w:ascii="宋体" w:hAnsi="宋体" w:eastAsia="宋体" w:cs="宋体"/>
          <w:color w:val="000000"/>
          <w:sz w:val="32"/>
          <w:szCs w:val="32"/>
        </w:rPr>
        <w:t>由于预算数为0，无法计算百分比</w:t>
      </w:r>
      <w:r>
        <w:rPr>
          <w:rFonts w:hint="eastAsia" w:ascii="宋体" w:hAnsi="宋体" w:eastAsia="宋体" w:cs="宋体"/>
          <w:color w:val="000000"/>
          <w:sz w:val="32"/>
          <w:szCs w:val="32"/>
        </w:rPr>
        <w:t>。决算数大于年初预算数的主要原因是：根据资金实际使用情况，科目进行了调整。</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16、农林水支出（类）扶贫（款）其他扶贫支出（项）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年初预算为21.98万元，支出决算为21.98万元，完成年初预算的100%。决算数与年初预算数一致，我单位严格按预算执行决算。</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17、农林水支出（类）农村综合改革（款）对村民委员会和村党支部的补助（项）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年初预算为221万元，支出决算为222.3万元，完成年初预算的100.59%。决算数大于年初预算数的主要原因是：根据资金实际使用情况，科目进行了调整。</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18、农林水支出（类）其他农林水支出（款）其他农林水支出（项）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年初预算为0万元，支出决算为10万元，</w:t>
      </w:r>
      <w:r>
        <w:rPr>
          <w:rFonts w:hint="eastAsia" w:ascii="宋体" w:hAnsi="宋体" w:eastAsia="宋体" w:cs="宋体"/>
          <w:color w:val="000000"/>
          <w:sz w:val="32"/>
          <w:szCs w:val="32"/>
        </w:rPr>
        <w:t>由于预算数为0，无法计算百分比</w:t>
      </w:r>
      <w:r>
        <w:rPr>
          <w:rFonts w:hint="eastAsia" w:ascii="宋体" w:hAnsi="宋体" w:eastAsia="宋体" w:cs="宋体"/>
          <w:color w:val="000000"/>
          <w:sz w:val="32"/>
          <w:szCs w:val="32"/>
        </w:rPr>
        <w:t>。决算数大于年初预算数的主要原因是：根据资金实际使用情况，科目进行了调整。</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19、住房保障支出（类）住房改革支出（款）住房公积金（项）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年初预算为23.36万元，支出决算为23.36万元，完成年初预算的100%。决算数与年初预算数一致，我单位严格按预算执行决算。</w:t>
      </w:r>
    </w:p>
    <w:p>
      <w:pPr>
        <w:pStyle w:val="14"/>
        <w:spacing w:before="0" w:beforeAutospacing="0" w:after="2" w:afterAutospacing="0"/>
        <w:ind w:left="0" w:firstLine="641"/>
        <w:rPr>
          <w:sz w:val="27"/>
          <w:szCs w:val="27"/>
        </w:rPr>
      </w:pPr>
      <w:r>
        <w:rPr>
          <w:rStyle w:val="12"/>
          <w:rFonts w:hint="eastAsia" w:ascii="宋体" w:hAnsi="宋体" w:eastAsia="宋体" w:cs="宋体"/>
          <w:color w:val="000000"/>
          <w:sz w:val="32"/>
          <w:szCs w:val="32"/>
        </w:rPr>
        <w:t>20、灾害防治及应急管理支出（类）消防事务（款）消防应急救援（项）</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年初预算为0万元，支出决算为2.42万元，</w:t>
      </w:r>
      <w:r>
        <w:rPr>
          <w:rFonts w:hint="eastAsia" w:ascii="宋体" w:hAnsi="宋体" w:eastAsia="宋体" w:cs="宋体"/>
          <w:color w:val="000000"/>
          <w:sz w:val="32"/>
          <w:szCs w:val="32"/>
        </w:rPr>
        <w:t>由于预算数为0，无法计算百分比</w:t>
      </w:r>
      <w:r>
        <w:rPr>
          <w:rFonts w:hint="eastAsia" w:ascii="宋体" w:hAnsi="宋体" w:eastAsia="宋体" w:cs="宋体"/>
          <w:color w:val="000000"/>
          <w:sz w:val="32"/>
          <w:szCs w:val="32"/>
        </w:rPr>
        <w:t>。决算数大于年初预算数的主要原因是：根据资金实际使用情况，科目进行了调整。</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六、一般公共预算财政拨款基本支出决算情况说明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2021年度财政拨款基本支出501.24万元，其中：人员经费441.7万元，占基本支出的88.12%，主要包括：基本工资、津贴补贴、奖金、绩效工资、机关事业单位基本养老保险缴费、职业年金缴费、职工基本医疗保险缴费、其他社会保障缴费、住房公积金、其他工资福利支出、抚恤金、生活补助。公用经费59.54万元，占基本支出的11.88%，主要包括：办公费、印刷费、电费、邮电费、差旅费、会议费、培训费、公务接待费、劳务费、工会经费、福利费、公务用车运行维护费、其他商品和服务支出。</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七、一般公共预算财政拨款三公经费支出决算情况说明</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（一）“三公”经费财政拨款支出决算总体情况说明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2021年度“三公”经费财政拨款支出预算为8.5万元，支出决算为6.7万元，完成预算的78.82%，</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其中：</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因公出国（境）费支出预算为0万元，支出决算为0万元，决算数与预算数一致，我单位严格按预算执行决算，因公出国（境）费支出与上年持平。</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公务接待费支出预算为4.5万元，支出决算为3.1万元，完成预算的68.89%，决算数小于预算数的主要原因是认真贯彻落实中央八项规定精神和厉行节约要求，从严控制“三公”经费开支 ，公务接待费支出与上年持平。</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公务用车购置费支出预算为0万元，支出决算为0万元，决算数与预算数一致，我单位严格按预算执行决算，公务用车购置费支出与上年持平。</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公务用车运行维护费支出预算为4万元，支出决算为3.6万元，完成预算的90%，决算数小于预算数的主要原因是认真贯彻落实中央八项规定精神和厉行节约要求，从严控制“三公”经费开支 ，公务用车运行维护费支出与上年持平。</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（二）“三公”经费财政拨款支出决算具体情况说明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2021年度“三公”经费财政拨款支出决算中，公务接待费支出决算3.1万元，占46.27%，因公出国（境）费支出决算0万元，占0%，公务用车购置费及运行维护费支出决算3.6万元，占53.73%。其中：</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1、因公出国（境）费支出决算为0万元，全年安排因公出国（境）团组0个，累计0人次，我单位2021年度无因公出国（境）费支出。</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2、公务接待费支出决算为3.1万元，全年共接待来访团组108个、来宾780人次，主要是用于与有关单位交流工作情况及接受相关部门检查指导工作发生的接待支出。</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3、公务用车购置费及运行维护费支出决算为3.6万元，其中：公务用车购置费0万元，单位本级更新公务用车0辆。公务用车运行维护费3.6万元，主要是按规定保留的公务用车的燃料费、维修费、过桥过路费、保险费、安全奖励费用等支出，截至2021年12月31日，我单位开支财政拨款的公务用车保有量为1辆。</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八、政府性基金预算收入支出决算情况</w:t>
      </w:r>
      <w:r>
        <w:rPr>
          <w:color w:val="000000"/>
          <w:sz w:val="27"/>
          <w:szCs w:val="27"/>
        </w:rPr>
        <w:t xml:space="preserve"> </w:t>
      </w:r>
    </w:p>
    <w:p>
      <w:pPr>
        <w:pStyle w:val="14"/>
        <w:spacing w:before="0" w:beforeAutospacing="0" w:after="2" w:afterAutospacing="0"/>
        <w:ind w:left="0" w:firstLine="641"/>
        <w:rPr>
          <w:sz w:val="27"/>
          <w:szCs w:val="27"/>
        </w:rPr>
      </w:pPr>
      <w:r>
        <w:rPr>
          <w:rFonts w:hint="eastAsia" w:ascii="宋体" w:hAnsi="宋体" w:eastAsia="宋体" w:cs="宋体"/>
          <w:color w:val="000000"/>
          <w:sz w:val="32"/>
          <w:szCs w:val="32"/>
        </w:rPr>
        <w:t xml:space="preserve">冷水滩区杨村甸乡政府2021年度没有政府性基金收入，也没有使用政府性基金安排的支出，并已公开空表。 </w:t>
      </w:r>
    </w:p>
    <w:p>
      <w:pPr>
        <w:pStyle w:val="14"/>
        <w:spacing w:before="0" w:beforeAutospacing="0" w:after="2" w:afterAutospacing="0"/>
        <w:ind w:left="0" w:firstLine="641"/>
        <w:rPr>
          <w:sz w:val="27"/>
          <w:szCs w:val="27"/>
        </w:rPr>
      </w:pPr>
      <w:r>
        <w:rPr>
          <w:rFonts w:hint="eastAsia" w:ascii="宋体" w:hAnsi="宋体" w:eastAsia="宋体" w:cs="宋体"/>
          <w:b/>
          <w:bCs/>
          <w:color w:val="000000"/>
          <w:sz w:val="32"/>
          <w:szCs w:val="32"/>
        </w:rPr>
        <w:t>九、关于机关运行经费支出说明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 xml:space="preserve">冷水滩区杨村甸乡政府2021年度机关运行经费支出59.54万元，比年初预算数增加12.09万元，增长25.48%。主要原因是：机构人员增加使办公费用等开支超过预算，部分支出未纳入年初预算。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十、一般性支出情况</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2021年度冷水滩区杨村甸乡政府开支会议费1.5万元，用于召开人大会议，人数48人，内容为召开杨村甸乡人大会议经费；开支培训费1万元，用于开展发展新进党员培训，人数40人，内容为入党积极分子及党员培训支出；举办0场节庆、晚会、论坛、赛事活动，开支0万元，未举办节庆、晚会、论坛、赛事活动，无相关支出。</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十一、关于政府采购支出说明</w:t>
      </w:r>
      <w:r>
        <w:rPr>
          <w:color w:val="000000"/>
          <w:sz w:val="27"/>
          <w:szCs w:val="27"/>
        </w:rPr>
        <w:t xml:space="preserve"> </w:t>
      </w:r>
    </w:p>
    <w:p>
      <w:pPr>
        <w:pStyle w:val="14"/>
        <w:spacing w:before="0" w:beforeAutospacing="0" w:after="2" w:afterAutospacing="0"/>
        <w:ind w:left="0" w:firstLine="640"/>
        <w:jc w:val="both"/>
        <w:rPr>
          <w:sz w:val="27"/>
          <w:szCs w:val="27"/>
        </w:rPr>
      </w:pPr>
      <w:r>
        <w:rPr>
          <w:rFonts w:hint="eastAsia" w:ascii="宋体" w:hAnsi="宋体" w:eastAsia="宋体" w:cs="宋体"/>
          <w:color w:val="000000"/>
          <w:sz w:val="32"/>
          <w:szCs w:val="32"/>
        </w:rPr>
        <w:t xml:space="preserve">冷水滩区杨村甸乡政府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十二、关于国有资产占用情况说明</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color w:val="000000"/>
          <w:sz w:val="32"/>
          <w:szCs w:val="32"/>
        </w:rPr>
        <w:t>截至2021年12月31日，冷水滩区杨村甸乡政府共有车辆1辆（台），其中：机要通信用车0辆、应急保障用车1辆、执法执勤用车0辆、特种专业技术用车0辆、其他用车0辆；单价50万元（含）以上通用设备0台（套），单价100万元（含）以上专用设备0台（套）。</w:t>
      </w:r>
      <w:r>
        <w:rPr>
          <w:color w:val="000000"/>
          <w:sz w:val="27"/>
          <w:szCs w:val="27"/>
        </w:rPr>
        <w:t xml:space="preserve"> </w:t>
      </w:r>
    </w:p>
    <w:p>
      <w:pPr>
        <w:pStyle w:val="14"/>
        <w:spacing w:before="0" w:beforeAutospacing="0" w:after="2" w:afterAutospacing="0"/>
        <w:ind w:left="0" w:firstLine="640"/>
        <w:rPr>
          <w:sz w:val="27"/>
          <w:szCs w:val="27"/>
        </w:rPr>
      </w:pPr>
      <w:r>
        <w:rPr>
          <w:rFonts w:hint="eastAsia" w:ascii="宋体" w:hAnsi="宋体" w:eastAsia="宋体" w:cs="宋体"/>
          <w:b/>
          <w:bCs/>
          <w:color w:val="000000"/>
          <w:sz w:val="32"/>
          <w:szCs w:val="32"/>
        </w:rPr>
        <w:t>十三、关于2021年度预算绩效情况说明</w:t>
      </w:r>
      <w:r>
        <w:rPr>
          <w:color w:val="000000"/>
          <w:sz w:val="27"/>
          <w:szCs w:val="27"/>
        </w:rPr>
        <w:t xml:space="preserve"> </w:t>
      </w:r>
    </w:p>
    <w:p>
      <w:pPr>
        <w:pStyle w:val="14"/>
        <w:spacing w:before="0" w:beforeAutospacing="0" w:after="2" w:afterAutospacing="0"/>
        <w:ind w:left="0" w:firstLine="640"/>
        <w:rPr>
          <w:sz w:val="27"/>
          <w:szCs w:val="27"/>
        </w:rPr>
      </w:pPr>
      <w:r>
        <w:rPr>
          <w:rStyle w:val="12"/>
          <w:rFonts w:ascii="宋体" w:hAnsi="宋体" w:eastAsia="宋体" w:cs="宋体"/>
          <w:color w:val="000000"/>
          <w:sz w:val="36"/>
          <w:szCs w:val="36"/>
        </w:rPr>
        <w:t>（1）绩效管理评价工作开展情况。</w:t>
      </w:r>
    </w:p>
    <w:p>
      <w:pPr>
        <w:pStyle w:val="14"/>
        <w:spacing w:before="0" w:beforeAutospacing="0" w:after="2" w:afterAutospacing="0"/>
        <w:ind w:left="0" w:firstLine="640"/>
        <w:rPr>
          <w:sz w:val="27"/>
          <w:szCs w:val="27"/>
        </w:rPr>
      </w:pPr>
      <w:r>
        <w:rPr>
          <w:rFonts w:ascii="宋体" w:hAnsi="宋体" w:eastAsia="宋体" w:cs="宋体"/>
          <w:color w:val="000000"/>
          <w:sz w:val="32"/>
          <w:szCs w:val="32"/>
        </w:rPr>
        <w:t>一是建立完善绩效管理制度，为推进绩效管理提供制度保障；二是开展部门自评工作，对在编报预算时填写的绩效目标开展部门自评，逐步提高预算绩效管理水平；三是强化绩效评价结果运用，对绩效评价结果较好的专项，适当增加规模；对绩效评价结果欠佳的专项，压缩规模或取消。 </w:t>
      </w:r>
      <w:r>
        <w:rPr>
          <w:color w:val="000000"/>
          <w:sz w:val="27"/>
          <w:szCs w:val="27"/>
        </w:rPr>
        <w:t xml:space="preserve"> </w:t>
      </w:r>
    </w:p>
    <w:p>
      <w:pPr>
        <w:pStyle w:val="14"/>
        <w:spacing w:before="0" w:beforeAutospacing="0" w:after="2" w:afterAutospacing="0"/>
        <w:ind w:left="0" w:firstLine="640"/>
        <w:rPr>
          <w:sz w:val="27"/>
          <w:szCs w:val="27"/>
        </w:rPr>
      </w:pPr>
      <w:r>
        <w:rPr>
          <w:rStyle w:val="12"/>
          <w:rFonts w:ascii="宋体" w:hAnsi="宋体" w:eastAsia="宋体" w:cs="宋体"/>
          <w:color w:val="000000"/>
          <w:sz w:val="36"/>
          <w:szCs w:val="36"/>
        </w:rPr>
        <w:t>（2）部门决算中项目绩效自评结果（如有）。</w:t>
      </w:r>
      <w:r>
        <w:rPr>
          <w:color w:val="000000"/>
          <w:sz w:val="27"/>
          <w:szCs w:val="27"/>
        </w:rPr>
        <w:t xml:space="preserve"> </w:t>
      </w:r>
    </w:p>
    <w:p>
      <w:pPr>
        <w:pStyle w:val="14"/>
        <w:spacing w:before="0" w:beforeAutospacing="0" w:after="2" w:afterAutospacing="0"/>
        <w:ind w:left="0" w:firstLine="640"/>
        <w:rPr>
          <w:sz w:val="27"/>
          <w:szCs w:val="27"/>
        </w:rPr>
      </w:pPr>
      <w:r>
        <w:rPr>
          <w:rFonts w:ascii="宋体" w:hAnsi="宋体" w:eastAsia="宋体" w:cs="宋体"/>
          <w:color w:val="000000"/>
          <w:sz w:val="32"/>
          <w:szCs w:val="32"/>
        </w:rPr>
        <w:t>根据专项绩效评定指标对我单位项目使用情况进行定量分析及定性分析，经评定2021年度我单位各专项资金绩效评价得分为95分。其中项目投入评价得分为20分，项目过程评价得分为30分，项目产出得分为28分，项目效果17分。绩效级别评定为“优”。</w:t>
      </w:r>
      <w:r>
        <w:rPr>
          <w:color w:val="000000"/>
          <w:sz w:val="27"/>
          <w:szCs w:val="27"/>
        </w:rPr>
        <w:t xml:space="preserve"> </w:t>
      </w:r>
    </w:p>
    <w:p>
      <w:pPr>
        <w:pStyle w:val="14"/>
        <w:spacing w:before="0" w:beforeAutospacing="0" w:after="2" w:afterAutospacing="0"/>
        <w:ind w:left="0" w:firstLine="640"/>
        <w:rPr>
          <w:sz w:val="27"/>
          <w:szCs w:val="27"/>
        </w:rPr>
      </w:pPr>
      <w:r>
        <w:rPr>
          <w:rStyle w:val="12"/>
          <w:rFonts w:ascii="宋体" w:hAnsi="宋体" w:eastAsia="宋体" w:cs="宋体"/>
          <w:color w:val="000000"/>
          <w:sz w:val="36"/>
          <w:szCs w:val="36"/>
        </w:rPr>
        <w:t>（3）部门评价项目绩效评价结果。</w:t>
      </w:r>
    </w:p>
    <w:p>
      <w:pPr>
        <w:pStyle w:val="14"/>
        <w:spacing w:before="0" w:beforeAutospacing="0" w:after="2" w:afterAutospacing="0"/>
        <w:ind w:left="0" w:firstLine="640"/>
        <w:rPr>
          <w:sz w:val="27"/>
          <w:szCs w:val="27"/>
        </w:rPr>
      </w:pPr>
      <w:r>
        <w:rPr>
          <w:rFonts w:ascii="宋体" w:hAnsi="宋体" w:eastAsia="宋体" w:cs="宋体"/>
          <w:color w:val="000000"/>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color w:val="000000"/>
          <w:sz w:val="27"/>
          <w:szCs w:val="27"/>
        </w:rPr>
        <w:t xml:space="preserve"> </w:t>
      </w:r>
    </w:p>
    <w:p>
      <w:pPr>
        <w:pStyle w:val="9"/>
        <w:keepNext w:val="0"/>
        <w:keepLines w:val="0"/>
        <w:widowControl/>
        <w:suppressLineNumbers w:val="0"/>
        <w:spacing w:before="0" w:beforeAutospacing="0" w:after="2" w:afterAutospacing="0"/>
        <w:jc w:val="both"/>
      </w:pPr>
    </w:p>
    <w:p>
      <w:pPr>
        <w:pStyle w:val="9"/>
        <w:keepNext w:val="0"/>
        <w:keepLines w:val="0"/>
        <w:widowControl/>
        <w:suppressLineNumbers w:val="0"/>
        <w:spacing w:before="0" w:beforeAutospacing="0" w:after="2" w:afterAutospacing="0"/>
        <w:jc w:val="both"/>
      </w:pPr>
    </w:p>
    <w:p>
      <w:pPr>
        <w:pStyle w:val="9"/>
        <w:keepNext w:val="0"/>
        <w:keepLines w:val="0"/>
        <w:widowControl/>
        <w:suppressLineNumbers w:val="0"/>
        <w:spacing w:before="0" w:beforeAutospacing="0" w:after="2" w:afterAutospacing="0"/>
        <w:jc w:val="both"/>
      </w:pPr>
    </w:p>
    <w:p/>
    <w:p>
      <w:pPr>
        <w:spacing w:before="0" w:beforeAutospacing="0" w:after="2" w:afterAutospacing="0"/>
        <w:jc w:val="center"/>
        <w:rPr>
          <w:sz w:val="21"/>
          <w:szCs w:val="21"/>
        </w:rPr>
      </w:pPr>
      <w:r>
        <w:rPr>
          <w:rFonts w:ascii="宋体" w:hAnsi="宋体" w:eastAsia="宋体" w:cs="宋体"/>
          <w:b/>
          <w:bCs/>
          <w:color w:val="000000"/>
          <w:sz w:val="36"/>
          <w:szCs w:val="36"/>
        </w:rPr>
        <w:t>第四部分</w:t>
      </w:r>
      <w:r>
        <w:rPr>
          <w:rFonts w:hint="eastAsia" w:ascii="宋体" w:hAnsi="宋体" w:eastAsia="宋体" w:cs="宋体"/>
          <w:b/>
          <w:bCs/>
          <w:color w:val="000000"/>
          <w:sz w:val="36"/>
          <w:szCs w:val="36"/>
        </w:rPr>
        <w:t xml:space="preserve"> </w:t>
      </w:r>
      <w:r>
        <w:rPr>
          <w:rFonts w:ascii="宋体" w:hAnsi="宋体" w:eastAsia="宋体" w:cs="宋体"/>
          <w:b/>
          <w:bCs/>
          <w:color w:val="000000"/>
          <w:sz w:val="36"/>
          <w:szCs w:val="36"/>
        </w:rPr>
        <w:t>名词解释</w:t>
      </w:r>
      <w:r>
        <w:rPr>
          <w:color w:val="000000"/>
          <w:sz w:val="21"/>
          <w:szCs w:val="21"/>
        </w:rPr>
        <w:t xml:space="preserve"> </w:t>
      </w:r>
    </w:p>
    <w:p>
      <w:pPr>
        <w:spacing w:before="0" w:beforeAutospacing="0" w:after="2" w:afterAutospacing="0" w:line="336" w:lineRule="atLeast"/>
        <w:ind w:left="0" w:right="0" w:firstLine="643"/>
        <w:rPr>
          <w:rFonts w:ascii="Calibri" w:hAnsi="Calibri" w:cs="Calibri"/>
          <w:sz w:val="21"/>
          <w:szCs w:val="21"/>
        </w:rPr>
      </w:pPr>
      <w:r>
        <w:rPr>
          <w:rFonts w:ascii="宋体" w:hAnsi="宋体" w:eastAsia="宋体" w:cs="宋体"/>
          <w:b/>
          <w:bCs/>
          <w:color w:val="000000"/>
          <w:sz w:val="32"/>
          <w:szCs w:val="32"/>
        </w:rPr>
        <w:t>财政拨款收入</w:t>
      </w:r>
      <w:r>
        <w:rPr>
          <w:rFonts w:ascii="宋体" w:hAnsi="宋体" w:eastAsia="宋体" w:cs="宋体"/>
          <w:color w:val="000000"/>
          <w:sz w:val="32"/>
          <w:szCs w:val="32"/>
        </w:rPr>
        <w:t>：指财政当年拨付的资金。包括一般公共预算财政拨款和政府性基金财政拨款。</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上级补助收入</w:t>
      </w:r>
      <w:r>
        <w:rPr>
          <w:rFonts w:ascii="宋体" w:hAnsi="宋体" w:eastAsia="宋体" w:cs="宋体"/>
          <w:color w:val="000000"/>
          <w:sz w:val="32"/>
          <w:szCs w:val="32"/>
        </w:rPr>
        <w:t>：指事业单位从主管部门和上级单位取得的非财政补助收入。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事业收入：</w:t>
      </w:r>
      <w:r>
        <w:rPr>
          <w:rFonts w:ascii="宋体" w:hAnsi="宋体" w:eastAsia="宋体" w:cs="宋体"/>
          <w:color w:val="000000"/>
          <w:sz w:val="32"/>
          <w:szCs w:val="32"/>
        </w:rPr>
        <w:t>指事业单位开展专业业务活动及辅助活动所取得的收入。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经营收入：</w:t>
      </w:r>
      <w:r>
        <w:rPr>
          <w:rFonts w:ascii="宋体" w:hAnsi="宋体" w:eastAsia="宋体" w:cs="宋体"/>
          <w:color w:val="000000"/>
          <w:sz w:val="32"/>
          <w:szCs w:val="32"/>
        </w:rPr>
        <w:t>指事业单位在专业业务活动及其辅助活动之外开展非独立核算经营活动取得的收入。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附属单位上缴收入</w:t>
      </w:r>
      <w:r>
        <w:rPr>
          <w:rFonts w:ascii="宋体" w:hAnsi="宋体" w:eastAsia="宋体" w:cs="宋体"/>
          <w:color w:val="000000"/>
          <w:sz w:val="32"/>
          <w:szCs w:val="32"/>
        </w:rPr>
        <w:t>：指事业单位附属独立核算单位按照有关规定上缴的收入。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其他收入</w:t>
      </w:r>
      <w:r>
        <w:rPr>
          <w:rFonts w:ascii="宋体" w:hAnsi="宋体" w:eastAsia="宋体" w:cs="宋体"/>
          <w:color w:val="000000"/>
          <w:sz w:val="32"/>
          <w:szCs w:val="32"/>
        </w:rPr>
        <w:t>：指除上述“财政拨款收入”、“事业收入”、“经营收入”等以外的收入。</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用事业基金弥补收支差额</w:t>
      </w:r>
      <w:r>
        <w:rPr>
          <w:rFonts w:ascii="宋体" w:hAnsi="宋体" w:eastAsia="宋体" w:cs="宋体"/>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年初结转和结余</w:t>
      </w:r>
      <w:r>
        <w:rPr>
          <w:rFonts w:ascii="宋体" w:hAnsi="宋体" w:eastAsia="宋体" w:cs="宋体"/>
          <w:color w:val="000000"/>
          <w:sz w:val="32"/>
          <w:szCs w:val="32"/>
        </w:rPr>
        <w:t>：指以前年度尚未完成、结转到本年按有关规定继续使用的资金。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结余分配</w:t>
      </w:r>
      <w:r>
        <w:rPr>
          <w:rFonts w:ascii="宋体" w:hAnsi="宋体" w:eastAsia="宋体" w:cs="宋体"/>
          <w:color w:val="000000"/>
          <w:sz w:val="32"/>
          <w:szCs w:val="32"/>
        </w:rPr>
        <w:t>：指事业事位按规定从非财政补助结余中分配的事业基金和职工福利基金等。</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年末结转和结余</w:t>
      </w:r>
      <w:r>
        <w:rPr>
          <w:rFonts w:ascii="宋体" w:hAnsi="宋体" w:eastAsia="宋体" w:cs="宋体"/>
          <w:color w:val="000000"/>
          <w:sz w:val="32"/>
          <w:szCs w:val="32"/>
        </w:rPr>
        <w:t>：指本年度或以前年度预算安排、因客观条件发生变化无法按原计划实施，需要延迟到以后年度按有关规定继续使用的资金。</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基本支出</w:t>
      </w:r>
      <w:r>
        <w:rPr>
          <w:rFonts w:ascii="宋体" w:hAnsi="宋体" w:eastAsia="宋体" w:cs="宋体"/>
          <w:color w:val="000000"/>
          <w:sz w:val="32"/>
          <w:szCs w:val="32"/>
        </w:rPr>
        <w:t>：指为保障机构正常运转、完成日常工作任务而发生的人员支出和公用支出。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项目支出</w:t>
      </w:r>
      <w:r>
        <w:rPr>
          <w:rFonts w:ascii="宋体" w:hAnsi="宋体" w:eastAsia="宋体" w:cs="宋体"/>
          <w:color w:val="000000"/>
          <w:sz w:val="32"/>
          <w:szCs w:val="32"/>
        </w:rPr>
        <w:t>：指在基本支出之外为完成特定行政任务和事业发展目标所发生的支出。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经营支出</w:t>
      </w:r>
      <w:r>
        <w:rPr>
          <w:rFonts w:ascii="宋体" w:hAnsi="宋体" w:eastAsia="宋体" w:cs="宋体"/>
          <w:color w:val="000000"/>
          <w:sz w:val="32"/>
          <w:szCs w:val="32"/>
        </w:rPr>
        <w:t>：指事业单位在专业业务活动及其辅助活动之外开展非独立核算经营活动所发生的支出。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“三公”经费</w:t>
      </w:r>
      <w:r>
        <w:rPr>
          <w:rFonts w:ascii="宋体" w:hAnsi="宋体" w:eastAsia="宋体" w:cs="宋体"/>
          <w:color w:val="00000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机关运行经费</w:t>
      </w:r>
      <w:r>
        <w:rPr>
          <w:rFonts w:ascii="宋体" w:hAnsi="宋体" w:eastAsia="宋体" w:cs="宋体"/>
          <w:color w:val="00000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cs="Calibri"/>
          <w:color w:val="000000"/>
          <w:sz w:val="21"/>
          <w:szCs w:val="21"/>
        </w:rPr>
        <w:t xml:space="preserve"> </w:t>
      </w:r>
    </w:p>
    <w:p>
      <w:pPr>
        <w:spacing w:before="0" w:beforeAutospacing="0" w:after="2" w:afterAutospacing="0" w:line="336" w:lineRule="atLeast"/>
        <w:ind w:left="0" w:right="0" w:firstLine="643"/>
        <w:rPr>
          <w:rFonts w:hint="default" w:ascii="Calibri" w:hAnsi="Calibri" w:cs="Calibri"/>
          <w:sz w:val="21"/>
          <w:szCs w:val="21"/>
        </w:rPr>
      </w:pPr>
    </w:p>
    <w:p>
      <w:pPr>
        <w:spacing w:before="0" w:beforeAutospacing="0" w:after="2" w:afterAutospacing="0"/>
        <w:jc w:val="center"/>
        <w:rPr>
          <w:sz w:val="21"/>
          <w:szCs w:val="21"/>
        </w:rPr>
      </w:pPr>
      <w:r>
        <w:rPr>
          <w:rFonts w:ascii="宋体" w:hAnsi="宋体" w:eastAsia="宋体" w:cs="宋体"/>
          <w:b/>
          <w:bCs/>
          <w:color w:val="000000"/>
          <w:sz w:val="36"/>
          <w:szCs w:val="36"/>
        </w:rPr>
        <w:t>第五部分</w:t>
      </w:r>
      <w:r>
        <w:rPr>
          <w:rFonts w:hint="eastAsia" w:ascii="宋体" w:hAnsi="宋体" w:eastAsia="宋体" w:cs="宋体"/>
          <w:b/>
          <w:bCs/>
          <w:color w:val="000000"/>
          <w:sz w:val="36"/>
          <w:szCs w:val="36"/>
        </w:rPr>
        <w:t xml:space="preserve"> </w:t>
      </w:r>
      <w:r>
        <w:rPr>
          <w:rFonts w:ascii="宋体" w:hAnsi="宋体" w:eastAsia="宋体" w:cs="宋体"/>
          <w:b/>
          <w:bCs/>
          <w:color w:val="000000"/>
          <w:sz w:val="36"/>
          <w:szCs w:val="36"/>
        </w:rPr>
        <w:t>附件</w:t>
      </w:r>
      <w:r>
        <w:rPr>
          <w:color w:val="000000"/>
          <w:sz w:val="21"/>
          <w:szCs w:val="21"/>
        </w:rPr>
        <w:t xml:space="preserve"> </w:t>
      </w:r>
    </w:p>
    <w:p>
      <w:pPr>
        <w:spacing w:before="0" w:beforeAutospacing="0" w:after="2" w:afterAutospacing="0"/>
        <w:jc w:val="center"/>
        <w:rPr>
          <w:sz w:val="21"/>
          <w:szCs w:val="21"/>
        </w:rPr>
      </w:pPr>
      <w:r>
        <w:rPr>
          <w:rFonts w:ascii="宋体" w:hAnsi="宋体" w:eastAsia="宋体" w:cs="宋体"/>
          <w:sz w:val="28"/>
          <w:szCs w:val="28"/>
          <w:shd w:val="clear" w:fill="FFFFFF"/>
        </w:rPr>
        <w:fldChar w:fldCharType="begin"/>
      </w:r>
      <w:r>
        <w:rPr>
          <w:rFonts w:ascii="宋体" w:hAnsi="宋体" w:eastAsia="宋体" w:cs="宋体"/>
          <w:sz w:val="28"/>
          <w:szCs w:val="28"/>
          <w:shd w:val="clear" w:fill="FFFFFF"/>
        </w:rPr>
        <w:instrText xml:space="preserve"> HYPERLINK "http://10.105.181.49/home/downloadAttachment?attachGUID=cdd19f95e5b940bba767715334c47847" \t "_blank" </w:instrText>
      </w:r>
      <w:r>
        <w:rPr>
          <w:rFonts w:ascii="宋体" w:hAnsi="宋体" w:eastAsia="宋体" w:cs="宋体"/>
          <w:sz w:val="28"/>
          <w:szCs w:val="28"/>
          <w:shd w:val="clear" w:fill="FFFFFF"/>
        </w:rPr>
        <w:fldChar w:fldCharType="separate"/>
      </w:r>
      <w:r>
        <w:rPr>
          <w:rStyle w:val="13"/>
          <w:rFonts w:ascii="宋体" w:hAnsi="宋体" w:eastAsia="宋体" w:cs="宋体"/>
          <w:sz w:val="28"/>
          <w:szCs w:val="28"/>
          <w:shd w:val="clear" w:fill="FFFFFF"/>
        </w:rPr>
        <w:t>杨村甸乡2021年度绩效自评.docx</w:t>
      </w:r>
      <w:r>
        <w:rPr>
          <w:rFonts w:ascii="宋体" w:hAnsi="宋体" w:eastAsia="宋体" w:cs="宋体"/>
          <w:sz w:val="28"/>
          <w:szCs w:val="28"/>
          <w:shd w:val="clear" w:fill="FFFFFF"/>
        </w:rPr>
        <w:fldChar w:fldCharType="end"/>
      </w:r>
    </w:p>
    <w:p>
      <w:pPr>
        <w:spacing w:before="0" w:beforeAutospacing="0" w:after="2" w:afterAutospacing="0"/>
        <w:jc w:val="center"/>
        <w:rPr>
          <w:sz w:val="21"/>
          <w:szCs w:val="21"/>
        </w:rPr>
      </w:pPr>
    </w:p>
    <w:p>
      <w:pPr>
        <w:spacing w:before="0" w:beforeAutospacing="0" w:after="2" w:afterAutospacing="0"/>
        <w:jc w:val="center"/>
        <w:rPr>
          <w:sz w:val="21"/>
          <w:szCs w:val="21"/>
        </w:rPr>
      </w:pPr>
    </w:p>
    <w:sectPr>
      <w:pgSz w:w="11906" w:h="16838" w:orient="landscape"/>
      <w:pgMar w:top="1440" w:right="1080" w:bottom="1440" w:left="1080" w:header="851" w:footer="992" w:gutter="0"/>
      <w:paperSrc/>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
    <w:panose1 w:val="02010600030101010101"/>
    <w:charset w:val="86"/>
    <w:family w:val="auto"/>
    <w:pitch w:val="variable"/>
    <w:sig w:usb0="00000003" w:usb1="288F0000" w:usb2="00000006" w:usb3="00000000" w:csb0="00040001" w:csb1="00000000"/>
  </w:font>
  <w:font w:name="Cambria Math">
    <w:panose1 w:val="02040503050406030204"/>
    <w:charset w:val="00"/>
    <w:family w:val="auto"/>
    <w:pitch w:val="variable"/>
    <w:sig w:usb0="E00002FF" w:usb1="420024FF" w:usb2="00000000" w:usb3="00000000" w:csb0="2000019F" w:csb1="00000000"/>
  </w:font>
  <w:font w:name="等线">
    <w:altName w:val="Arial Unicode MS"/>
    <w:panose1 w:val="02010600030101010101"/>
    <w:charset w:val="86"/>
    <w:family w:val="auto"/>
    <w:pitch w:val="variable"/>
    <w:sig w:usb0="A00002BF" w:usb1="38CF7CFA" w:usb2="00000016" w:usb3="00000000" w:csb0="0004000F" w:csb1="00000000"/>
  </w:font>
  <w:font w:name="楷体">
    <w:panose1 w:val="02010609060101010101"/>
    <w:charset w:val="86"/>
    <w:family w:val="auto"/>
    <w:pitch w:val="fixed"/>
    <w:sig w:usb0="800002BF" w:usb1="38CF7CFA" w:usb2="00000016" w:usb3="00000000" w:csb0="00040001" w:csb1="00000000"/>
  </w:font>
  <w:font w:name="Verdana">
    <w:panose1 w:val="020B0604030504040204"/>
    <w:charset w:val="00"/>
    <w:family w:val="auto"/>
    <w:pitch w:val="variable"/>
    <w:sig w:usb0="A10006FF" w:usb1="4000205B" w:usb2="00000010" w:usb3="00000000" w:csb0="2000019F" w:csb1="00000000"/>
  </w:font>
  <w:font w:name="微软雅黑">
    <w:panose1 w:val="020B0503020204020204"/>
    <w:charset w:val="86"/>
    <w:family w:val="auto"/>
    <w:pitch w:val="variable"/>
    <w:sig w:usb0="80000287" w:usb1="280F3C52" w:usb2="00000016" w:usb3="00000000" w:csb0="0004001F" w:csb1="00000000"/>
  </w:font>
  <w:font w:name="@黑体">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微软雅黑">
    <w:panose1 w:val="020B0503020204020204"/>
    <w:charset w:val="86"/>
    <w:family w:val="auto"/>
    <w:pitch w:val="variable"/>
    <w:sig w:usb0="80000287" w:usb1="280F3C52" w:usb2="00000016" w:usb3="00000000" w:csb0="0004001F" w:csb1="00000000"/>
  </w:font>
  <w:font w:name="Arial Black">
    <w:panose1 w:val="020B0A04020102020204"/>
    <w:charset w:val="00"/>
    <w:family w:val="auto"/>
    <w:pitch w:val="variable"/>
    <w:sig w:usb0="00000287" w:usb1="00000000" w:usb2="00000000" w:usb3="00000000" w:csb0="2000009F" w:csb1="DFD70000"/>
  </w:font>
  <w:font w:name="新宋体">
    <w:panose1 w:val="02010609030101010101"/>
    <w:charset w:val="86"/>
    <w:family w:val="auto"/>
    <w:pitch w:val="fixed"/>
    <w:sig w:usb0="00000003" w:usb1="288F0000" w:usb2="00000006" w:usb3="00000000" w:csb0="00040001" w:csb1="00000000"/>
  </w:font>
  <w:font w:name="@新宋体">
    <w:panose1 w:val="02010609030101010101"/>
    <w:charset w:val="86"/>
    <w:family w:val="auto"/>
    <w:pitch w:val="fixed"/>
    <w:sig w:usb0="00000003" w:usb1="288F0000" w:usb2="00000006" w:usb3="00000000" w:csb0="00040001" w:csb1="00000000"/>
  </w:font>
  <w:font w:name="Tahoma">
    <w:panose1 w:val="020B0604030504040204"/>
    <w:charset w:val="00"/>
    <w:family w:val="auto"/>
    <w:pitch w:val="variable"/>
    <w:sig w:usb0="E1002EFF" w:usb1="C000605B" w:usb2="00000029" w:usb3="00000000" w:csb0="200101FF" w:csb1="20280000"/>
  </w:font>
  <w:font w:name="@等线">
    <w:altName w:val="宋体"/>
    <w:panose1 w:val="02010600030101010101"/>
    <w:charset w:val="86"/>
    <w:family w:val="auto"/>
    <w:pitch w:val="variable"/>
    <w:sig w:usb0="A00002BF" w:usb1="38CF7CFA" w:usb2="00000016" w:usb3="00000000" w:csb0="0004000F" w:csb1="00000000"/>
  </w:font>
  <w:font w:name="@仿宋">
    <w:panose1 w:val="02010609060101010101"/>
    <w:charset w:val="86"/>
    <w:family w:val="auto"/>
    <w:pitch w:val="fixed"/>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TZkOTE1NGZhZTliNGY2YjFlOGIxYzM2MTljYjgifQ=="/>
  </w:docVars>
  <w:rsids>
    <w:rsidRoot w:val="00000000"/>
    <w:rsid w:val="3652282D"/>
    <w:rsid w:val="42BF40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character" w:styleId="13">
    <w:name w:val="Hyperlink"/>
    <w:basedOn w:val="11"/>
    <w:uiPriority w:val="0"/>
    <w:rPr>
      <w:color w:val="0000FF"/>
      <w:u w:val="single"/>
    </w:rPr>
  </w:style>
  <w:style w:type="paragraph" w:customStyle="1" w:styleId="14">
    <w:name w:val="18"/>
    <w:basedOn w:val="1"/>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2023-09-21T08:28:00Z</dcterms:created>
  <dc:creator>Administrator</dc:creator>
  <cp:lastModifiedBy>李雄辉</cp:lastModifiedBy>
  <dcterms:modified xsi:type="dcterms:W3CDTF">2023-09-21T08:37:13Z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466740650EEA46CF93C0F5520768A9B8_13</vt:lpwstr>
  </property>
</Properties>
</file>