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ind w:firstLine="723" w:firstLineChars="200"/>
        <w:jc w:val="center"/>
        <w:rPr>
          <w:rFonts w:asciiTheme="minorEastAsia" w:hAnsiTheme="minorEastAsia" w:eastAsiaTheme="minorEastAsia"/>
          <w:b/>
          <w:bCs/>
          <w:sz w:val="36"/>
          <w:szCs w:val="36"/>
        </w:rPr>
      </w:pPr>
      <w:r>
        <w:rPr>
          <w:rFonts w:hint="eastAsia" w:asciiTheme="minorEastAsia" w:hAnsiTheme="minorEastAsia" w:eastAsiaTheme="minorEastAsia"/>
          <w:b/>
          <w:bCs/>
          <w:color w:val="000000"/>
          <w:sz w:val="36"/>
          <w:szCs w:val="36"/>
        </w:rPr>
        <w:t>冷水滩区残疾人联合会20</w:t>
      </w:r>
      <w:r>
        <w:rPr>
          <w:rFonts w:asciiTheme="minorEastAsia" w:hAnsiTheme="minorEastAsia" w:eastAsiaTheme="minorEastAsia"/>
          <w:b/>
          <w:bCs/>
          <w:color w:val="000000"/>
          <w:sz w:val="36"/>
          <w:szCs w:val="36"/>
        </w:rPr>
        <w:t>21</w:t>
      </w:r>
      <w:r>
        <w:rPr>
          <w:rFonts w:asciiTheme="minorEastAsia" w:hAnsiTheme="minorEastAsia" w:eastAsiaTheme="minorEastAsia"/>
          <w:b/>
          <w:bCs/>
          <w:sz w:val="36"/>
          <w:szCs w:val="36"/>
        </w:rPr>
        <w:t>年度部门整体支出绩效自评报告</w:t>
      </w:r>
      <w:bookmarkStart w:id="3" w:name="_GoBack"/>
      <w:bookmarkEnd w:id="3"/>
    </w:p>
    <w:p>
      <w:pPr>
        <w:spacing w:after="0" w:line="480" w:lineRule="auto"/>
        <w:ind w:firstLine="480" w:firstLineChars="200"/>
        <w:jc w:val="both"/>
        <w:rPr>
          <w:rFonts w:asciiTheme="minorEastAsia" w:hAnsiTheme="minorEastAsia" w:eastAsiaTheme="minorEastAsia"/>
          <w:sz w:val="24"/>
          <w:szCs w:val="24"/>
        </w:rPr>
      </w:pPr>
    </w:p>
    <w:p>
      <w:pPr>
        <w:spacing w:after="0" w:line="480" w:lineRule="auto"/>
        <w:ind w:firstLine="482" w:firstLineChars="200"/>
        <w:jc w:val="both"/>
        <w:rPr>
          <w:rFonts w:asciiTheme="minorEastAsia" w:hAnsiTheme="minorEastAsia" w:eastAsiaTheme="minorEastAsia"/>
          <w:b/>
          <w:sz w:val="24"/>
          <w:szCs w:val="24"/>
        </w:rPr>
      </w:pPr>
      <w:r>
        <w:rPr>
          <w:rFonts w:asciiTheme="minorEastAsia" w:hAnsiTheme="minorEastAsia" w:eastAsiaTheme="minorEastAsia"/>
          <w:b/>
          <w:sz w:val="24"/>
          <w:szCs w:val="24"/>
        </w:rPr>
        <w:t>一、部门概况</w:t>
      </w:r>
    </w:p>
    <w:p>
      <w:pPr>
        <w:spacing w:after="0" w:line="480" w:lineRule="auto"/>
        <w:ind w:firstLine="482" w:firstLineChars="200"/>
        <w:jc w:val="both"/>
        <w:rPr>
          <w:rFonts w:asciiTheme="minorEastAsia" w:hAnsiTheme="minorEastAsia" w:eastAsiaTheme="minorEastAsia"/>
          <w:b/>
          <w:bCs/>
          <w:sz w:val="24"/>
          <w:szCs w:val="24"/>
        </w:rPr>
      </w:pPr>
      <w:r>
        <w:rPr>
          <w:rFonts w:asciiTheme="minorEastAsia" w:hAnsiTheme="minorEastAsia" w:eastAsiaTheme="minorEastAsia"/>
          <w:b/>
          <w:bCs/>
          <w:sz w:val="24"/>
          <w:szCs w:val="24"/>
        </w:rPr>
        <w:t>（一）部门基本情况。</w:t>
      </w:r>
    </w:p>
    <w:p>
      <w:pPr>
        <w:pStyle w:val="4"/>
        <w:spacing w:beforeAutospacing="0" w:afterAutospacing="0" w:line="480" w:lineRule="auto"/>
        <w:ind w:left="426" w:firstLine="480" w:firstLineChars="200"/>
        <w:jc w:val="both"/>
        <w:rPr>
          <w:rFonts w:asciiTheme="minorEastAsia" w:hAnsiTheme="minorEastAsia"/>
          <w:szCs w:val="24"/>
        </w:rPr>
      </w:pPr>
      <w:r>
        <w:rPr>
          <w:rFonts w:hint="eastAsia" w:asciiTheme="minorEastAsia" w:hAnsiTheme="minorEastAsia"/>
          <w:szCs w:val="24"/>
        </w:rPr>
        <w:t>冷水滩区现有残疾人约3.3万多人，持有残疾人的证有1.3万人。冷水滩区残联是全额拨款的正科级事业单位，内设办公室、康复股、宣教就业股三个机构。有两个下属事业单位，分别是冷水滩区残疾人劳动就业服务所和冷水滩区残疾人辅助器具供应服务站，均为股级单位。人员编制情况：现有在职人员</w:t>
      </w:r>
      <w:r>
        <w:rPr>
          <w:rFonts w:asciiTheme="minorEastAsia" w:hAnsiTheme="minorEastAsia"/>
          <w:szCs w:val="24"/>
        </w:rPr>
        <w:t>40</w:t>
      </w:r>
      <w:r>
        <w:rPr>
          <w:rFonts w:hint="eastAsia" w:asciiTheme="minorEastAsia" w:hAnsiTheme="minorEastAsia"/>
          <w:szCs w:val="24"/>
        </w:rPr>
        <w:t>人，退休人员</w:t>
      </w:r>
      <w:r>
        <w:rPr>
          <w:rFonts w:asciiTheme="minorEastAsia" w:hAnsiTheme="minorEastAsia"/>
          <w:szCs w:val="24"/>
        </w:rPr>
        <w:t>7</w:t>
      </w:r>
      <w:r>
        <w:rPr>
          <w:rFonts w:hint="eastAsia" w:asciiTheme="minorEastAsia" w:hAnsiTheme="minorEastAsia"/>
          <w:szCs w:val="24"/>
        </w:rPr>
        <w:t>人.其中有正科级干部</w:t>
      </w:r>
      <w:r>
        <w:rPr>
          <w:rFonts w:asciiTheme="minorEastAsia" w:hAnsiTheme="minorEastAsia"/>
          <w:szCs w:val="24"/>
        </w:rPr>
        <w:t>4</w:t>
      </w:r>
      <w:r>
        <w:rPr>
          <w:rFonts w:hint="eastAsia" w:asciiTheme="minorEastAsia" w:hAnsiTheme="minorEastAsia"/>
          <w:szCs w:val="24"/>
        </w:rPr>
        <w:t>人，副科级干部</w:t>
      </w:r>
      <w:r>
        <w:rPr>
          <w:rFonts w:asciiTheme="minorEastAsia" w:hAnsiTheme="minorEastAsia"/>
          <w:szCs w:val="24"/>
        </w:rPr>
        <w:t>2</w:t>
      </w:r>
      <w:r>
        <w:rPr>
          <w:rFonts w:hint="eastAsia" w:asciiTheme="minorEastAsia" w:hAnsiTheme="minorEastAsia"/>
          <w:szCs w:val="24"/>
        </w:rPr>
        <w:t>人，科员</w:t>
      </w:r>
      <w:r>
        <w:rPr>
          <w:rFonts w:asciiTheme="minorEastAsia" w:hAnsiTheme="minorEastAsia"/>
          <w:szCs w:val="24"/>
        </w:rPr>
        <w:t>2</w:t>
      </w:r>
      <w:r>
        <w:rPr>
          <w:rFonts w:hint="eastAsia" w:asciiTheme="minorEastAsia" w:hAnsiTheme="minorEastAsia"/>
          <w:szCs w:val="24"/>
        </w:rPr>
        <w:t>人。</w:t>
      </w:r>
    </w:p>
    <w:p>
      <w:pPr>
        <w:pStyle w:val="4"/>
        <w:spacing w:beforeAutospacing="0" w:afterAutospacing="0" w:line="480" w:lineRule="auto"/>
        <w:ind w:left="426" w:firstLine="480" w:firstLineChars="200"/>
        <w:jc w:val="both"/>
        <w:rPr>
          <w:rFonts w:cs="宋体" w:asciiTheme="minorEastAsia" w:hAnsiTheme="minorEastAsia"/>
          <w:color w:val="000000"/>
          <w:szCs w:val="24"/>
        </w:rPr>
      </w:pPr>
      <w:r>
        <w:rPr>
          <w:rFonts w:hint="eastAsia" w:asciiTheme="minorEastAsia" w:hAnsiTheme="minorEastAsia"/>
          <w:szCs w:val="24"/>
        </w:rPr>
        <w:t>冷水滩区残联严格</w:t>
      </w:r>
      <w:r>
        <w:rPr>
          <w:rFonts w:hint="eastAsia" w:cs="宋体" w:asciiTheme="minorEastAsia" w:hAnsiTheme="minorEastAsia"/>
          <w:color w:val="000000"/>
          <w:szCs w:val="24"/>
        </w:rPr>
        <w:t>贯彻落实党和政府关于残疾人工作的方针、政策，联系、团结、教育残疾人，反映残疾人需求，宣传残疾人事业，沟通政府、社会与残疾人之间的联系。开展和促进残疾人康复、教育、劳动就业、文化生活、福利、社会服务、残疾预防工作和无障碍设施、体育、科研、辅助器具供应。协助政府研究、制定和实施残疾人事业发展的地方政策、规划和计划，对有关业务进行指导和管理。</w:t>
      </w:r>
    </w:p>
    <w:p>
      <w:pPr>
        <w:widowControl w:val="0"/>
        <w:adjustRightInd/>
        <w:snapToGrid/>
        <w:spacing w:after="0" w:line="480" w:lineRule="auto"/>
        <w:ind w:left="426" w:firstLine="482" w:firstLineChars="200"/>
        <w:jc w:val="both"/>
        <w:rPr>
          <w:rFonts w:cs="仿宋_GB2312" w:asciiTheme="minorEastAsia" w:hAnsiTheme="minorEastAsia" w:eastAsiaTheme="minorEastAsia"/>
          <w:b/>
          <w:bCs/>
          <w:sz w:val="24"/>
          <w:szCs w:val="24"/>
        </w:rPr>
      </w:pPr>
      <w:r>
        <w:rPr>
          <w:rFonts w:hint="eastAsia" w:asciiTheme="minorEastAsia" w:hAnsiTheme="minorEastAsia" w:eastAsiaTheme="minorEastAsia"/>
          <w:b/>
          <w:bCs/>
          <w:color w:val="000000"/>
          <w:sz w:val="24"/>
          <w:szCs w:val="24"/>
        </w:rPr>
        <w:t>（二）20</w:t>
      </w:r>
      <w:r>
        <w:rPr>
          <w:rFonts w:asciiTheme="minorEastAsia" w:hAnsiTheme="minorEastAsia" w:eastAsiaTheme="minorEastAsia"/>
          <w:b/>
          <w:bCs/>
          <w:color w:val="000000"/>
          <w:sz w:val="24"/>
          <w:szCs w:val="24"/>
        </w:rPr>
        <w:t>21</w:t>
      </w:r>
      <w:r>
        <w:rPr>
          <w:rFonts w:asciiTheme="minorEastAsia" w:hAnsiTheme="minorEastAsia" w:eastAsiaTheme="minorEastAsia"/>
          <w:b/>
          <w:bCs/>
          <w:sz w:val="24"/>
          <w:szCs w:val="24"/>
        </w:rPr>
        <w:t>年的重点工作</w:t>
      </w:r>
    </w:p>
    <w:p>
      <w:pPr>
        <w:widowControl w:val="0"/>
        <w:adjustRightInd/>
        <w:snapToGrid/>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1、召开每年度的全区残疾人工作事业会议，下达就业、康复、宣教等各项工作任务。</w:t>
      </w:r>
    </w:p>
    <w:p>
      <w:pPr>
        <w:widowControl w:val="0"/>
        <w:adjustRightInd/>
        <w:snapToGrid/>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2、全国助残日对部分特困残疾人进行走访慰问，并免费赠送辅助器具。</w:t>
      </w:r>
    </w:p>
    <w:p>
      <w:pPr>
        <w:widowControl w:val="0"/>
        <w:adjustRightInd/>
        <w:snapToGrid/>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3、免费为家庭困难的残疾人赠送和安装辅助器具。</w:t>
      </w:r>
    </w:p>
    <w:p>
      <w:pPr>
        <w:widowControl w:val="0"/>
        <w:adjustRightInd/>
        <w:snapToGrid/>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4、做好残疾人摩托车主的信访维稳工作。</w:t>
      </w:r>
    </w:p>
    <w:p>
      <w:pPr>
        <w:widowControl w:val="0"/>
        <w:adjustRightInd/>
        <w:snapToGrid/>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5、对农村残疾人免费进行实用技术培训。</w:t>
      </w:r>
    </w:p>
    <w:p>
      <w:pPr>
        <w:widowControl w:val="0"/>
        <w:adjustRightInd/>
        <w:snapToGrid/>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6、完成本年困难度残疾人家庭无障碍改造工作任务指标。</w:t>
      </w:r>
    </w:p>
    <w:p>
      <w:pPr>
        <w:widowControl w:val="0"/>
        <w:adjustRightInd/>
        <w:snapToGrid/>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7、完成本年度0</w:t>
      </w:r>
      <w:r>
        <w:rPr>
          <w:rFonts w:cs="仿宋_GB2312" w:asciiTheme="minorEastAsia" w:hAnsiTheme="minorEastAsia" w:eastAsiaTheme="minorEastAsia"/>
          <w:bCs/>
          <w:sz w:val="24"/>
          <w:szCs w:val="24"/>
        </w:rPr>
        <w:t>-6</w:t>
      </w:r>
      <w:r>
        <w:rPr>
          <w:rFonts w:hint="eastAsia" w:cs="仿宋_GB2312" w:asciiTheme="minorEastAsia" w:hAnsiTheme="minorEastAsia" w:eastAsiaTheme="minorEastAsia"/>
          <w:bCs/>
          <w:sz w:val="24"/>
          <w:szCs w:val="24"/>
        </w:rPr>
        <w:t>岁儿童康复任务指标。</w:t>
      </w:r>
    </w:p>
    <w:p>
      <w:pPr>
        <w:widowControl w:val="0"/>
        <w:adjustRightInd/>
        <w:snapToGrid/>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8、对困难残疾人家庭的高中大学生发放教育补助。</w:t>
      </w:r>
    </w:p>
    <w:p>
      <w:pPr>
        <w:widowControl w:val="0"/>
        <w:adjustRightInd/>
        <w:snapToGrid/>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9、完成区委、区政府交办的其他工作。</w:t>
      </w:r>
    </w:p>
    <w:p>
      <w:pPr>
        <w:spacing w:after="0" w:line="480" w:lineRule="auto"/>
        <w:ind w:firstLine="482" w:firstLineChars="200"/>
        <w:jc w:val="both"/>
        <w:rPr>
          <w:rFonts w:asciiTheme="minorEastAsia" w:hAnsiTheme="minorEastAsia" w:eastAsiaTheme="minorEastAsia"/>
          <w:b/>
          <w:sz w:val="24"/>
          <w:szCs w:val="24"/>
        </w:rPr>
      </w:pPr>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、一般公共预算支出情况</w:t>
      </w:r>
    </w:p>
    <w:p>
      <w:pPr>
        <w:spacing w:after="0" w:line="480" w:lineRule="auto"/>
        <w:ind w:firstLine="482" w:firstLineChars="200"/>
        <w:jc w:val="both"/>
        <w:rPr>
          <w:rFonts w:asciiTheme="minorEastAsia" w:hAnsiTheme="minorEastAsia" w:eastAsiaTheme="minorEastAsia"/>
          <w:b/>
          <w:bCs/>
          <w:sz w:val="24"/>
          <w:szCs w:val="24"/>
        </w:rPr>
      </w:pPr>
      <w:r>
        <w:rPr>
          <w:rFonts w:asciiTheme="minorEastAsia" w:hAnsiTheme="minorEastAsia" w:eastAsiaTheme="minorEastAsia"/>
          <w:b/>
          <w:bCs/>
          <w:sz w:val="24"/>
          <w:szCs w:val="24"/>
        </w:rPr>
        <w:t>（一）基本支出情况。</w:t>
      </w:r>
    </w:p>
    <w:p>
      <w:pPr>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1.收入：2</w:t>
      </w:r>
      <w:r>
        <w:rPr>
          <w:rFonts w:cs="仿宋_GB2312" w:asciiTheme="minorEastAsia" w:hAnsiTheme="minorEastAsia" w:eastAsiaTheme="minorEastAsia"/>
          <w:bCs/>
          <w:sz w:val="24"/>
          <w:szCs w:val="24"/>
        </w:rPr>
        <w:t>021</w:t>
      </w:r>
      <w:r>
        <w:rPr>
          <w:rFonts w:hint="eastAsia" w:cs="仿宋_GB2312" w:asciiTheme="minorEastAsia" w:hAnsiTheme="minorEastAsia" w:eastAsiaTheme="minorEastAsia"/>
          <w:bCs/>
          <w:sz w:val="24"/>
          <w:szCs w:val="24"/>
        </w:rPr>
        <w:t>年预算安排总收入</w:t>
      </w:r>
      <w:r>
        <w:rPr>
          <w:rFonts w:cs="仿宋_GB2312" w:asciiTheme="minorEastAsia" w:hAnsiTheme="minorEastAsia" w:eastAsiaTheme="minorEastAsia"/>
          <w:bCs/>
          <w:sz w:val="24"/>
          <w:szCs w:val="24"/>
        </w:rPr>
        <w:t>648.45</w:t>
      </w:r>
      <w:r>
        <w:rPr>
          <w:rFonts w:hint="eastAsia" w:cs="仿宋_GB2312" w:asciiTheme="minorEastAsia" w:hAnsiTheme="minorEastAsia" w:eastAsiaTheme="minorEastAsia"/>
          <w:bCs/>
          <w:sz w:val="24"/>
          <w:szCs w:val="24"/>
        </w:rPr>
        <w:t>万元（正常经费拨款）。</w:t>
      </w:r>
    </w:p>
    <w:p>
      <w:pPr>
        <w:spacing w:after="0" w:line="480" w:lineRule="auto"/>
        <w:ind w:left="-33" w:leftChars="-15"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2.支出：20</w:t>
      </w:r>
      <w:r>
        <w:rPr>
          <w:rFonts w:cs="仿宋_GB2312" w:asciiTheme="minorEastAsia" w:hAnsiTheme="minorEastAsia" w:eastAsiaTheme="minorEastAsia"/>
          <w:bCs/>
          <w:sz w:val="24"/>
          <w:szCs w:val="24"/>
        </w:rPr>
        <w:t>21</w:t>
      </w:r>
      <w:r>
        <w:rPr>
          <w:rFonts w:hint="eastAsia" w:cs="仿宋_GB2312" w:asciiTheme="minorEastAsia" w:hAnsiTheme="minorEastAsia" w:eastAsiaTheme="minorEastAsia"/>
          <w:bCs/>
          <w:sz w:val="24"/>
          <w:szCs w:val="24"/>
        </w:rPr>
        <w:t>年预算安排总支出</w:t>
      </w:r>
      <w:r>
        <w:rPr>
          <w:rFonts w:cs="仿宋_GB2312" w:asciiTheme="minorEastAsia" w:hAnsiTheme="minorEastAsia" w:eastAsiaTheme="minorEastAsia"/>
          <w:bCs/>
          <w:sz w:val="24"/>
          <w:szCs w:val="24"/>
        </w:rPr>
        <w:t>648.45</w:t>
      </w:r>
      <w:r>
        <w:rPr>
          <w:rFonts w:hint="eastAsia" w:cs="仿宋_GB2312" w:asciiTheme="minorEastAsia" w:hAnsiTheme="minorEastAsia" w:eastAsiaTheme="minorEastAsia"/>
          <w:bCs/>
          <w:sz w:val="24"/>
          <w:szCs w:val="24"/>
        </w:rPr>
        <w:t>万元，其中工资福利支出</w:t>
      </w:r>
      <w:r>
        <w:rPr>
          <w:rFonts w:cs="仿宋_GB2312" w:asciiTheme="minorEastAsia" w:hAnsiTheme="minorEastAsia" w:eastAsiaTheme="minorEastAsia"/>
          <w:bCs/>
          <w:sz w:val="24"/>
          <w:szCs w:val="24"/>
        </w:rPr>
        <w:t>533.43</w:t>
      </w:r>
      <w:r>
        <w:rPr>
          <w:rFonts w:hint="eastAsia" w:cs="仿宋_GB2312" w:asciiTheme="minorEastAsia" w:hAnsiTheme="minorEastAsia" w:eastAsiaTheme="minorEastAsia"/>
          <w:bCs/>
          <w:sz w:val="24"/>
          <w:szCs w:val="24"/>
        </w:rPr>
        <w:t>万元（含住房公积金</w:t>
      </w:r>
      <w:r>
        <w:rPr>
          <w:rFonts w:cs="仿宋_GB2312" w:asciiTheme="minorEastAsia" w:hAnsiTheme="minorEastAsia" w:eastAsiaTheme="minorEastAsia"/>
          <w:bCs/>
          <w:sz w:val="24"/>
          <w:szCs w:val="24"/>
        </w:rPr>
        <w:t>25.44</w:t>
      </w:r>
      <w:r>
        <w:rPr>
          <w:rFonts w:hint="eastAsia" w:cs="仿宋_GB2312" w:asciiTheme="minorEastAsia" w:hAnsiTheme="minorEastAsia" w:eastAsiaTheme="minorEastAsia"/>
          <w:bCs/>
          <w:sz w:val="24"/>
          <w:szCs w:val="24"/>
        </w:rPr>
        <w:t>万元）；一般商品和服务支出</w:t>
      </w:r>
      <w:r>
        <w:rPr>
          <w:rFonts w:cs="仿宋_GB2312" w:asciiTheme="minorEastAsia" w:hAnsiTheme="minorEastAsia" w:eastAsiaTheme="minorEastAsia"/>
          <w:bCs/>
          <w:sz w:val="24"/>
          <w:szCs w:val="24"/>
        </w:rPr>
        <w:t>34.33</w:t>
      </w:r>
      <w:r>
        <w:rPr>
          <w:rFonts w:hint="eastAsia" w:cs="仿宋_GB2312" w:asciiTheme="minorEastAsia" w:hAnsiTheme="minorEastAsia" w:eastAsiaTheme="minorEastAsia"/>
          <w:bCs/>
          <w:sz w:val="24"/>
          <w:szCs w:val="24"/>
        </w:rPr>
        <w:t>万元；其他支出8</w:t>
      </w:r>
      <w:r>
        <w:rPr>
          <w:rFonts w:cs="仿宋_GB2312" w:asciiTheme="minorEastAsia" w:hAnsiTheme="minorEastAsia" w:eastAsiaTheme="minorEastAsia"/>
          <w:bCs/>
          <w:sz w:val="24"/>
          <w:szCs w:val="24"/>
        </w:rPr>
        <w:t>0.7</w:t>
      </w:r>
      <w:r>
        <w:rPr>
          <w:rFonts w:hint="eastAsia" w:cs="仿宋_GB2312" w:asciiTheme="minorEastAsia" w:hAnsiTheme="minorEastAsia" w:eastAsiaTheme="minorEastAsia"/>
          <w:bCs/>
          <w:sz w:val="24"/>
          <w:szCs w:val="24"/>
        </w:rPr>
        <w:t>万元。</w:t>
      </w:r>
    </w:p>
    <w:p>
      <w:pPr>
        <w:spacing w:after="0" w:line="480" w:lineRule="auto"/>
        <w:ind w:left="-33" w:leftChars="-15" w:firstLine="482" w:firstLineChars="200"/>
        <w:jc w:val="both"/>
        <w:rPr>
          <w:rFonts w:asciiTheme="minorEastAsia" w:hAnsiTheme="minorEastAsia" w:eastAsiaTheme="minorEastAsia"/>
          <w:sz w:val="24"/>
          <w:szCs w:val="24"/>
        </w:rPr>
      </w:pPr>
      <w:r>
        <w:rPr>
          <w:rFonts w:asciiTheme="minorEastAsia" w:hAnsiTheme="minorEastAsia" w:eastAsiaTheme="minorEastAsia"/>
          <w:b/>
          <w:bCs/>
          <w:sz w:val="24"/>
          <w:szCs w:val="24"/>
        </w:rPr>
        <w:t>（二）项目支出情况</w:t>
      </w:r>
      <w:r>
        <w:rPr>
          <w:rFonts w:asciiTheme="minorEastAsia" w:hAnsiTheme="minorEastAsia" w:eastAsiaTheme="minorEastAsia"/>
          <w:sz w:val="24"/>
          <w:szCs w:val="24"/>
        </w:rPr>
        <w:t>。</w:t>
      </w:r>
    </w:p>
    <w:p>
      <w:pPr>
        <w:spacing w:after="0" w:line="480" w:lineRule="auto"/>
        <w:ind w:left="-33" w:leftChars="-15" w:firstLine="482" w:firstLineChars="20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本单位无项目支出</w:t>
      </w:r>
    </w:p>
    <w:p>
      <w:pPr>
        <w:spacing w:after="0" w:line="480" w:lineRule="auto"/>
        <w:ind w:firstLine="140" w:firstLineChars="58"/>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三、政府性基金预算支出情况</w:t>
      </w:r>
    </w:p>
    <w:p>
      <w:pPr>
        <w:spacing w:after="0" w:line="480" w:lineRule="auto"/>
        <w:ind w:firstLine="140" w:firstLineChars="58"/>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无</w:t>
      </w:r>
    </w:p>
    <w:p>
      <w:pPr>
        <w:spacing w:after="0" w:line="480" w:lineRule="auto"/>
        <w:ind w:firstLine="140" w:firstLineChars="58"/>
        <w:jc w:val="both"/>
        <w:rPr>
          <w:rFonts w:asciiTheme="minorEastAsia" w:hAnsiTheme="minorEastAsia" w:eastAsiaTheme="minorEastAsia"/>
          <w:sz w:val="24"/>
          <w:szCs w:val="24"/>
        </w:rPr>
      </w:pPr>
      <w:r>
        <w:rPr>
          <w:rFonts w:hint="eastAsia" w:asciiTheme="minorEastAsia" w:hAnsiTheme="minorEastAsia" w:eastAsiaTheme="minorEastAsia"/>
          <w:b/>
          <w:bCs/>
          <w:sz w:val="24"/>
          <w:szCs w:val="24"/>
        </w:rPr>
        <w:t>四、国有资本经营预算支出情况</w:t>
      </w:r>
    </w:p>
    <w:p>
      <w:pPr>
        <w:spacing w:after="0" w:line="480" w:lineRule="auto"/>
        <w:ind w:firstLine="482" w:firstLineChars="200"/>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无</w:t>
      </w:r>
    </w:p>
    <w:p>
      <w:pPr>
        <w:spacing w:after="0" w:line="48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五</w:t>
      </w:r>
      <w:r>
        <w:rPr>
          <w:rFonts w:asciiTheme="minorEastAsia" w:hAnsiTheme="minorEastAsia" w:eastAsiaTheme="minorEastAsia"/>
          <w:b/>
          <w:sz w:val="24"/>
          <w:szCs w:val="24"/>
        </w:rPr>
        <w:t>、部门整体支出绩效情况</w:t>
      </w:r>
    </w:p>
    <w:p>
      <w:pPr>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根据《部门整体支出绩效评价指标》评分，得分100分。主要绩效情况如下：</w:t>
      </w:r>
    </w:p>
    <w:p>
      <w:pPr>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从经济性情况分析看，预算资金覆盖各个需求方面，“三公”经费预算没有超过上年预算安排。202</w:t>
      </w:r>
      <w:r>
        <w:rPr>
          <w:rFonts w:cs="仿宋_GB2312" w:asciiTheme="minorEastAsia" w:hAnsiTheme="minorEastAsia" w:eastAsiaTheme="minorEastAsia"/>
          <w:bCs/>
          <w:sz w:val="24"/>
          <w:szCs w:val="24"/>
        </w:rPr>
        <w:t>1</w:t>
      </w:r>
      <w:r>
        <w:rPr>
          <w:rFonts w:hint="eastAsia" w:cs="仿宋_GB2312" w:asciiTheme="minorEastAsia" w:hAnsiTheme="minorEastAsia" w:eastAsiaTheme="minorEastAsia"/>
          <w:bCs/>
          <w:sz w:val="24"/>
          <w:szCs w:val="24"/>
        </w:rPr>
        <w:t>年预算资金能保障单位正常运转需要，分配办法科学，考虑的因素必要合理，分配的结果合理，能基本保证人员经费支出和机构全年工作运转。</w:t>
      </w:r>
    </w:p>
    <w:p>
      <w:pPr>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从效率性情况分析看，在各项工作费用支付中，尤其是干部职工的医疗保险、工伤保险、福利费、工会经费等人员经费支出能及时按进度保质保量完成。预算公用经费及村级办公经费基本拨付到位，预算完成率和预算控制率较好。</w:t>
      </w:r>
    </w:p>
    <w:p>
      <w:pPr>
        <w:spacing w:after="0" w:line="480" w:lineRule="auto"/>
        <w:ind w:firstLine="480" w:firstLineChars="200"/>
        <w:jc w:val="both"/>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从有效性情况分析看，夯实基层力量，提高基层干部工作积极性，全面整合职能和资源，提升干部办事效率，优化服务质量；群众收入增加，幸福感提高。</w:t>
      </w:r>
    </w:p>
    <w:p>
      <w:pPr>
        <w:spacing w:after="0" w:line="48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六、绩效自评得分情况及绩效等级。</w:t>
      </w:r>
    </w:p>
    <w:p>
      <w:pPr>
        <w:spacing w:after="0" w:line="48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绩效自评得分1</w:t>
      </w:r>
      <w:r>
        <w:rPr>
          <w:rFonts w:asciiTheme="minorEastAsia" w:hAnsiTheme="minorEastAsia" w:eastAsiaTheme="minorEastAsia"/>
          <w:sz w:val="24"/>
          <w:szCs w:val="24"/>
        </w:rPr>
        <w:t>00</w:t>
      </w:r>
      <w:r>
        <w:rPr>
          <w:rFonts w:hint="eastAsia" w:asciiTheme="minorEastAsia" w:hAnsiTheme="minorEastAsia" w:eastAsiaTheme="minorEastAsia"/>
          <w:sz w:val="24"/>
          <w:szCs w:val="24"/>
        </w:rPr>
        <w:t>分，绩效等级优。</w:t>
      </w:r>
    </w:p>
    <w:p>
      <w:pPr>
        <w:spacing w:after="0" w:line="48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、存在的问题</w:t>
      </w:r>
      <w:bookmarkStart w:id="0" w:name="_Toc450032928"/>
      <w:bookmarkStart w:id="1" w:name="_Toc450032842"/>
      <w:bookmarkStart w:id="2" w:name="_Toc450032320"/>
    </w:p>
    <w:p>
      <w:pPr>
        <w:spacing w:after="0" w:line="480" w:lineRule="auto"/>
        <w:ind w:firstLine="480" w:firstLineChars="200"/>
        <w:jc w:val="both"/>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目前只有少量民营残疾人托养机构，硬件设施和服务能力均难以完全承担起残疾人托养工作的重担。而从事残疾人托养服务的民营康复机构分属于残联、民政、卫生、教育等不同部门管理，经费、基金来源渠道不一，救助方式不同，使得有限的项目救助资金难以统筹安排。尤其是近年来，随着国家不断加大残疾人工作力度，托养工作量成倍增加，需要各部门协调、配合、支持的工作也越来越多，残疾人托养工作涉及到卫生、人社、民政、财政等多个部门，每个部门有各自的法规政策，残疾人托养项目医疗保障政策的落实需要整合和协调各个方面的力量。</w:t>
      </w:r>
      <w:bookmarkEnd w:id="0"/>
      <w:bookmarkEnd w:id="1"/>
      <w:bookmarkEnd w:id="2"/>
    </w:p>
    <w:p>
      <w:pPr>
        <w:spacing w:after="0" w:line="480" w:lineRule="auto"/>
        <w:ind w:firstLine="482" w:firstLineChars="200"/>
        <w:jc w:val="both"/>
        <w:rPr>
          <w:rFonts w:asciiTheme="minorEastAsia" w:hAnsiTheme="minorEastAsia" w:eastAsiaTheme="minorEastAsia"/>
          <w:b/>
          <w:sz w:val="24"/>
          <w:szCs w:val="24"/>
        </w:rPr>
      </w:pPr>
    </w:p>
    <w:p>
      <w:pPr>
        <w:spacing w:after="0" w:line="48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、改进措施和有关建议</w:t>
      </w:r>
    </w:p>
    <w:p>
      <w:pPr>
        <w:spacing w:after="0" w:line="48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1.加大资金管理使用培训力度，进一步提高基层人员对资金管理的重视程度与业务能力。</w:t>
      </w:r>
    </w:p>
    <w:p>
      <w:pPr>
        <w:spacing w:after="0" w:line="48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2.进一步明确细化资金开支范围，便于执行单位严格按照要求使用资金。</w:t>
      </w:r>
    </w:p>
    <w:p>
      <w:pPr>
        <w:spacing w:after="0" w:line="480" w:lineRule="auto"/>
        <w:ind w:firstLine="482" w:firstLineChars="200"/>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九、存在的问题及原因分析</w:t>
      </w:r>
    </w:p>
    <w:p>
      <w:pPr>
        <w:spacing w:after="0" w:line="48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1、预算执行率有待提高。由于预算项目未实施或未及时报账导致年末预算资金未形成支出。</w:t>
      </w:r>
    </w:p>
    <w:p>
      <w:pPr>
        <w:spacing w:after="0" w:line="48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2、专项资金少，资金压力大。</w:t>
      </w:r>
    </w:p>
    <w:p>
      <w:pPr>
        <w:spacing w:after="0" w:line="480" w:lineRule="auto"/>
        <w:ind w:firstLine="480" w:firstLineChars="200"/>
        <w:jc w:val="both"/>
        <w:rPr>
          <w:rFonts w:asciiTheme="minorEastAsia" w:hAnsiTheme="minorEastAsia" w:eastAsiaTheme="minorEastAsia"/>
          <w:b/>
          <w:bCs/>
          <w:sz w:val="24"/>
          <w:szCs w:val="24"/>
        </w:rPr>
      </w:pPr>
      <w:r>
        <w:rPr>
          <w:rFonts w:hint="eastAsia" w:asciiTheme="minorEastAsia" w:hAnsiTheme="minorEastAsia" w:eastAsiaTheme="minorEastAsia"/>
          <w:sz w:val="24"/>
          <w:szCs w:val="24"/>
        </w:rPr>
        <w:t>3、预算编制不够明确和细化，预算编制的合理性需要提高，预算执行力度还要进一步加强。资金使用效益有待进一步提高，绩效目标设立不够明确、细化和量化。</w:t>
      </w:r>
    </w:p>
    <w:p>
      <w:pPr>
        <w:spacing w:after="0" w:line="480" w:lineRule="auto"/>
        <w:ind w:firstLine="482" w:firstLineChars="200"/>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十、改进措施和有关建议</w:t>
      </w:r>
    </w:p>
    <w:p>
      <w:pPr>
        <w:spacing w:after="0" w:line="48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1、细化预算编制工作，认真做好预算的编制。进一步加强内设机构的预算管理意识，严格按照预算编制的相关制度和要求进行预算编制。</w:t>
      </w:r>
    </w:p>
    <w:p>
      <w:pPr>
        <w:spacing w:after="0" w:line="48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after="0" w:line="48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after="0" w:line="48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4、对相关人员加强培训，特别是针对《预算法》、《行政事业单位会计制度》等学习培训，规范部门预算收支核算，切实提高部门预算收支管理水平。</w:t>
      </w:r>
    </w:p>
    <w:p>
      <w:pPr>
        <w:spacing w:after="0" w:line="480" w:lineRule="auto"/>
        <w:ind w:firstLine="480" w:firstLineChars="200"/>
        <w:jc w:val="both"/>
        <w:rPr>
          <w:rFonts w:asciiTheme="minorEastAsia" w:hAnsiTheme="minorEastAsia" w:eastAsiaTheme="minorEastAsia"/>
          <w:sz w:val="24"/>
          <w:szCs w:val="24"/>
        </w:rPr>
      </w:pPr>
    </w:p>
    <w:p>
      <w:pPr>
        <w:spacing w:after="0" w:line="480" w:lineRule="auto"/>
        <w:ind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冷水滩区残疾人联合会</w:t>
      </w:r>
    </w:p>
    <w:p>
      <w:pPr>
        <w:spacing w:after="0" w:line="480" w:lineRule="auto"/>
        <w:ind w:right="240"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022</w:t>
      </w:r>
      <w:r>
        <w:rPr>
          <w:rFonts w:hint="eastAsia" w:asciiTheme="minorEastAsia" w:hAnsiTheme="minorEastAsia" w:eastAsiaTheme="minorEastAsia"/>
          <w:sz w:val="24"/>
          <w:szCs w:val="24"/>
        </w:rPr>
        <w:t>年8月2</w:t>
      </w:r>
      <w:r>
        <w:rPr>
          <w:rFonts w:asciiTheme="minorEastAsia" w:hAnsiTheme="minorEastAsia" w:eastAsiaTheme="minorEastAsia"/>
          <w:sz w:val="24"/>
          <w:szCs w:val="24"/>
        </w:rPr>
        <w:t>2</w:t>
      </w:r>
      <w:r>
        <w:rPr>
          <w:rFonts w:hint="eastAsia" w:asciiTheme="minorEastAsia" w:hAnsiTheme="minorEastAsia" w:eastAsiaTheme="minorEastAsia"/>
          <w:sz w:val="24"/>
          <w:szCs w:val="24"/>
        </w:rPr>
        <w:t>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C6"/>
    <w:rsid w:val="00020319"/>
    <w:rsid w:val="00076377"/>
    <w:rsid w:val="00334AC6"/>
    <w:rsid w:val="004132BB"/>
    <w:rsid w:val="006209A1"/>
    <w:rsid w:val="00626B07"/>
    <w:rsid w:val="00707C49"/>
    <w:rsid w:val="00736B27"/>
    <w:rsid w:val="00864012"/>
    <w:rsid w:val="008855C4"/>
    <w:rsid w:val="008D0AD0"/>
    <w:rsid w:val="009E067B"/>
    <w:rsid w:val="00A14072"/>
    <w:rsid w:val="00A623DA"/>
    <w:rsid w:val="00B008A1"/>
    <w:rsid w:val="00B10043"/>
    <w:rsid w:val="00C936FF"/>
    <w:rsid w:val="00E54B82"/>
    <w:rsid w:val="00F27768"/>
    <w:rsid w:val="00F5331C"/>
    <w:rsid w:val="00F55756"/>
    <w:rsid w:val="7156574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widowControl w:val="0"/>
      <w:adjustRightInd/>
      <w:snapToGrid/>
      <w:spacing w:beforeAutospacing="1" w:after="0" w:afterAutospacing="1"/>
    </w:pPr>
    <w:rPr>
      <w:rFonts w:cs="Times New Roman" w:asciiTheme="minorHAnsi" w:hAnsiTheme="minorHAnsi" w:eastAsiaTheme="minorEastAsia"/>
      <w:sz w:val="24"/>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334</Words>
  <Characters>1906</Characters>
  <Lines>15</Lines>
  <Paragraphs>4</Paragraphs>
  <TotalTime>0</TotalTime>
  <ScaleCrop>false</ScaleCrop>
  <LinksUpToDate>false</LinksUpToDate>
  <CharactersWithSpaces>2236</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2023-09-22T03:45:00Z</dcterms:created>
  <dc:creator>欧阳 淳</dc:creator>
  <cp:lastModifiedBy>Administrator</cp:lastModifiedBy>
  <dcterms:modified xsi:type="dcterms:W3CDTF">2023-09-22T12:42:45Z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