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方正小标宋简体"/>
          <w:sz w:val="36"/>
          <w:szCs w:val="36"/>
        </w:rPr>
      </w:pPr>
      <w:r>
        <w:rPr>
          <w:rFonts w:hint="eastAsia" w:ascii="方正小标宋简体" w:eastAsia="方正小标宋简体"/>
          <w:color w:val="000000"/>
          <w:sz w:val="36"/>
          <w:szCs w:val="36"/>
          <w:lang w:eastAsia="zh-CN"/>
        </w:rPr>
        <w:t>永州市</w:t>
      </w:r>
      <w:r>
        <w:rPr>
          <w:rFonts w:hint="eastAsia" w:ascii="方正小标宋简体" w:eastAsia="方正小标宋简体"/>
          <w:color w:val="000000"/>
          <w:sz w:val="36"/>
          <w:szCs w:val="36"/>
        </w:rPr>
        <w:t>冷水滩区人大</w:t>
      </w:r>
      <w:r>
        <w:rPr>
          <w:rFonts w:hint="eastAsia" w:ascii="方正小标宋简体" w:eastAsia="方正小标宋简体"/>
          <w:color w:val="000000"/>
          <w:sz w:val="36"/>
          <w:szCs w:val="36"/>
          <w:lang w:eastAsia="zh-CN"/>
        </w:rPr>
        <w:t>常委会</w:t>
      </w:r>
      <w:r>
        <w:rPr>
          <w:rFonts w:ascii="方正小标宋简体" w:eastAsia="方正小标宋简体"/>
          <w:color w:val="000000"/>
          <w:sz w:val="36"/>
          <w:szCs w:val="36"/>
        </w:rPr>
        <w:t>202</w:t>
      </w:r>
      <w:r>
        <w:rPr>
          <w:rFonts w:hint="eastAsia" w:ascii="方正小标宋简体" w:eastAsia="方正小标宋简体"/>
          <w:color w:val="000000"/>
          <w:sz w:val="36"/>
          <w:szCs w:val="36"/>
          <w:lang w:val="en-US" w:eastAsia="zh-CN"/>
        </w:rPr>
        <w:t>1</w:t>
      </w:r>
      <w:r>
        <w:rPr>
          <w:rFonts w:hint="eastAsia" w:eastAsia="方正小标宋简体"/>
          <w:sz w:val="36"/>
          <w:szCs w:val="36"/>
        </w:rPr>
        <w:t>年度部门整体支出绩效自评报告</w:t>
      </w:r>
    </w:p>
    <w:p>
      <w:pPr>
        <w:jc w:val="center"/>
        <w:rPr>
          <w:rFonts w:eastAsia="楷体_GB2312"/>
        </w:rPr>
      </w:pPr>
    </w:p>
    <w:p>
      <w:pPr>
        <w:ind w:firstLine="420" w:firstLineChars="200"/>
        <w:jc w:val="center"/>
      </w:pPr>
    </w:p>
    <w:p>
      <w:pPr>
        <w:ind w:firstLine="602" w:firstLineChars="200"/>
        <w:rPr>
          <w:rFonts w:ascii="宋体"/>
          <w:b/>
          <w:sz w:val="30"/>
          <w:szCs w:val="30"/>
        </w:rPr>
      </w:pPr>
      <w:r>
        <w:rPr>
          <w:rFonts w:hint="eastAsia" w:ascii="宋体" w:hAnsi="宋体"/>
          <w:b/>
          <w:sz w:val="30"/>
          <w:szCs w:val="30"/>
        </w:rPr>
        <w:t>一、部门概况</w:t>
      </w:r>
    </w:p>
    <w:p>
      <w:pPr>
        <w:ind w:firstLine="600" w:firstLineChars="200"/>
        <w:rPr>
          <w:rFonts w:ascii="宋体" w:hAnsi="宋体"/>
          <w:sz w:val="30"/>
          <w:szCs w:val="30"/>
        </w:rPr>
      </w:pPr>
      <w:r>
        <w:rPr>
          <w:rFonts w:hint="eastAsia" w:ascii="宋体" w:hAnsi="宋体"/>
          <w:sz w:val="30"/>
          <w:szCs w:val="30"/>
        </w:rPr>
        <w:t>（一）部门基本情况：本部门编制人员25人，实有人员6</w:t>
      </w:r>
      <w:r>
        <w:rPr>
          <w:rFonts w:hint="eastAsia" w:ascii="宋体" w:hAnsi="宋体"/>
          <w:sz w:val="30"/>
          <w:szCs w:val="30"/>
          <w:lang w:val="en-US" w:eastAsia="zh-CN"/>
        </w:rPr>
        <w:t>1</w:t>
      </w:r>
      <w:r>
        <w:rPr>
          <w:rFonts w:hint="eastAsia" w:ascii="宋体" w:hAnsi="宋体"/>
          <w:sz w:val="30"/>
          <w:szCs w:val="30"/>
        </w:rPr>
        <w:t>人，退休人员3</w:t>
      </w:r>
      <w:r>
        <w:rPr>
          <w:rFonts w:hint="eastAsia" w:ascii="宋体" w:hAnsi="宋体"/>
          <w:sz w:val="30"/>
          <w:szCs w:val="30"/>
          <w:lang w:val="en-US" w:eastAsia="zh-CN"/>
        </w:rPr>
        <w:t>8</w:t>
      </w:r>
      <w:r>
        <w:rPr>
          <w:rFonts w:hint="eastAsia" w:ascii="宋体" w:hAnsi="宋体"/>
          <w:sz w:val="30"/>
          <w:szCs w:val="30"/>
        </w:rPr>
        <w:t>人。</w:t>
      </w:r>
    </w:p>
    <w:p>
      <w:pPr>
        <w:ind w:firstLine="600" w:firstLineChars="200"/>
        <w:rPr>
          <w:rFonts w:ascii="宋体" w:hAnsi="宋体"/>
          <w:sz w:val="30"/>
          <w:szCs w:val="30"/>
        </w:rPr>
      </w:pPr>
      <w:r>
        <w:rPr>
          <w:rFonts w:hint="eastAsia" w:ascii="宋体" w:hAnsi="宋体"/>
          <w:sz w:val="30"/>
          <w:szCs w:val="30"/>
        </w:rPr>
        <w:t>（二）</w:t>
      </w:r>
      <w:r>
        <w:rPr>
          <w:rFonts w:ascii="宋体" w:hAnsi="宋体"/>
          <w:color w:val="000000"/>
          <w:sz w:val="30"/>
          <w:szCs w:val="30"/>
        </w:rPr>
        <w:t>202</w:t>
      </w:r>
      <w:r>
        <w:rPr>
          <w:rFonts w:hint="eastAsia" w:ascii="宋体" w:hAnsi="宋体"/>
          <w:color w:val="000000"/>
          <w:sz w:val="30"/>
          <w:szCs w:val="30"/>
          <w:lang w:val="en-US" w:eastAsia="zh-CN"/>
        </w:rPr>
        <w:t>1</w:t>
      </w:r>
      <w:r>
        <w:rPr>
          <w:rFonts w:hint="eastAsia" w:ascii="宋体" w:hAnsi="宋体"/>
          <w:sz w:val="30"/>
          <w:szCs w:val="30"/>
        </w:rPr>
        <w:t>年的重点工作：围绕中心，服务大局，推动区委重大决策部署的贯彻落实；依法履职，积极作为，努力推进民主法治建设；突出重点，务求实效，进一步加强监督工作；倾听民意，汇集民智，积极发挥代表作用；深化改革，关注民生，认真履行重大事项决定权；发扬传统，改进作风，切实加强自身建设。</w:t>
      </w:r>
    </w:p>
    <w:p>
      <w:pPr>
        <w:ind w:firstLine="600" w:firstLineChars="200"/>
        <w:rPr>
          <w:rFonts w:ascii="宋体" w:hAnsi="宋体"/>
          <w:sz w:val="30"/>
          <w:szCs w:val="30"/>
        </w:rPr>
      </w:pPr>
      <w:r>
        <w:rPr>
          <w:rFonts w:hint="eastAsia" w:ascii="宋体" w:hAnsi="宋体"/>
          <w:sz w:val="30"/>
          <w:szCs w:val="30"/>
        </w:rPr>
        <w:t>（三）部门整体支出情况：全年预算基本支出1310.92万元，其中：人员支出833.77万元，一般商品和服务支出320.24万元，项目支出</w:t>
      </w:r>
      <w:r>
        <w:rPr>
          <w:rFonts w:hint="eastAsia" w:ascii="宋体" w:hAnsi="宋体"/>
          <w:sz w:val="30"/>
          <w:szCs w:val="30"/>
          <w:lang w:val="en-US" w:eastAsia="zh-CN"/>
        </w:rPr>
        <w:t>111.06</w:t>
      </w:r>
      <w:r>
        <w:rPr>
          <w:rFonts w:hint="eastAsia" w:ascii="宋体" w:hAnsi="宋体"/>
          <w:sz w:val="30"/>
          <w:szCs w:val="30"/>
        </w:rPr>
        <w:t>万元。</w:t>
      </w:r>
    </w:p>
    <w:p>
      <w:pPr>
        <w:ind w:firstLine="602" w:firstLineChars="200"/>
        <w:rPr>
          <w:rFonts w:ascii="宋体"/>
          <w:b/>
          <w:sz w:val="30"/>
          <w:szCs w:val="30"/>
        </w:rPr>
      </w:pPr>
      <w:r>
        <w:rPr>
          <w:rFonts w:hint="eastAsia" w:ascii="宋体" w:hAnsi="宋体"/>
          <w:b/>
          <w:sz w:val="30"/>
          <w:szCs w:val="30"/>
        </w:rPr>
        <w:t>二、部门整体支出管理及使用情况</w:t>
      </w:r>
    </w:p>
    <w:p>
      <w:pPr>
        <w:ind w:firstLine="600" w:firstLineChars="200"/>
        <w:rPr>
          <w:rFonts w:hint="eastAsia" w:ascii="宋体" w:hAnsi="宋体" w:eastAsia="宋体"/>
          <w:color w:val="auto"/>
          <w:sz w:val="30"/>
          <w:szCs w:val="30"/>
          <w:lang w:eastAsia="zh-CN"/>
        </w:rPr>
      </w:pPr>
      <w:r>
        <w:rPr>
          <w:rFonts w:hint="eastAsia" w:ascii="宋体" w:hAnsi="宋体"/>
          <w:sz w:val="30"/>
          <w:szCs w:val="30"/>
        </w:rPr>
        <w:t>（一）基本支出情况。全年预算基本支出</w:t>
      </w:r>
      <w:r>
        <w:rPr>
          <w:rFonts w:hint="eastAsia" w:ascii="宋体" w:hAnsi="宋体"/>
          <w:sz w:val="30"/>
          <w:szCs w:val="30"/>
          <w:lang w:val="en-US" w:eastAsia="zh-CN"/>
        </w:rPr>
        <w:t>1335.05</w:t>
      </w:r>
      <w:r>
        <w:rPr>
          <w:rFonts w:hint="eastAsia" w:ascii="宋体" w:hAnsi="宋体"/>
          <w:sz w:val="30"/>
          <w:szCs w:val="30"/>
        </w:rPr>
        <w:t>万元，其中：人员支出</w:t>
      </w:r>
      <w:r>
        <w:rPr>
          <w:rFonts w:hint="eastAsia" w:ascii="宋体" w:hAnsi="宋体"/>
          <w:sz w:val="30"/>
          <w:szCs w:val="30"/>
          <w:lang w:val="en-US" w:eastAsia="zh-CN"/>
        </w:rPr>
        <w:t>880.02</w:t>
      </w:r>
      <w:r>
        <w:rPr>
          <w:rFonts w:hint="eastAsia" w:ascii="宋体" w:hAnsi="宋体"/>
          <w:sz w:val="30"/>
          <w:szCs w:val="30"/>
        </w:rPr>
        <w:t>万元，</w:t>
      </w:r>
      <w:r>
        <w:rPr>
          <w:rFonts w:hint="eastAsia" w:ascii="宋体" w:hAnsi="宋体"/>
          <w:color w:val="auto"/>
          <w:sz w:val="30"/>
          <w:szCs w:val="30"/>
        </w:rPr>
        <w:t>一般商品和服务支出</w:t>
      </w:r>
      <w:r>
        <w:rPr>
          <w:rFonts w:hint="eastAsia" w:ascii="宋体" w:hAnsi="宋体"/>
          <w:color w:val="auto"/>
          <w:sz w:val="30"/>
          <w:szCs w:val="30"/>
          <w:lang w:val="en-US" w:eastAsia="zh-CN"/>
        </w:rPr>
        <w:t>455.03</w:t>
      </w:r>
      <w:r>
        <w:rPr>
          <w:rFonts w:hint="eastAsia" w:ascii="宋体" w:hAnsi="宋体"/>
          <w:color w:val="auto"/>
          <w:sz w:val="30"/>
          <w:szCs w:val="30"/>
        </w:rPr>
        <w:t>万元，项目支出</w:t>
      </w:r>
      <w:r>
        <w:rPr>
          <w:rFonts w:hint="eastAsia" w:ascii="宋体" w:hAnsi="宋体"/>
          <w:color w:val="auto"/>
          <w:sz w:val="30"/>
          <w:szCs w:val="30"/>
          <w:lang w:val="en-US" w:eastAsia="zh-CN"/>
        </w:rPr>
        <w:t>0</w:t>
      </w:r>
      <w:r>
        <w:rPr>
          <w:rFonts w:hint="eastAsia" w:ascii="宋体" w:hAnsi="宋体"/>
          <w:color w:val="auto"/>
          <w:sz w:val="30"/>
          <w:szCs w:val="30"/>
        </w:rPr>
        <w:t>万元。</w:t>
      </w:r>
    </w:p>
    <w:p>
      <w:pPr>
        <w:ind w:firstLine="600" w:firstLineChars="200"/>
        <w:rPr>
          <w:rFonts w:hint="eastAsia" w:ascii="宋体" w:hAnsi="宋体"/>
          <w:sz w:val="30"/>
          <w:szCs w:val="30"/>
        </w:rPr>
      </w:pPr>
      <w:r>
        <w:rPr>
          <w:rFonts w:hint="eastAsia" w:ascii="宋体" w:hAnsi="宋体"/>
          <w:sz w:val="30"/>
          <w:szCs w:val="30"/>
        </w:rPr>
        <w:t>（二）项目支出情况。</w:t>
      </w:r>
    </w:p>
    <w:p>
      <w:pPr>
        <w:ind w:firstLine="600" w:firstLineChars="200"/>
        <w:rPr>
          <w:rFonts w:hint="eastAsia" w:ascii="宋体" w:hAnsi="宋体" w:eastAsia="宋体"/>
          <w:color w:val="auto"/>
          <w:sz w:val="30"/>
          <w:szCs w:val="30"/>
          <w:lang w:eastAsia="zh-CN"/>
        </w:rPr>
      </w:pPr>
      <w:r>
        <w:rPr>
          <w:rFonts w:hint="eastAsia" w:ascii="宋体" w:hAnsi="宋体"/>
          <w:color w:val="auto"/>
          <w:sz w:val="30"/>
          <w:szCs w:val="30"/>
        </w:rPr>
        <w:t>全年项目支出</w:t>
      </w:r>
      <w:r>
        <w:rPr>
          <w:rFonts w:hint="eastAsia" w:ascii="宋体" w:hAnsi="宋体"/>
          <w:color w:val="auto"/>
          <w:sz w:val="30"/>
          <w:szCs w:val="30"/>
          <w:lang w:val="en-US" w:eastAsia="zh-CN"/>
        </w:rPr>
        <w:t>0</w:t>
      </w:r>
      <w:r>
        <w:rPr>
          <w:rFonts w:hint="eastAsia" w:ascii="宋体" w:hAnsi="宋体"/>
          <w:color w:val="auto"/>
          <w:sz w:val="30"/>
          <w:szCs w:val="30"/>
        </w:rPr>
        <w:t>万元</w:t>
      </w:r>
      <w:r>
        <w:rPr>
          <w:rFonts w:hint="eastAsia" w:ascii="宋体" w:hAnsi="宋体"/>
          <w:color w:val="auto"/>
          <w:sz w:val="30"/>
          <w:szCs w:val="30"/>
          <w:lang w:eastAsia="zh-CN"/>
        </w:rPr>
        <w:t>。</w:t>
      </w:r>
    </w:p>
    <w:p>
      <w:pPr>
        <w:ind w:firstLine="600" w:firstLineChars="200"/>
        <w:rPr>
          <w:rFonts w:ascii="宋体"/>
          <w:sz w:val="30"/>
          <w:szCs w:val="30"/>
        </w:rPr>
      </w:pPr>
      <w:r>
        <w:rPr>
          <w:rFonts w:hint="eastAsia" w:ascii="宋体" w:hAnsi="宋体"/>
          <w:sz w:val="30"/>
          <w:szCs w:val="30"/>
        </w:rPr>
        <w:t>（三）</w:t>
      </w:r>
      <w:r>
        <w:rPr>
          <w:rFonts w:hint="eastAsia" w:ascii="宋体"/>
          <w:sz w:val="30"/>
          <w:szCs w:val="30"/>
        </w:rPr>
        <w:t>“</w:t>
      </w:r>
      <w:r>
        <w:rPr>
          <w:rFonts w:hint="eastAsia" w:ascii="宋体" w:hAnsi="宋体"/>
          <w:sz w:val="30"/>
          <w:szCs w:val="30"/>
        </w:rPr>
        <w:t>三公</w:t>
      </w:r>
      <w:r>
        <w:rPr>
          <w:rFonts w:hint="eastAsia" w:ascii="宋体"/>
          <w:sz w:val="30"/>
          <w:szCs w:val="30"/>
        </w:rPr>
        <w:t>”</w:t>
      </w:r>
      <w:r>
        <w:rPr>
          <w:rFonts w:hint="eastAsia" w:ascii="宋体" w:hAnsi="宋体"/>
          <w:sz w:val="30"/>
          <w:szCs w:val="30"/>
        </w:rPr>
        <w:t>经费情况</w:t>
      </w:r>
    </w:p>
    <w:p>
      <w:pPr>
        <w:ind w:firstLine="600" w:firstLineChars="200"/>
        <w:rPr>
          <w:rFonts w:ascii="宋体"/>
          <w:sz w:val="30"/>
          <w:szCs w:val="30"/>
        </w:rPr>
      </w:pPr>
      <w:r>
        <w:rPr>
          <w:rFonts w:ascii="宋体" w:hAnsi="宋体"/>
          <w:sz w:val="30"/>
          <w:szCs w:val="30"/>
        </w:rPr>
        <w:t>1</w:t>
      </w:r>
      <w:r>
        <w:rPr>
          <w:rFonts w:hint="eastAsia" w:ascii="宋体" w:hAnsi="宋体"/>
          <w:sz w:val="30"/>
          <w:szCs w:val="30"/>
        </w:rPr>
        <w:t>．因公出国（境）费用0元；</w:t>
      </w:r>
    </w:p>
    <w:p>
      <w:pPr>
        <w:ind w:firstLine="600" w:firstLineChars="200"/>
        <w:rPr>
          <w:rFonts w:ascii="宋体"/>
          <w:sz w:val="30"/>
          <w:szCs w:val="30"/>
        </w:rPr>
      </w:pPr>
      <w:r>
        <w:rPr>
          <w:rFonts w:ascii="宋体" w:hAnsi="宋体"/>
          <w:sz w:val="30"/>
          <w:szCs w:val="30"/>
        </w:rPr>
        <w:t>2</w:t>
      </w:r>
      <w:r>
        <w:rPr>
          <w:rFonts w:hint="eastAsia" w:ascii="宋体" w:hAnsi="宋体"/>
          <w:sz w:val="30"/>
          <w:szCs w:val="30"/>
        </w:rPr>
        <w:t>．公务接待费6.59万元；</w:t>
      </w:r>
    </w:p>
    <w:p>
      <w:pPr>
        <w:ind w:firstLine="600" w:firstLineChars="200"/>
        <w:rPr>
          <w:rFonts w:ascii="宋体"/>
          <w:sz w:val="30"/>
          <w:szCs w:val="30"/>
        </w:rPr>
      </w:pPr>
      <w:r>
        <w:rPr>
          <w:rFonts w:ascii="宋体" w:hAnsi="宋体"/>
          <w:sz w:val="30"/>
          <w:szCs w:val="30"/>
        </w:rPr>
        <w:t>3</w:t>
      </w:r>
      <w:r>
        <w:rPr>
          <w:rFonts w:hint="eastAsia" w:ascii="宋体" w:hAnsi="宋体"/>
          <w:sz w:val="30"/>
          <w:szCs w:val="30"/>
        </w:rPr>
        <w:t>．公务用车购置及运行费</w:t>
      </w:r>
      <w:r>
        <w:rPr>
          <w:rFonts w:hint="eastAsia" w:ascii="宋体" w:hAnsi="宋体"/>
          <w:sz w:val="30"/>
          <w:szCs w:val="30"/>
          <w:lang w:val="en-US" w:eastAsia="zh-CN"/>
        </w:rPr>
        <w:t>0</w:t>
      </w:r>
      <w:r>
        <w:rPr>
          <w:rFonts w:hint="eastAsia" w:ascii="宋体" w:hAnsi="宋体"/>
          <w:sz w:val="30"/>
          <w:szCs w:val="30"/>
        </w:rPr>
        <w:t>万元。</w:t>
      </w:r>
    </w:p>
    <w:p>
      <w:pPr>
        <w:ind w:firstLine="602" w:firstLineChars="200"/>
        <w:rPr>
          <w:rFonts w:ascii="宋体"/>
          <w:b/>
          <w:sz w:val="30"/>
          <w:szCs w:val="30"/>
        </w:rPr>
      </w:pPr>
      <w:r>
        <w:rPr>
          <w:rFonts w:hint="eastAsia" w:ascii="宋体" w:hAnsi="宋体"/>
          <w:b/>
          <w:sz w:val="30"/>
          <w:szCs w:val="30"/>
        </w:rPr>
        <w:t>三、部门整体支出绩效情况</w:t>
      </w:r>
    </w:p>
    <w:p>
      <w:pPr>
        <w:ind w:firstLine="600" w:firstLineChars="200"/>
        <w:rPr>
          <w:rFonts w:ascii="宋体"/>
          <w:sz w:val="30"/>
          <w:szCs w:val="30"/>
        </w:rPr>
      </w:pPr>
      <w:r>
        <w:rPr>
          <w:rFonts w:hint="eastAsia" w:ascii="宋体" w:hAnsi="宋体"/>
          <w:sz w:val="30"/>
          <w:szCs w:val="30"/>
        </w:rPr>
        <w:t>区人大202</w:t>
      </w:r>
      <w:r>
        <w:rPr>
          <w:rFonts w:hint="eastAsia" w:ascii="宋体" w:hAnsi="宋体"/>
          <w:sz w:val="30"/>
          <w:szCs w:val="30"/>
          <w:lang w:val="en-US" w:eastAsia="zh-CN"/>
        </w:rPr>
        <w:t>1</w:t>
      </w:r>
      <w:r>
        <w:rPr>
          <w:rFonts w:hint="eastAsia" w:ascii="宋体" w:hAnsi="宋体"/>
          <w:sz w:val="30"/>
          <w:szCs w:val="30"/>
        </w:rPr>
        <w:t>年度部门整体支出主要在基本支出和项目支出，严格按照区委、区政府及区财政局的相关文件要求，遵循客观、公平、公正的原则，运用了目标比较法、定性与定量相结合的方法，组织完成部门单位绩效评价工作</w:t>
      </w:r>
      <w:bookmarkStart w:id="0" w:name="_GoBack"/>
      <w:bookmarkEnd w:id="0"/>
      <w:r>
        <w:rPr>
          <w:rFonts w:hint="eastAsia" w:ascii="宋体" w:hAnsi="宋体"/>
          <w:sz w:val="30"/>
          <w:szCs w:val="30"/>
        </w:rPr>
        <w:t>，实现了绩效目标。</w:t>
      </w:r>
    </w:p>
    <w:p>
      <w:pPr>
        <w:ind w:firstLine="602" w:firstLineChars="200"/>
        <w:rPr>
          <w:rFonts w:hint="eastAsia" w:ascii="宋体" w:hAnsi="宋体"/>
          <w:b/>
          <w:sz w:val="30"/>
          <w:szCs w:val="30"/>
        </w:rPr>
      </w:pPr>
      <w:r>
        <w:rPr>
          <w:rFonts w:hint="eastAsia" w:ascii="宋体" w:hAnsi="宋体"/>
          <w:b/>
          <w:sz w:val="30"/>
          <w:szCs w:val="30"/>
        </w:rPr>
        <w:t>四、绩效自评得分情况及绩效等级</w:t>
      </w:r>
    </w:p>
    <w:p>
      <w:pPr>
        <w:ind w:firstLine="600" w:firstLineChars="200"/>
        <w:rPr>
          <w:rFonts w:ascii="宋体" w:hAnsi="宋体"/>
          <w:sz w:val="30"/>
          <w:szCs w:val="30"/>
        </w:rPr>
      </w:pPr>
      <w:r>
        <w:rPr>
          <w:rFonts w:hint="eastAsia" w:ascii="宋体" w:hAnsi="宋体"/>
          <w:sz w:val="30"/>
          <w:szCs w:val="30"/>
        </w:rPr>
        <w:t>202</w:t>
      </w:r>
      <w:r>
        <w:rPr>
          <w:rFonts w:hint="eastAsia" w:ascii="宋体" w:hAnsi="宋体"/>
          <w:sz w:val="30"/>
          <w:szCs w:val="30"/>
          <w:lang w:val="en-US" w:eastAsia="zh-CN"/>
        </w:rPr>
        <w:t>1</w:t>
      </w:r>
      <w:r>
        <w:rPr>
          <w:rFonts w:hint="eastAsia" w:ascii="宋体" w:hAnsi="宋体"/>
          <w:sz w:val="30"/>
          <w:szCs w:val="30"/>
        </w:rPr>
        <w:t>年度绩效自评得分为：</w:t>
      </w:r>
      <w:r>
        <w:rPr>
          <w:rFonts w:ascii="宋体" w:hAnsi="宋体"/>
          <w:sz w:val="30"/>
          <w:szCs w:val="30"/>
        </w:rPr>
        <w:t>95</w:t>
      </w:r>
      <w:r>
        <w:rPr>
          <w:rFonts w:hint="eastAsia" w:ascii="宋体" w:hAnsi="宋体"/>
          <w:sz w:val="30"/>
          <w:szCs w:val="30"/>
        </w:rPr>
        <w:t>分。绩效等级：优秀。</w:t>
      </w:r>
    </w:p>
    <w:p>
      <w:pPr>
        <w:ind w:firstLine="602" w:firstLineChars="200"/>
        <w:rPr>
          <w:rFonts w:hint="eastAsia" w:ascii="宋体" w:hAnsi="宋体"/>
          <w:b/>
          <w:sz w:val="30"/>
          <w:szCs w:val="30"/>
        </w:rPr>
      </w:pPr>
      <w:r>
        <w:rPr>
          <w:rFonts w:hint="eastAsia" w:ascii="宋体" w:hAnsi="宋体"/>
          <w:b/>
          <w:sz w:val="30"/>
          <w:szCs w:val="30"/>
        </w:rPr>
        <w:t>五、存在的问题</w:t>
      </w:r>
    </w:p>
    <w:p>
      <w:pPr>
        <w:ind w:firstLine="600" w:firstLineChars="200"/>
        <w:rPr>
          <w:rFonts w:ascii="宋体" w:hAnsi="宋体"/>
          <w:sz w:val="30"/>
          <w:szCs w:val="30"/>
        </w:rPr>
      </w:pPr>
      <w:r>
        <w:rPr>
          <w:rFonts w:hint="eastAsia" w:ascii="宋体" w:hAnsi="宋体"/>
          <w:sz w:val="30"/>
          <w:szCs w:val="30"/>
        </w:rPr>
        <w:t>一是部分绩效指标及目标值有待进一步细化和量化。二是尚未针对绩效考评制定比较明确的实施细则，有待进一步完善。</w:t>
      </w:r>
    </w:p>
    <w:p>
      <w:pPr>
        <w:ind w:firstLine="602" w:firstLineChars="200"/>
        <w:rPr>
          <w:rFonts w:hint="eastAsia" w:ascii="宋体" w:hAnsi="宋体"/>
          <w:b/>
          <w:sz w:val="30"/>
          <w:szCs w:val="30"/>
        </w:rPr>
      </w:pPr>
      <w:r>
        <w:rPr>
          <w:rFonts w:hint="eastAsia" w:ascii="宋体" w:hAnsi="宋体"/>
          <w:b/>
          <w:sz w:val="30"/>
          <w:szCs w:val="30"/>
        </w:rPr>
        <w:t>六、改进措施和有关建议</w:t>
      </w:r>
    </w:p>
    <w:p>
      <w:pPr>
        <w:ind w:firstLine="600" w:firstLineChars="200"/>
        <w:rPr>
          <w:rFonts w:hint="eastAsia" w:ascii="宋体" w:hAnsi="宋体"/>
          <w:sz w:val="30"/>
          <w:szCs w:val="30"/>
        </w:rPr>
      </w:pPr>
      <w:r>
        <w:rPr>
          <w:rFonts w:ascii="宋体" w:hAnsi="宋体"/>
          <w:sz w:val="30"/>
          <w:szCs w:val="30"/>
        </w:rPr>
        <w:t>1</w:t>
      </w:r>
      <w:r>
        <w:rPr>
          <w:rFonts w:hint="eastAsia" w:ascii="宋体" w:hAnsi="宋体"/>
          <w:sz w:val="30"/>
          <w:szCs w:val="30"/>
        </w:rPr>
        <w:t>、加强财务人员业务培训，持续提高财务人员业务水平；</w:t>
      </w:r>
      <w:r>
        <w:rPr>
          <w:rFonts w:ascii="宋体" w:hAnsi="宋体"/>
          <w:sz w:val="30"/>
          <w:szCs w:val="30"/>
        </w:rPr>
        <w:t>2</w:t>
      </w:r>
      <w:r>
        <w:rPr>
          <w:rFonts w:hint="eastAsia" w:ascii="宋体" w:hAnsi="宋体"/>
          <w:sz w:val="30"/>
          <w:szCs w:val="30"/>
        </w:rPr>
        <w:t>、科学合理地设置绩效指标，提高预算绩效指标的针对性和可测性，充分发挥预算绩效目标管理的导向作用；</w:t>
      </w:r>
      <w:r>
        <w:rPr>
          <w:rFonts w:ascii="宋体" w:hAnsi="宋体"/>
          <w:sz w:val="30"/>
          <w:szCs w:val="30"/>
        </w:rPr>
        <w:t>3</w:t>
      </w:r>
      <w:r>
        <w:rPr>
          <w:rFonts w:hint="eastAsia" w:ascii="宋体" w:hAnsi="宋体"/>
          <w:sz w:val="30"/>
          <w:szCs w:val="30"/>
        </w:rPr>
        <w:t>、将预算编制与部门工作有机结合，进一步强化预算执行，提升财政资金使用效益；</w:t>
      </w:r>
      <w:r>
        <w:rPr>
          <w:rFonts w:ascii="宋体" w:hAnsi="宋体"/>
          <w:sz w:val="30"/>
          <w:szCs w:val="30"/>
        </w:rPr>
        <w:t>4</w:t>
      </w:r>
      <w:r>
        <w:rPr>
          <w:rFonts w:hint="eastAsia" w:ascii="宋体" w:hAnsi="宋体"/>
          <w:sz w:val="30"/>
          <w:szCs w:val="30"/>
        </w:rPr>
        <w:t>、进一步完善财务制度，做好基础信息的收集和分析工作，建立相关数据库，为绩效指标值的设置提高有益参考。</w:t>
      </w:r>
    </w:p>
    <w:p>
      <w:pPr>
        <w:rPr>
          <w:rFonts w:hint="eastAsia" w:ascii="宋体" w:hAnsi="宋体"/>
          <w:sz w:val="30"/>
          <w:szCs w:val="30"/>
        </w:rPr>
      </w:pPr>
      <w:r>
        <w:rPr>
          <w:rFonts w:hint="eastAsia" w:ascii="宋体" w:hAnsi="宋体"/>
          <w:sz w:val="30"/>
          <w:szCs w:val="30"/>
        </w:rPr>
        <w:br w:type="page"/>
      </w:r>
    </w:p>
    <w:p>
      <w:pPr>
        <w:spacing w:line="560" w:lineRule="exact"/>
        <w:jc w:val="center"/>
        <w:rPr>
          <w:rFonts w:eastAsia="方正小标宋_GBK"/>
          <w:kern w:val="0"/>
          <w:sz w:val="44"/>
          <w:szCs w:val="44"/>
        </w:rPr>
      </w:pPr>
      <w:r>
        <w:rPr>
          <w:rFonts w:hint="eastAsia" w:eastAsia="方正小标宋_GBK"/>
          <w:kern w:val="0"/>
          <w:sz w:val="44"/>
          <w:szCs w:val="44"/>
        </w:rPr>
        <w:t>2021</w:t>
      </w:r>
      <w:r>
        <w:rPr>
          <w:rFonts w:hint="eastAsia" w:ascii="宋体" w:hAnsi="宋体" w:cs="宋体"/>
          <w:kern w:val="0"/>
          <w:sz w:val="44"/>
          <w:szCs w:val="44"/>
        </w:rPr>
        <w:t>年度</w:t>
      </w:r>
      <w:r>
        <w:rPr>
          <w:rFonts w:hint="eastAsia" w:eastAsia="方正小标宋_GBK"/>
          <w:kern w:val="0"/>
          <w:sz w:val="44"/>
          <w:szCs w:val="44"/>
        </w:rPr>
        <w:t>部门整体支出绩效评价表</w:t>
      </w:r>
    </w:p>
    <w:tbl>
      <w:tblPr>
        <w:tblStyle w:val="2"/>
        <w:tblW w:w="10676" w:type="dxa"/>
        <w:jc w:val="center"/>
        <w:tblLayout w:type="fixed"/>
        <w:tblCellMar>
          <w:top w:w="0" w:type="dxa"/>
          <w:left w:w="108" w:type="dxa"/>
          <w:bottom w:w="0" w:type="dxa"/>
          <w:right w:w="108" w:type="dxa"/>
        </w:tblCellMar>
      </w:tblPr>
      <w:tblGrid>
        <w:gridCol w:w="521"/>
        <w:gridCol w:w="419"/>
        <w:gridCol w:w="682"/>
        <w:gridCol w:w="419"/>
        <w:gridCol w:w="1203"/>
        <w:gridCol w:w="481"/>
        <w:gridCol w:w="2999"/>
        <w:gridCol w:w="3427"/>
        <w:gridCol w:w="525"/>
      </w:tblGrid>
      <w:tr>
        <w:tblPrEx>
          <w:tblCellMar>
            <w:top w:w="0" w:type="dxa"/>
            <w:left w:w="108" w:type="dxa"/>
            <w:bottom w:w="0" w:type="dxa"/>
            <w:right w:w="108" w:type="dxa"/>
          </w:tblCellMar>
        </w:tblPrEx>
        <w:trPr>
          <w:trHeight w:val="952" w:hRule="atLeast"/>
          <w:tblHeader/>
          <w:jc w:val="center"/>
        </w:trPr>
        <w:tc>
          <w:tcPr>
            <w:tcW w:w="521"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一级指标</w:t>
            </w:r>
          </w:p>
        </w:tc>
        <w:tc>
          <w:tcPr>
            <w:tcW w:w="41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682"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二级指标</w:t>
            </w:r>
          </w:p>
        </w:tc>
        <w:tc>
          <w:tcPr>
            <w:tcW w:w="41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1203"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三级</w:t>
            </w:r>
          </w:p>
          <w:p>
            <w:pPr>
              <w:widowControl/>
              <w:jc w:val="center"/>
              <w:rPr>
                <w:rFonts w:eastAsia="仿宋_GB2312"/>
                <w:kern w:val="0"/>
                <w:sz w:val="20"/>
                <w:szCs w:val="20"/>
              </w:rPr>
            </w:pPr>
            <w:r>
              <w:rPr>
                <w:rFonts w:hint="eastAsia" w:eastAsia="仿宋_GB2312"/>
                <w:kern w:val="0"/>
                <w:sz w:val="20"/>
                <w:szCs w:val="20"/>
              </w:rPr>
              <w:t>指标</w:t>
            </w:r>
          </w:p>
        </w:tc>
        <w:tc>
          <w:tcPr>
            <w:tcW w:w="481"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299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评价标准</w:t>
            </w:r>
          </w:p>
        </w:tc>
        <w:tc>
          <w:tcPr>
            <w:tcW w:w="3427"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指标说明</w:t>
            </w:r>
          </w:p>
        </w:tc>
        <w:tc>
          <w:tcPr>
            <w:tcW w:w="525"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得分</w:t>
            </w:r>
          </w:p>
        </w:tc>
      </w:tr>
      <w:tr>
        <w:tblPrEx>
          <w:tblCellMar>
            <w:top w:w="0" w:type="dxa"/>
            <w:left w:w="108" w:type="dxa"/>
            <w:bottom w:w="0" w:type="dxa"/>
            <w:right w:w="108" w:type="dxa"/>
          </w:tblCellMar>
        </w:tblPrEx>
        <w:trPr>
          <w:trHeight w:val="1423" w:hRule="atLeast"/>
          <w:jc w:val="center"/>
        </w:trPr>
        <w:tc>
          <w:tcPr>
            <w:tcW w:w="521"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投入</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682" w:type="dxa"/>
            <w:vMerge w:val="restart"/>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预算配置</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在职人员控制率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nil"/>
              <w:right w:val="nil"/>
            </w:tcBorders>
            <w:vAlign w:val="center"/>
          </w:tcPr>
          <w:p>
            <w:pPr>
              <w:widowControl/>
              <w:jc w:val="left"/>
              <w:rPr>
                <w:rFonts w:eastAsia="仿宋_GB2312"/>
                <w:kern w:val="0"/>
                <w:sz w:val="20"/>
                <w:szCs w:val="20"/>
              </w:rPr>
            </w:pPr>
            <w:r>
              <w:rPr>
                <w:rFonts w:hint="eastAsia" w:eastAsia="仿宋_GB2312"/>
                <w:kern w:val="0"/>
                <w:sz w:val="20"/>
                <w:szCs w:val="20"/>
              </w:rPr>
              <w:t>以</w:t>
            </w:r>
            <w:r>
              <w:rPr>
                <w:rFonts w:eastAsia="仿宋_GB2312"/>
                <w:kern w:val="0"/>
                <w:sz w:val="20"/>
                <w:szCs w:val="20"/>
              </w:rPr>
              <w:t>100%</w:t>
            </w:r>
            <w:r>
              <w:rPr>
                <w:rFonts w:hint="eastAsia" w:eastAsia="仿宋_GB2312"/>
                <w:kern w:val="0"/>
                <w:sz w:val="20"/>
                <w:szCs w:val="20"/>
              </w:rPr>
              <w:t>为标准。在职人员控制率</w:t>
            </w:r>
            <w:r>
              <w:rPr>
                <w:rFonts w:hint="eastAsia" w:ascii="宋体" w:hAnsi="宋体" w:cs="宋体"/>
                <w:kern w:val="0"/>
                <w:sz w:val="20"/>
                <w:szCs w:val="20"/>
              </w:rPr>
              <w:t>≦</w:t>
            </w:r>
            <w:r>
              <w:rPr>
                <w:rFonts w:eastAsia="仿宋_GB2312"/>
                <w:kern w:val="0"/>
                <w:sz w:val="20"/>
                <w:szCs w:val="20"/>
              </w:rPr>
              <w:t>100%</w:t>
            </w:r>
            <w:r>
              <w:rPr>
                <w:rFonts w:hint="eastAsia" w:eastAsia="仿宋_GB2312"/>
                <w:kern w:val="0"/>
                <w:sz w:val="20"/>
                <w:szCs w:val="20"/>
              </w:rPr>
              <w:t>，计</w:t>
            </w:r>
            <w:r>
              <w:rPr>
                <w:rFonts w:eastAsia="仿宋_GB2312"/>
                <w:kern w:val="0"/>
                <w:sz w:val="20"/>
                <w:szCs w:val="20"/>
              </w:rPr>
              <w:t>5</w:t>
            </w:r>
            <w:r>
              <w:rPr>
                <w:rFonts w:hint="eastAsia" w:eastAsia="仿宋_GB2312"/>
                <w:kern w:val="0"/>
                <w:sz w:val="20"/>
                <w:szCs w:val="20"/>
              </w:rPr>
              <w:t>分；每超过一个百分点扣</w:t>
            </w:r>
            <w:r>
              <w:rPr>
                <w:rFonts w:eastAsia="仿宋_GB2312"/>
                <w:kern w:val="0"/>
                <w:sz w:val="20"/>
                <w:szCs w:val="20"/>
              </w:rPr>
              <w:t>0.5</w:t>
            </w:r>
            <w:r>
              <w:rPr>
                <w:rFonts w:hint="eastAsia" w:eastAsia="仿宋_GB2312"/>
                <w:kern w:val="0"/>
                <w:sz w:val="20"/>
                <w:szCs w:val="20"/>
              </w:rPr>
              <w:t>分，扣完为止。</w:t>
            </w:r>
          </w:p>
        </w:tc>
        <w:tc>
          <w:tcPr>
            <w:tcW w:w="3427" w:type="dxa"/>
            <w:tcBorders>
              <w:top w:val="nil"/>
              <w:left w:val="single" w:color="auto" w:sz="4" w:space="0"/>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在职人员控制率</w:t>
            </w:r>
            <w:r>
              <w:rPr>
                <w:rFonts w:eastAsia="仿宋_GB2312"/>
                <w:kern w:val="0"/>
                <w:sz w:val="20"/>
                <w:szCs w:val="20"/>
              </w:rPr>
              <w:t>=</w:t>
            </w:r>
            <w:r>
              <w:rPr>
                <w:rFonts w:hint="eastAsia" w:eastAsia="仿宋_GB2312"/>
                <w:kern w:val="0"/>
                <w:sz w:val="20"/>
                <w:szCs w:val="20"/>
              </w:rPr>
              <w:t>（在职人员数</w:t>
            </w:r>
            <w:r>
              <w:rPr>
                <w:rFonts w:eastAsia="仿宋_GB2312"/>
                <w:kern w:val="0"/>
                <w:sz w:val="20"/>
                <w:szCs w:val="20"/>
              </w:rPr>
              <w:t>/</w:t>
            </w:r>
            <w:r>
              <w:rPr>
                <w:rFonts w:hint="eastAsia" w:eastAsia="仿宋_GB2312"/>
                <w:kern w:val="0"/>
                <w:sz w:val="20"/>
                <w:szCs w:val="20"/>
              </w:rPr>
              <w:t>编制数）</w:t>
            </w:r>
            <w:r>
              <w:rPr>
                <w:rFonts w:eastAsia="仿宋_GB2312"/>
                <w:kern w:val="0"/>
                <w:sz w:val="20"/>
                <w:szCs w:val="20"/>
              </w:rPr>
              <w:t>×100%</w:t>
            </w:r>
            <w:r>
              <w:rPr>
                <w:rFonts w:hint="eastAsia" w:eastAsia="仿宋_GB2312"/>
                <w:kern w:val="0"/>
                <w:sz w:val="20"/>
                <w:szCs w:val="20"/>
              </w:rPr>
              <w:t>，在职人员数：部门（单位）实际在职人数，以市财政局确定的部门决算编制口径为准。</w:t>
            </w:r>
          </w:p>
          <w:p>
            <w:pPr>
              <w:widowControl/>
              <w:jc w:val="left"/>
              <w:rPr>
                <w:rFonts w:eastAsia="仿宋_GB2312"/>
                <w:kern w:val="0"/>
                <w:sz w:val="20"/>
                <w:szCs w:val="20"/>
              </w:rPr>
            </w:pPr>
            <w:r>
              <w:rPr>
                <w:rFonts w:hint="eastAsia" w:eastAsia="仿宋_GB2312"/>
                <w:kern w:val="0"/>
                <w:sz w:val="20"/>
                <w:szCs w:val="20"/>
              </w:rPr>
              <w:t>编制数：机构编制部门核定批复的部门（单位）的人员编制数。</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0</w:t>
            </w:r>
          </w:p>
        </w:tc>
      </w:tr>
      <w:tr>
        <w:tblPrEx>
          <w:tblCellMar>
            <w:top w:w="0" w:type="dxa"/>
            <w:left w:w="108" w:type="dxa"/>
            <w:bottom w:w="0" w:type="dxa"/>
            <w:right w:w="108" w:type="dxa"/>
          </w:tblCellMar>
        </w:tblPrEx>
        <w:trPr>
          <w:trHeight w:val="716"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r>
              <w:rPr>
                <w:rFonts w:hint="eastAsia" w:ascii="宋体" w:hAnsi="宋体" w:cs="宋体"/>
                <w:kern w:val="0"/>
                <w:sz w:val="20"/>
                <w:szCs w:val="20"/>
              </w:rPr>
              <w:t>≦</w:t>
            </w:r>
            <w:r>
              <w:rPr>
                <w:rFonts w:eastAsia="仿宋_GB2312"/>
                <w:kern w:val="0"/>
                <w:sz w:val="20"/>
                <w:szCs w:val="20"/>
              </w:rPr>
              <w:t>0,</w:t>
            </w:r>
            <w:r>
              <w:rPr>
                <w:rFonts w:hint="eastAsia" w:eastAsia="仿宋_GB2312"/>
                <w:kern w:val="0"/>
                <w:sz w:val="20"/>
                <w:szCs w:val="20"/>
              </w:rPr>
              <w:t>计</w:t>
            </w:r>
            <w:r>
              <w:rPr>
                <w:rFonts w:eastAsia="仿宋_GB2312"/>
                <w:kern w:val="0"/>
                <w:sz w:val="20"/>
                <w:szCs w:val="20"/>
              </w:rPr>
              <w:t>8</w:t>
            </w:r>
            <w:r>
              <w:rPr>
                <w:rFonts w:hint="eastAsia" w:eastAsia="仿宋_GB2312"/>
                <w:kern w:val="0"/>
                <w:sz w:val="20"/>
                <w:szCs w:val="20"/>
              </w:rPr>
              <w:t>分；</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w:t>
            </w:r>
            <w:r>
              <w:rPr>
                <w:rFonts w:eastAsia="仿宋_GB2312"/>
                <w:kern w:val="0"/>
                <w:sz w:val="20"/>
                <w:szCs w:val="20"/>
              </w:rPr>
              <w:t>0</w:t>
            </w:r>
            <w:r>
              <w:rPr>
                <w:rFonts w:hint="eastAsia" w:eastAsia="仿宋_GB2312"/>
                <w:kern w:val="0"/>
                <w:sz w:val="20"/>
                <w:szCs w:val="20"/>
              </w:rPr>
              <w:t>，每超过一个百分点扣</w:t>
            </w:r>
            <w:r>
              <w:rPr>
                <w:rFonts w:eastAsia="仿宋_GB2312"/>
                <w:kern w:val="0"/>
                <w:sz w:val="20"/>
                <w:szCs w:val="20"/>
              </w:rPr>
              <w:t>0.8</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r>
              <w:rPr>
                <w:rFonts w:eastAsia="仿宋_GB2312"/>
                <w:kern w:val="0"/>
                <w:sz w:val="20"/>
                <w:szCs w:val="20"/>
              </w:rPr>
              <w:t>=[</w:t>
            </w:r>
            <w:r>
              <w:rPr>
                <w:rFonts w:hint="eastAsia" w:eastAsia="仿宋_GB2312"/>
                <w:kern w:val="0"/>
                <w:sz w:val="20"/>
                <w:szCs w:val="20"/>
              </w:rPr>
              <w:t>（本年度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w:t>
            </w:r>
            <w:r>
              <w:rPr>
                <w:rFonts w:hint="eastAsia" w:eastAsia="仿宋_GB2312"/>
                <w:kern w:val="0"/>
                <w:sz w:val="20"/>
                <w:szCs w:val="20"/>
              </w:rPr>
              <w:t>上年度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w:t>
            </w:r>
            <w:r>
              <w:rPr>
                <w:rFonts w:hint="eastAsia" w:eastAsia="仿宋_GB2312"/>
                <w:kern w:val="0"/>
                <w:sz w:val="20"/>
                <w:szCs w:val="20"/>
              </w:rPr>
              <w:t>上年度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]×100%</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716" w:hRule="atLeast"/>
          <w:jc w:val="center"/>
        </w:trPr>
        <w:tc>
          <w:tcPr>
            <w:tcW w:w="521"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过</w:t>
            </w:r>
            <w:r>
              <w:rPr>
                <w:rFonts w:eastAsia="仿宋_GB2312"/>
                <w:kern w:val="0"/>
                <w:sz w:val="20"/>
                <w:szCs w:val="20"/>
              </w:rPr>
              <w:t xml:space="preserve">                                                                                                                                       </w:t>
            </w:r>
            <w:r>
              <w:rPr>
                <w:rFonts w:hint="eastAsia" w:eastAsia="仿宋_GB2312"/>
                <w:kern w:val="0"/>
                <w:sz w:val="20"/>
                <w:szCs w:val="20"/>
              </w:rPr>
              <w:t>程</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60</w:t>
            </w: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预算执行</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20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预算完成率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计满分，每低于</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预算完成率</w:t>
            </w:r>
            <w:r>
              <w:rPr>
                <w:rFonts w:eastAsia="仿宋_GB2312"/>
                <w:kern w:val="0"/>
                <w:sz w:val="20"/>
                <w:szCs w:val="20"/>
              </w:rPr>
              <w:t>=</w:t>
            </w:r>
            <w:r>
              <w:rPr>
                <w:rFonts w:hint="eastAsia" w:eastAsia="仿宋_GB2312"/>
                <w:kern w:val="0"/>
                <w:sz w:val="20"/>
                <w:szCs w:val="20"/>
              </w:rPr>
              <w:t>（上年结转</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w:t>
            </w:r>
            <w:r>
              <w:rPr>
                <w:rFonts w:hint="eastAsia" w:eastAsia="仿宋_GB2312"/>
                <w:kern w:val="0"/>
                <w:sz w:val="20"/>
                <w:szCs w:val="20"/>
              </w:rPr>
              <w:t>年末结余）</w:t>
            </w:r>
            <w:r>
              <w:rPr>
                <w:rFonts w:eastAsia="仿宋_GB2312"/>
                <w:kern w:val="0"/>
                <w:sz w:val="20"/>
                <w:szCs w:val="20"/>
              </w:rPr>
              <w:t>/</w:t>
            </w:r>
            <w:r>
              <w:rPr>
                <w:rFonts w:hint="eastAsia" w:eastAsia="仿宋_GB2312"/>
                <w:kern w:val="0"/>
                <w:sz w:val="20"/>
                <w:szCs w:val="20"/>
              </w:rPr>
              <w:t>（上年结转</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971"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=0</w:t>
            </w:r>
            <w:r>
              <w:rPr>
                <w:rFonts w:hint="eastAsia" w:eastAsia="仿宋_GB2312"/>
                <w:kern w:val="0"/>
                <w:sz w:val="20"/>
                <w:szCs w:val="20"/>
              </w:rPr>
              <w:t>，计</w:t>
            </w:r>
            <w:r>
              <w:rPr>
                <w:rFonts w:eastAsia="仿宋_GB2312"/>
                <w:kern w:val="0"/>
                <w:sz w:val="20"/>
                <w:szCs w:val="20"/>
              </w:rPr>
              <w:t>5</w:t>
            </w:r>
            <w:r>
              <w:rPr>
                <w:rFonts w:hint="eastAsia" w:eastAsia="仿宋_GB2312"/>
                <w:kern w:val="0"/>
                <w:sz w:val="20"/>
                <w:szCs w:val="20"/>
              </w:rPr>
              <w:t>分；</w:t>
            </w:r>
            <w:r>
              <w:rPr>
                <w:rFonts w:eastAsia="仿宋_GB2312"/>
                <w:kern w:val="0"/>
                <w:sz w:val="20"/>
                <w:szCs w:val="20"/>
              </w:rPr>
              <w:t>0-10%</w:t>
            </w:r>
            <w:r>
              <w:rPr>
                <w:rFonts w:hint="eastAsia" w:eastAsia="仿宋_GB2312"/>
                <w:kern w:val="0"/>
                <w:sz w:val="20"/>
                <w:szCs w:val="20"/>
              </w:rPr>
              <w:t>（含），计</w:t>
            </w:r>
            <w:r>
              <w:rPr>
                <w:rFonts w:eastAsia="仿宋_GB2312"/>
                <w:kern w:val="0"/>
                <w:sz w:val="20"/>
                <w:szCs w:val="20"/>
              </w:rPr>
              <w:t>4</w:t>
            </w:r>
            <w:r>
              <w:rPr>
                <w:rFonts w:hint="eastAsia" w:eastAsia="仿宋_GB2312"/>
                <w:kern w:val="0"/>
                <w:sz w:val="20"/>
                <w:szCs w:val="20"/>
              </w:rPr>
              <w:t>分；</w:t>
            </w:r>
            <w:r>
              <w:rPr>
                <w:rFonts w:eastAsia="仿宋_GB2312"/>
                <w:kern w:val="0"/>
                <w:sz w:val="20"/>
                <w:szCs w:val="20"/>
              </w:rPr>
              <w:t>10-20%</w:t>
            </w:r>
            <w:r>
              <w:rPr>
                <w:rFonts w:hint="eastAsia" w:eastAsia="仿宋_GB2312"/>
                <w:kern w:val="0"/>
                <w:sz w:val="20"/>
                <w:szCs w:val="20"/>
              </w:rPr>
              <w:t>（含），计</w:t>
            </w:r>
            <w:r>
              <w:rPr>
                <w:rFonts w:eastAsia="仿宋_GB2312"/>
                <w:kern w:val="0"/>
                <w:sz w:val="20"/>
                <w:szCs w:val="20"/>
              </w:rPr>
              <w:t>3</w:t>
            </w:r>
            <w:r>
              <w:rPr>
                <w:rFonts w:hint="eastAsia" w:eastAsia="仿宋_GB2312"/>
                <w:kern w:val="0"/>
                <w:sz w:val="20"/>
                <w:szCs w:val="20"/>
              </w:rPr>
              <w:t>分；</w:t>
            </w:r>
            <w:r>
              <w:rPr>
                <w:rFonts w:eastAsia="仿宋_GB2312"/>
                <w:kern w:val="0"/>
                <w:sz w:val="20"/>
                <w:szCs w:val="20"/>
              </w:rPr>
              <w:t>20-30%</w:t>
            </w:r>
            <w:r>
              <w:rPr>
                <w:rFonts w:hint="eastAsia" w:eastAsia="仿宋_GB2312"/>
                <w:kern w:val="0"/>
                <w:sz w:val="20"/>
                <w:szCs w:val="20"/>
              </w:rPr>
              <w:t>（含），计</w:t>
            </w:r>
            <w:r>
              <w:rPr>
                <w:rFonts w:eastAsia="仿宋_GB2312"/>
                <w:kern w:val="0"/>
                <w:sz w:val="20"/>
                <w:szCs w:val="20"/>
              </w:rPr>
              <w:t>2</w:t>
            </w:r>
            <w:r>
              <w:rPr>
                <w:rFonts w:hint="eastAsia" w:eastAsia="仿宋_GB2312"/>
                <w:kern w:val="0"/>
                <w:sz w:val="20"/>
                <w:szCs w:val="20"/>
              </w:rPr>
              <w:t>分；大于</w:t>
            </w:r>
            <w:r>
              <w:rPr>
                <w:rFonts w:eastAsia="仿宋_GB2312"/>
                <w:kern w:val="0"/>
                <w:sz w:val="20"/>
                <w:szCs w:val="20"/>
              </w:rPr>
              <w:t>30%</w:t>
            </w:r>
            <w:r>
              <w:rPr>
                <w:rFonts w:hint="eastAsia" w:eastAsia="仿宋_GB2312"/>
                <w:kern w:val="0"/>
                <w:sz w:val="20"/>
                <w:szCs w:val="20"/>
              </w:rPr>
              <w:t>不得分。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5</w:t>
            </w:r>
            <w:r>
              <w:rPr>
                <w:rFonts w:hint="eastAsia"/>
                <w:kern w:val="0"/>
                <w:sz w:val="24"/>
              </w:rPr>
              <w:t>　</w:t>
            </w:r>
          </w:p>
        </w:tc>
      </w:tr>
      <w:tr>
        <w:tblPrEx>
          <w:tblCellMar>
            <w:top w:w="0" w:type="dxa"/>
            <w:left w:w="108" w:type="dxa"/>
            <w:bottom w:w="0" w:type="dxa"/>
            <w:right w:w="108" w:type="dxa"/>
          </w:tblCellMar>
        </w:tblPrEx>
        <w:trPr>
          <w:trHeight w:val="1010"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新建楼堂馆所面积控制率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分，扣完为止。没有楼堂馆所项目的部门按满分计算。</w:t>
            </w:r>
          </w:p>
        </w:tc>
        <w:tc>
          <w:tcPr>
            <w:tcW w:w="3427"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楼堂馆所面积控制率</w:t>
            </w:r>
            <w:r>
              <w:rPr>
                <w:rFonts w:eastAsia="仿宋_GB2312"/>
                <w:kern w:val="0"/>
                <w:sz w:val="20"/>
                <w:szCs w:val="20"/>
              </w:rPr>
              <w:t>=</w:t>
            </w:r>
            <w:r>
              <w:rPr>
                <w:rFonts w:hint="eastAsia" w:eastAsia="仿宋_GB2312"/>
                <w:kern w:val="0"/>
                <w:sz w:val="20"/>
                <w:szCs w:val="20"/>
              </w:rPr>
              <w:t>实际建设面积</w:t>
            </w:r>
            <w:r>
              <w:rPr>
                <w:rFonts w:eastAsia="仿宋_GB2312"/>
                <w:kern w:val="0"/>
                <w:sz w:val="20"/>
                <w:szCs w:val="20"/>
              </w:rPr>
              <w:t>/</w:t>
            </w:r>
            <w:r>
              <w:rPr>
                <w:rFonts w:hint="eastAsia" w:eastAsia="仿宋_GB2312"/>
                <w:kern w:val="0"/>
                <w:sz w:val="20"/>
                <w:szCs w:val="20"/>
              </w:rPr>
              <w:t>批准建设面积</w:t>
            </w:r>
            <w:r>
              <w:rPr>
                <w:rFonts w:eastAsia="仿宋_GB2312"/>
                <w:kern w:val="0"/>
                <w:sz w:val="20"/>
                <w:szCs w:val="20"/>
              </w:rPr>
              <w:t xml:space="preserve">×100% </w:t>
            </w:r>
            <w:r>
              <w:rPr>
                <w:rFonts w:hint="eastAsia" w:eastAsia="仿宋_GB2312"/>
                <w:kern w:val="0"/>
                <w:sz w:val="20"/>
                <w:szCs w:val="20"/>
              </w:rPr>
              <w:t>。</w:t>
            </w:r>
          </w:p>
          <w:p>
            <w:pPr>
              <w:widowControl/>
              <w:jc w:val="left"/>
              <w:rPr>
                <w:rFonts w:eastAsia="仿宋_GB2312"/>
                <w:kern w:val="0"/>
                <w:sz w:val="20"/>
                <w:szCs w:val="20"/>
              </w:rPr>
            </w:pPr>
            <w:r>
              <w:rPr>
                <w:rFonts w:hint="eastAsia" w:eastAsia="仿宋_GB2312"/>
                <w:kern w:val="0"/>
                <w:sz w:val="20"/>
                <w:szCs w:val="20"/>
              </w:rPr>
              <w:t>该指标以</w:t>
            </w:r>
            <w:r>
              <w:rPr>
                <w:rFonts w:eastAsia="仿宋_GB2312"/>
                <w:kern w:val="0"/>
                <w:sz w:val="20"/>
                <w:szCs w:val="20"/>
              </w:rPr>
              <w:t>2017</w:t>
            </w:r>
            <w:r>
              <w:rPr>
                <w:rFonts w:hint="eastAsia" w:eastAsia="仿宋_GB2312"/>
                <w:kern w:val="0"/>
                <w:sz w:val="20"/>
                <w:szCs w:val="20"/>
              </w:rPr>
              <w:t>年完工的新建楼堂馆所为评价内容。</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952"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新建楼堂馆所投资概算控制率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楼堂馆所投资预算控制率</w:t>
            </w:r>
            <w:r>
              <w:rPr>
                <w:rFonts w:eastAsia="仿宋_GB2312"/>
                <w:kern w:val="0"/>
                <w:sz w:val="20"/>
                <w:szCs w:val="20"/>
              </w:rPr>
              <w:t>=</w:t>
            </w:r>
            <w:r>
              <w:rPr>
                <w:rFonts w:hint="eastAsia" w:eastAsia="仿宋_GB2312"/>
                <w:kern w:val="0"/>
                <w:sz w:val="20"/>
                <w:szCs w:val="20"/>
              </w:rPr>
              <w:t>实际投资金额</w:t>
            </w:r>
            <w:r>
              <w:rPr>
                <w:rFonts w:eastAsia="仿宋_GB2312"/>
                <w:kern w:val="0"/>
                <w:sz w:val="20"/>
                <w:szCs w:val="20"/>
              </w:rPr>
              <w:t>/</w:t>
            </w:r>
            <w:r>
              <w:rPr>
                <w:rFonts w:hint="eastAsia" w:eastAsia="仿宋_GB2312"/>
                <w:kern w:val="0"/>
                <w:sz w:val="20"/>
                <w:szCs w:val="20"/>
              </w:rPr>
              <w:t>批准投资金额</w:t>
            </w:r>
            <w:r>
              <w:rPr>
                <w:rFonts w:eastAsia="仿宋_GB2312"/>
                <w:kern w:val="0"/>
                <w:sz w:val="20"/>
                <w:szCs w:val="20"/>
              </w:rPr>
              <w:t xml:space="preserve">×100% </w:t>
            </w:r>
            <w:r>
              <w:rPr>
                <w:rFonts w:hint="eastAsia" w:eastAsia="仿宋_GB2312"/>
                <w:kern w:val="0"/>
                <w:sz w:val="20"/>
                <w:szCs w:val="20"/>
              </w:rPr>
              <w:t>。</w:t>
            </w:r>
          </w:p>
          <w:p>
            <w:pPr>
              <w:widowControl/>
              <w:jc w:val="left"/>
              <w:rPr>
                <w:rFonts w:eastAsia="仿宋_GB2312"/>
                <w:kern w:val="0"/>
                <w:sz w:val="20"/>
                <w:szCs w:val="20"/>
              </w:rPr>
            </w:pPr>
            <w:r>
              <w:rPr>
                <w:rFonts w:hint="eastAsia" w:eastAsia="仿宋_GB2312"/>
                <w:kern w:val="0"/>
                <w:sz w:val="20"/>
                <w:szCs w:val="20"/>
              </w:rPr>
              <w:t>该指标以</w:t>
            </w:r>
            <w:r>
              <w:rPr>
                <w:rFonts w:eastAsia="仿宋_GB2312"/>
                <w:kern w:val="0"/>
                <w:sz w:val="20"/>
                <w:szCs w:val="20"/>
              </w:rPr>
              <w:t>2017</w:t>
            </w:r>
            <w:r>
              <w:rPr>
                <w:rFonts w:hint="eastAsia" w:eastAsia="仿宋_GB2312"/>
                <w:kern w:val="0"/>
                <w:sz w:val="20"/>
                <w:szCs w:val="20"/>
              </w:rPr>
              <w:t>年完工的新建楼堂馆所为评价内容。</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118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预算管理</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40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公用经费控制率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1%</w:t>
            </w:r>
            <w:r>
              <w:rPr>
                <w:rFonts w:hint="eastAsia" w:eastAsia="仿宋_GB2312"/>
                <w:kern w:val="0"/>
                <w:sz w:val="20"/>
                <w:szCs w:val="20"/>
              </w:rPr>
              <w:t>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公用经费控制率</w:t>
            </w:r>
            <w:r>
              <w:rPr>
                <w:rFonts w:eastAsia="仿宋_GB2312"/>
                <w:kern w:val="0"/>
                <w:sz w:val="20"/>
                <w:szCs w:val="20"/>
              </w:rPr>
              <w:t>=</w:t>
            </w:r>
            <w:r>
              <w:rPr>
                <w:rFonts w:hint="eastAsia" w:eastAsia="仿宋_GB2312"/>
                <w:kern w:val="0"/>
                <w:sz w:val="20"/>
                <w:szCs w:val="20"/>
              </w:rPr>
              <w:t>（实际支出公用经费总额</w:t>
            </w:r>
            <w:r>
              <w:rPr>
                <w:rFonts w:eastAsia="仿宋_GB2312"/>
                <w:kern w:val="0"/>
                <w:sz w:val="20"/>
                <w:szCs w:val="20"/>
              </w:rPr>
              <w:t>/</w:t>
            </w:r>
            <w:r>
              <w:rPr>
                <w:rFonts w:hint="eastAsia" w:eastAsia="仿宋_GB2312"/>
                <w:kern w:val="0"/>
                <w:sz w:val="20"/>
                <w:szCs w:val="20"/>
              </w:rPr>
              <w:t>预算安排公用经费总额）</w:t>
            </w:r>
            <w:r>
              <w:rPr>
                <w:rFonts w:eastAsia="仿宋_GB2312"/>
                <w:kern w:val="0"/>
                <w:sz w:val="20"/>
                <w:szCs w:val="20"/>
              </w:rPr>
              <w:t>×100%</w:t>
            </w:r>
            <w:r>
              <w:rPr>
                <w:rFonts w:hint="eastAsia" w:eastAsia="仿宋_GB2312"/>
                <w:kern w:val="0"/>
                <w:sz w:val="20"/>
                <w:szCs w:val="20"/>
              </w:rPr>
              <w:t>。</w:t>
            </w:r>
          </w:p>
          <w:p>
            <w:pPr>
              <w:widowControl/>
              <w:jc w:val="left"/>
              <w:rPr>
                <w:rFonts w:eastAsia="仿宋_GB2312"/>
                <w:kern w:val="0"/>
                <w:sz w:val="20"/>
                <w:szCs w:val="20"/>
              </w:rPr>
            </w:pPr>
            <w:r>
              <w:rPr>
                <w:rFonts w:hint="eastAsia" w:eastAsia="仿宋_GB2312"/>
                <w:kern w:val="0"/>
                <w:sz w:val="20"/>
                <w:szCs w:val="20"/>
              </w:rPr>
              <w:t>公用经费支出是指部门基本支出中的一般商品和服务支出。</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8</w:t>
            </w:r>
          </w:p>
        </w:tc>
      </w:tr>
      <w:tr>
        <w:tblPrEx>
          <w:tblCellMar>
            <w:top w:w="0" w:type="dxa"/>
            <w:left w:w="108" w:type="dxa"/>
            <w:bottom w:w="0" w:type="dxa"/>
            <w:right w:w="108" w:type="dxa"/>
          </w:tblCellMar>
        </w:tblPrEx>
        <w:trPr>
          <w:trHeight w:val="81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7</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1%</w:t>
            </w:r>
            <w:r>
              <w:rPr>
                <w:rFonts w:hint="eastAsia" w:eastAsia="仿宋_GB2312"/>
                <w:kern w:val="0"/>
                <w:sz w:val="20"/>
                <w:szCs w:val="20"/>
              </w:rPr>
              <w:t>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控制率</w:t>
            </w:r>
            <w:r>
              <w:rPr>
                <w:rFonts w:eastAsia="仿宋_GB2312"/>
                <w:kern w:val="0"/>
                <w:sz w:val="20"/>
                <w:szCs w:val="20"/>
              </w:rPr>
              <w:t>-</w:t>
            </w:r>
            <w:r>
              <w:rPr>
                <w:rFonts w:hint="eastAsia" w:eastAsia="仿宋_GB2312"/>
                <w:kern w:val="0"/>
                <w:sz w:val="20"/>
                <w:szCs w:val="20"/>
              </w:rPr>
              <w:t>（</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实际支出数</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预算安排数）</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7</w:t>
            </w:r>
            <w:r>
              <w:rPr>
                <w:rFonts w:hint="eastAsia"/>
                <w:kern w:val="0"/>
                <w:sz w:val="24"/>
              </w:rPr>
              <w:t>　</w:t>
            </w:r>
          </w:p>
        </w:tc>
      </w:tr>
      <w:tr>
        <w:tblPrEx>
          <w:tblCellMar>
            <w:top w:w="0" w:type="dxa"/>
            <w:left w:w="108" w:type="dxa"/>
            <w:bottom w:w="0" w:type="dxa"/>
            <w:right w:w="108" w:type="dxa"/>
          </w:tblCellMar>
        </w:tblPrEx>
        <w:trPr>
          <w:trHeight w:val="598"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政府采购执行率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计满分，每超过（降低）</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政府采购执行率</w:t>
            </w:r>
            <w:r>
              <w:rPr>
                <w:rFonts w:eastAsia="仿宋_GB2312"/>
                <w:kern w:val="0"/>
                <w:sz w:val="20"/>
                <w:szCs w:val="20"/>
              </w:rPr>
              <w:t>=</w:t>
            </w:r>
            <w:r>
              <w:rPr>
                <w:rFonts w:hint="eastAsia" w:eastAsia="仿宋_GB2312"/>
                <w:kern w:val="0"/>
                <w:sz w:val="20"/>
                <w:szCs w:val="20"/>
              </w:rPr>
              <w:t>（实际政府采购金额</w:t>
            </w:r>
            <w:r>
              <w:rPr>
                <w:rFonts w:eastAsia="仿宋_GB2312"/>
                <w:kern w:val="0"/>
                <w:sz w:val="20"/>
                <w:szCs w:val="20"/>
              </w:rPr>
              <w:t>/</w:t>
            </w:r>
            <w:r>
              <w:rPr>
                <w:rFonts w:hint="eastAsia" w:eastAsia="仿宋_GB2312"/>
                <w:kern w:val="0"/>
                <w:sz w:val="20"/>
                <w:szCs w:val="20"/>
              </w:rPr>
              <w:t>政府采购预算数）</w:t>
            </w:r>
            <w:r>
              <w:rPr>
                <w:rFonts w:eastAsia="仿宋_GB2312"/>
                <w:kern w:val="0"/>
                <w:sz w:val="20"/>
                <w:szCs w:val="20"/>
              </w:rPr>
              <w:t>×100%</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6</w:t>
            </w:r>
          </w:p>
        </w:tc>
      </w:tr>
      <w:tr>
        <w:tblPrEx>
          <w:tblCellMar>
            <w:top w:w="0" w:type="dxa"/>
            <w:left w:w="108" w:type="dxa"/>
            <w:bottom w:w="0" w:type="dxa"/>
            <w:right w:w="108" w:type="dxa"/>
          </w:tblCellMar>
        </w:tblPrEx>
        <w:trPr>
          <w:trHeight w:val="244" w:hRule="atLeast"/>
          <w:jc w:val="center"/>
        </w:trPr>
        <w:tc>
          <w:tcPr>
            <w:tcW w:w="521" w:type="dxa"/>
            <w:vMerge w:val="restart"/>
            <w:tcBorders>
              <w:top w:val="single" w:color="auto" w:sz="4" w:space="0"/>
              <w:left w:val="single" w:color="auto" w:sz="4" w:space="0"/>
              <w:bottom w:val="single" w:color="000000" w:sz="4" w:space="0"/>
              <w:right w:val="single" w:color="auto" w:sz="4" w:space="0"/>
            </w:tcBorders>
            <w:vAlign w:val="center"/>
          </w:tcPr>
          <w:p>
            <w:pPr>
              <w:jc w:val="left"/>
              <w:rPr>
                <w:rFonts w:eastAsia="仿宋_GB2312"/>
                <w:kern w:val="0"/>
                <w:sz w:val="20"/>
                <w:szCs w:val="20"/>
              </w:rPr>
            </w:pPr>
            <w:r>
              <w:rPr>
                <w:rFonts w:hint="eastAsia" w:eastAsia="仿宋_GB2312"/>
                <w:kern w:val="0"/>
                <w:sz w:val="20"/>
                <w:szCs w:val="20"/>
              </w:rPr>
              <w:t>过</w:t>
            </w:r>
            <w:r>
              <w:rPr>
                <w:rFonts w:eastAsia="仿宋_GB2312"/>
                <w:kern w:val="0"/>
                <w:sz w:val="20"/>
                <w:szCs w:val="20"/>
              </w:rPr>
              <w:t xml:space="preserve">                                                                                                                                       </w:t>
            </w:r>
            <w:r>
              <w:rPr>
                <w:rFonts w:hint="eastAsia" w:eastAsia="仿宋_GB2312"/>
                <w:kern w:val="0"/>
                <w:sz w:val="20"/>
                <w:szCs w:val="20"/>
              </w:rPr>
              <w:t>程</w:t>
            </w:r>
          </w:p>
        </w:tc>
        <w:tc>
          <w:tcPr>
            <w:tcW w:w="419" w:type="dxa"/>
            <w:vMerge w:val="restart"/>
            <w:tcBorders>
              <w:top w:val="single" w:color="auto" w:sz="4" w:space="0"/>
              <w:left w:val="single" w:color="auto" w:sz="4" w:space="0"/>
              <w:bottom w:val="single" w:color="000000" w:sz="4" w:space="0"/>
              <w:right w:val="single" w:color="auto" w:sz="4" w:space="0"/>
            </w:tcBorders>
            <w:vAlign w:val="center"/>
          </w:tcPr>
          <w:p>
            <w:pPr>
              <w:jc w:val="left"/>
              <w:rPr>
                <w:rFonts w:eastAsia="仿宋_GB2312"/>
                <w:kern w:val="0"/>
                <w:sz w:val="20"/>
                <w:szCs w:val="20"/>
              </w:rPr>
            </w:pPr>
          </w:p>
        </w:tc>
        <w:tc>
          <w:tcPr>
            <w:tcW w:w="682" w:type="dxa"/>
            <w:vMerge w:val="restart"/>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预算管理</w:t>
            </w: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管理制度健全性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①有内部财务管理制度、会计核算制度等管理制度，</w:t>
            </w:r>
            <w:r>
              <w:rPr>
                <w:rFonts w:eastAsia="仿宋_GB2312"/>
                <w:kern w:val="0"/>
                <w:sz w:val="20"/>
                <w:szCs w:val="20"/>
              </w:rPr>
              <w:t>2</w:t>
            </w:r>
            <w:r>
              <w:rPr>
                <w:rFonts w:hint="eastAsia" w:eastAsia="仿宋_GB2312"/>
                <w:kern w:val="0"/>
                <w:sz w:val="20"/>
                <w:szCs w:val="20"/>
              </w:rPr>
              <w:t>分；</w:t>
            </w:r>
          </w:p>
          <w:p>
            <w:pPr>
              <w:widowControl/>
              <w:jc w:val="left"/>
              <w:rPr>
                <w:rFonts w:hint="eastAsia" w:eastAsia="仿宋_GB2312"/>
                <w:kern w:val="0"/>
                <w:sz w:val="20"/>
                <w:szCs w:val="20"/>
                <w:lang w:eastAsia="zh-CN"/>
              </w:rPr>
            </w:pPr>
            <w:r>
              <w:rPr>
                <w:rFonts w:hint="eastAsia" w:eastAsia="仿宋_GB2312"/>
                <w:kern w:val="0"/>
                <w:sz w:val="20"/>
                <w:szCs w:val="20"/>
              </w:rPr>
              <w:t>②有本部门厉行节约制度</w:t>
            </w:r>
            <w:r>
              <w:rPr>
                <w:rFonts w:eastAsia="仿宋_GB2312"/>
                <w:kern w:val="0"/>
                <w:sz w:val="20"/>
                <w:szCs w:val="20"/>
              </w:rPr>
              <w:t>,2</w:t>
            </w:r>
            <w:r>
              <w:rPr>
                <w:rFonts w:hint="eastAsia" w:eastAsia="仿宋_GB2312"/>
                <w:kern w:val="0"/>
                <w:sz w:val="20"/>
                <w:szCs w:val="20"/>
              </w:rPr>
              <w:t>分；</w:t>
            </w:r>
          </w:p>
          <w:p>
            <w:pPr>
              <w:widowControl/>
              <w:jc w:val="left"/>
              <w:rPr>
                <w:rFonts w:eastAsia="仿宋_GB2312"/>
                <w:kern w:val="0"/>
                <w:sz w:val="20"/>
                <w:szCs w:val="20"/>
              </w:rPr>
            </w:pPr>
            <w:r>
              <w:rPr>
                <w:rFonts w:hint="eastAsia" w:eastAsia="仿宋_GB2312"/>
                <w:kern w:val="0"/>
                <w:sz w:val="20"/>
                <w:szCs w:val="20"/>
              </w:rPr>
              <w:t>③相关管理制度合法、合规、完整，</w:t>
            </w:r>
            <w:r>
              <w:rPr>
                <w:rFonts w:eastAsia="仿宋_GB2312"/>
                <w:kern w:val="0"/>
                <w:sz w:val="20"/>
                <w:szCs w:val="20"/>
              </w:rPr>
              <w:t>2</w:t>
            </w:r>
            <w:r>
              <w:rPr>
                <w:rFonts w:hint="eastAsia" w:eastAsia="仿宋_GB2312"/>
                <w:kern w:val="0"/>
                <w:sz w:val="20"/>
                <w:szCs w:val="20"/>
              </w:rPr>
              <w:t>分；④相关管理制度得到</w:t>
            </w:r>
            <w:r>
              <w:rPr>
                <w:rFonts w:hint="eastAsia" w:eastAsia="仿宋_GB2312"/>
                <w:kern w:val="0"/>
                <w:sz w:val="20"/>
                <w:szCs w:val="20"/>
                <w:lang w:val="en-US" w:eastAsia="zh-CN"/>
              </w:rPr>
              <w:t>2</w:t>
            </w:r>
            <w:r>
              <w:rPr>
                <w:rFonts w:hint="eastAsia" w:eastAsia="仿宋_GB2312"/>
                <w:kern w:val="0"/>
                <w:sz w:val="20"/>
                <w:szCs w:val="20"/>
              </w:rPr>
              <w:t>有效执行，</w:t>
            </w:r>
            <w:r>
              <w:rPr>
                <w:rFonts w:eastAsia="仿宋_GB2312"/>
                <w:kern w:val="0"/>
                <w:sz w:val="20"/>
                <w:szCs w:val="20"/>
              </w:rPr>
              <w:t>2</w:t>
            </w:r>
            <w:r>
              <w:rPr>
                <w:rFonts w:hint="eastAsia" w:eastAsia="仿宋_GB2312"/>
                <w:kern w:val="0"/>
                <w:sz w:val="20"/>
                <w:szCs w:val="20"/>
              </w:rPr>
              <w:t>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8</w:t>
            </w:r>
          </w:p>
        </w:tc>
      </w:tr>
      <w:tr>
        <w:tblPrEx>
          <w:tblCellMar>
            <w:top w:w="0" w:type="dxa"/>
            <w:left w:w="108" w:type="dxa"/>
            <w:bottom w:w="0" w:type="dxa"/>
            <w:right w:w="108" w:type="dxa"/>
          </w:tblCellMar>
        </w:tblPrEx>
        <w:trPr>
          <w:trHeight w:val="2367"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资金使用合规性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w:t>
            </w:r>
          </w:p>
          <w:p>
            <w:pPr>
              <w:widowControl/>
              <w:jc w:val="left"/>
              <w:rPr>
                <w:rFonts w:eastAsia="仿宋_GB2312"/>
                <w:kern w:val="0"/>
                <w:sz w:val="20"/>
                <w:szCs w:val="20"/>
              </w:rPr>
            </w:pPr>
            <w:r>
              <w:rPr>
                <w:rFonts w:hint="eastAsia" w:eastAsia="仿宋_GB2312"/>
                <w:kern w:val="0"/>
                <w:sz w:val="20"/>
                <w:szCs w:val="20"/>
              </w:rPr>
              <w:t>以上情况每出现一例不符合要求的扣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6</w:t>
            </w:r>
          </w:p>
        </w:tc>
      </w:tr>
      <w:tr>
        <w:tblPrEx>
          <w:tblCellMar>
            <w:top w:w="0" w:type="dxa"/>
            <w:left w:w="108" w:type="dxa"/>
            <w:bottom w:w="0" w:type="dxa"/>
            <w:right w:w="108" w:type="dxa"/>
          </w:tblCellMar>
        </w:tblPrEx>
        <w:trPr>
          <w:trHeight w:val="165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预决算信息公开性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①按规定内容公开预决算信息，</w:t>
            </w:r>
            <w:r>
              <w:rPr>
                <w:rFonts w:eastAsia="仿宋_GB2312"/>
                <w:kern w:val="0"/>
                <w:sz w:val="20"/>
                <w:szCs w:val="20"/>
              </w:rPr>
              <w:t>1</w:t>
            </w:r>
            <w:r>
              <w:rPr>
                <w:rFonts w:hint="eastAsia" w:eastAsia="仿宋_GB2312"/>
                <w:kern w:val="0"/>
                <w:sz w:val="20"/>
                <w:szCs w:val="20"/>
              </w:rPr>
              <w:t>分；②按规定时限公开预决算信息，</w:t>
            </w:r>
            <w:r>
              <w:rPr>
                <w:rFonts w:eastAsia="仿宋_GB2312"/>
                <w:kern w:val="0"/>
                <w:sz w:val="20"/>
                <w:szCs w:val="20"/>
              </w:rPr>
              <w:t>1</w:t>
            </w:r>
            <w:r>
              <w:rPr>
                <w:rFonts w:hint="eastAsia" w:eastAsia="仿宋_GB2312"/>
                <w:kern w:val="0"/>
                <w:sz w:val="20"/>
                <w:szCs w:val="20"/>
              </w:rPr>
              <w:t>分；③基础数据信息和会计信息资料真实，</w:t>
            </w:r>
            <w:r>
              <w:rPr>
                <w:rFonts w:eastAsia="仿宋_GB2312"/>
                <w:kern w:val="0"/>
                <w:sz w:val="20"/>
                <w:szCs w:val="20"/>
              </w:rPr>
              <w:t>1</w:t>
            </w:r>
            <w:r>
              <w:rPr>
                <w:rFonts w:hint="eastAsia" w:eastAsia="仿宋_GB2312"/>
                <w:kern w:val="0"/>
                <w:sz w:val="20"/>
                <w:szCs w:val="20"/>
              </w:rPr>
              <w:t>分；④基础数据信息和会计信息资料完整，</w:t>
            </w:r>
            <w:r>
              <w:rPr>
                <w:rFonts w:eastAsia="仿宋_GB2312"/>
                <w:kern w:val="0"/>
                <w:sz w:val="20"/>
                <w:szCs w:val="20"/>
              </w:rPr>
              <w:t>1</w:t>
            </w:r>
            <w:r>
              <w:rPr>
                <w:rFonts w:hint="eastAsia" w:eastAsia="仿宋_GB2312"/>
                <w:kern w:val="0"/>
                <w:sz w:val="20"/>
                <w:szCs w:val="20"/>
              </w:rPr>
              <w:t>分；⑤基础数据信息和汇集信息资料准确，</w:t>
            </w:r>
            <w:r>
              <w:rPr>
                <w:rFonts w:eastAsia="仿宋_GB2312"/>
                <w:kern w:val="0"/>
                <w:sz w:val="20"/>
                <w:szCs w:val="20"/>
              </w:rPr>
              <w:t>1</w:t>
            </w:r>
            <w:r>
              <w:rPr>
                <w:rFonts w:hint="eastAsia" w:eastAsia="仿宋_GB2312"/>
                <w:kern w:val="0"/>
                <w:sz w:val="20"/>
                <w:szCs w:val="20"/>
              </w:rPr>
              <w:t>分。</w:t>
            </w:r>
            <w:r>
              <w:rPr>
                <w:rFonts w:eastAsia="仿宋_GB2312"/>
                <w:kern w:val="0"/>
                <w:sz w:val="20"/>
                <w:szCs w:val="20"/>
              </w:rPr>
              <w:t xml:space="preserve">  </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预决算信息是指与部门预算、执行、决算、监督、绩效等管理相关的信息。</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1188" w:hRule="atLeast"/>
          <w:jc w:val="center"/>
        </w:trPr>
        <w:tc>
          <w:tcPr>
            <w:tcW w:w="521"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产出及效率</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30</w:t>
            </w:r>
          </w:p>
        </w:tc>
        <w:tc>
          <w:tcPr>
            <w:tcW w:w="682"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职责履行</w:t>
            </w:r>
          </w:p>
        </w:tc>
        <w:tc>
          <w:tcPr>
            <w:tcW w:w="419"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1203" w:type="dxa"/>
            <w:tcBorders>
              <w:top w:val="nil"/>
              <w:left w:val="nil"/>
              <w:bottom w:val="nil"/>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重点工作实际完成率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根据绩效办</w:t>
            </w:r>
            <w:r>
              <w:rPr>
                <w:rFonts w:eastAsia="仿宋_GB2312"/>
                <w:kern w:val="0"/>
                <w:sz w:val="20"/>
                <w:szCs w:val="20"/>
              </w:rPr>
              <w:t>2017</w:t>
            </w:r>
            <w:r>
              <w:rPr>
                <w:rFonts w:hint="eastAsia" w:eastAsia="仿宋_GB2312"/>
                <w:kern w:val="0"/>
                <w:sz w:val="20"/>
                <w:szCs w:val="20"/>
              </w:rPr>
              <w:t>年对各部门为民办实事和部门重点工程与重点工作考核分数折算。</w:t>
            </w:r>
          </w:p>
          <w:p>
            <w:pPr>
              <w:widowControl/>
              <w:jc w:val="left"/>
              <w:rPr>
                <w:rFonts w:eastAsia="仿宋_GB2312"/>
                <w:kern w:val="0"/>
                <w:sz w:val="20"/>
                <w:szCs w:val="20"/>
              </w:rPr>
            </w:pPr>
            <w:r>
              <w:rPr>
                <w:rFonts w:hint="eastAsia" w:eastAsia="仿宋_GB2312"/>
                <w:kern w:val="0"/>
                <w:sz w:val="20"/>
                <w:szCs w:val="20"/>
              </w:rPr>
              <w:t>该项得分</w:t>
            </w:r>
            <w:r>
              <w:rPr>
                <w:rFonts w:eastAsia="仿宋_GB2312"/>
                <w:kern w:val="0"/>
                <w:sz w:val="20"/>
                <w:szCs w:val="20"/>
              </w:rPr>
              <w:t>=</w:t>
            </w:r>
            <w:r>
              <w:rPr>
                <w:rFonts w:hint="eastAsia" w:eastAsia="仿宋_GB2312"/>
                <w:kern w:val="0"/>
                <w:sz w:val="20"/>
                <w:szCs w:val="20"/>
              </w:rPr>
              <w:t>（绩效办对应部分考核得分</w:t>
            </w:r>
            <w:r>
              <w:rPr>
                <w:rFonts w:eastAsia="仿宋_GB2312"/>
                <w:kern w:val="0"/>
                <w:sz w:val="20"/>
                <w:szCs w:val="20"/>
              </w:rPr>
              <w:t>/350</w:t>
            </w:r>
            <w:r>
              <w:rPr>
                <w:rFonts w:hint="eastAsia" w:eastAsia="仿宋_GB2312"/>
                <w:kern w:val="0"/>
                <w:sz w:val="20"/>
                <w:szCs w:val="20"/>
              </w:rPr>
              <w:t>）</w:t>
            </w:r>
            <w:r>
              <w:rPr>
                <w:rFonts w:eastAsia="仿宋_GB2312"/>
                <w:kern w:val="0"/>
                <w:sz w:val="20"/>
                <w:szCs w:val="20"/>
              </w:rPr>
              <w:t>*8</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8</w:t>
            </w:r>
            <w:r>
              <w:rPr>
                <w:rFonts w:hint="eastAsia"/>
                <w:kern w:val="0"/>
                <w:sz w:val="24"/>
              </w:rPr>
              <w:t>　</w:t>
            </w:r>
          </w:p>
        </w:tc>
      </w:tr>
      <w:tr>
        <w:tblPrEx>
          <w:tblCellMar>
            <w:top w:w="0" w:type="dxa"/>
            <w:left w:w="108" w:type="dxa"/>
            <w:bottom w:w="0" w:type="dxa"/>
            <w:right w:w="108" w:type="dxa"/>
          </w:tblCellMar>
        </w:tblPrEx>
        <w:trPr>
          <w:trHeight w:val="345"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履职</w:t>
            </w:r>
            <w:r>
              <w:rPr>
                <w:rFonts w:eastAsia="仿宋_GB2312"/>
                <w:kern w:val="0"/>
                <w:sz w:val="20"/>
                <w:szCs w:val="20"/>
              </w:rPr>
              <w:t xml:space="preserve"> </w:t>
            </w:r>
            <w:r>
              <w:rPr>
                <w:rFonts w:hint="eastAsia" w:eastAsia="仿宋_GB2312"/>
                <w:kern w:val="0"/>
                <w:sz w:val="20"/>
                <w:szCs w:val="20"/>
              </w:rPr>
              <w:t>效益</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1203"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经济效益</w:t>
            </w:r>
          </w:p>
        </w:tc>
        <w:tc>
          <w:tcPr>
            <w:tcW w:w="481" w:type="dxa"/>
            <w:vMerge w:val="restart"/>
            <w:tcBorders>
              <w:top w:val="nil"/>
              <w:left w:val="single" w:color="auto" w:sz="4" w:space="0"/>
              <w:bottom w:val="nil"/>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6426" w:type="dxa"/>
            <w:gridSpan w:val="2"/>
            <w:vMerge w:val="restart"/>
            <w:tcBorders>
              <w:top w:val="single" w:color="auto" w:sz="4" w:space="0"/>
              <w:left w:val="single" w:color="auto" w:sz="4" w:space="0"/>
              <w:bottom w:val="nil"/>
              <w:right w:val="single" w:color="000000" w:sz="4" w:space="0"/>
            </w:tcBorders>
            <w:vAlign w:val="center"/>
          </w:tcPr>
          <w:p>
            <w:pPr>
              <w:widowControl/>
              <w:jc w:val="left"/>
              <w:rPr>
                <w:rFonts w:eastAsia="仿宋_GB2312"/>
                <w:kern w:val="0"/>
                <w:sz w:val="20"/>
                <w:szCs w:val="20"/>
              </w:rPr>
            </w:pPr>
            <w:r>
              <w:rPr>
                <w:rFonts w:hint="eastAsia" w:eastAsia="仿宋_GB2312"/>
                <w:kern w:val="0"/>
                <w:sz w:val="20"/>
                <w:szCs w:val="20"/>
              </w:rPr>
              <w:t>此两项指标为设置部门整体支出绩效评价指标时必须考虑的共性要素，可根据部门实际情况有选择的进行设置，并将其细化为相应的个性化指标。</w:t>
            </w:r>
          </w:p>
        </w:tc>
        <w:tc>
          <w:tcPr>
            <w:tcW w:w="525" w:type="dxa"/>
            <w:tcBorders>
              <w:top w:val="nil"/>
              <w:left w:val="nil"/>
              <w:bottom w:val="nil"/>
              <w:right w:val="single" w:color="auto" w:sz="4" w:space="0"/>
            </w:tcBorders>
            <w:vAlign w:val="center"/>
          </w:tcPr>
          <w:p>
            <w:pPr>
              <w:widowControl/>
              <w:jc w:val="left"/>
              <w:rPr>
                <w:kern w:val="0"/>
                <w:sz w:val="24"/>
              </w:rPr>
            </w:pPr>
            <w:r>
              <w:rPr>
                <w:rFonts w:hint="eastAsia"/>
                <w:kern w:val="0"/>
                <w:sz w:val="24"/>
              </w:rPr>
              <w:t>　</w:t>
            </w:r>
          </w:p>
        </w:tc>
      </w:tr>
      <w:tr>
        <w:tblPrEx>
          <w:tblCellMar>
            <w:top w:w="0" w:type="dxa"/>
            <w:left w:w="108" w:type="dxa"/>
            <w:bottom w:w="0" w:type="dxa"/>
            <w:right w:w="108" w:type="dxa"/>
          </w:tblCellMar>
        </w:tblPrEx>
        <w:trPr>
          <w:trHeight w:val="372"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社会效益</w:t>
            </w:r>
          </w:p>
        </w:tc>
        <w:tc>
          <w:tcPr>
            <w:tcW w:w="481" w:type="dxa"/>
            <w:vMerge w:val="continue"/>
            <w:tcBorders>
              <w:top w:val="nil"/>
              <w:left w:val="single" w:color="auto" w:sz="4" w:space="0"/>
              <w:bottom w:val="nil"/>
              <w:right w:val="single" w:color="auto" w:sz="4" w:space="0"/>
            </w:tcBorders>
            <w:vAlign w:val="center"/>
          </w:tcPr>
          <w:p>
            <w:pPr>
              <w:widowControl/>
              <w:jc w:val="left"/>
              <w:rPr>
                <w:rFonts w:eastAsia="仿宋_GB2312"/>
                <w:kern w:val="0"/>
                <w:sz w:val="20"/>
                <w:szCs w:val="20"/>
              </w:rPr>
            </w:pPr>
          </w:p>
        </w:tc>
        <w:tc>
          <w:tcPr>
            <w:tcW w:w="6426" w:type="dxa"/>
            <w:gridSpan w:val="2"/>
            <w:vMerge w:val="continue"/>
            <w:tcBorders>
              <w:top w:val="single" w:color="auto" w:sz="4" w:space="0"/>
              <w:left w:val="single" w:color="auto" w:sz="4" w:space="0"/>
              <w:bottom w:val="nil"/>
              <w:right w:val="single" w:color="000000" w:sz="4" w:space="0"/>
            </w:tcBorders>
            <w:vAlign w:val="center"/>
          </w:tcPr>
          <w:p>
            <w:pPr>
              <w:widowControl/>
              <w:jc w:val="left"/>
              <w:rPr>
                <w:rFonts w:eastAsia="仿宋_GB2312"/>
                <w:kern w:val="0"/>
                <w:sz w:val="20"/>
                <w:szCs w:val="20"/>
              </w:rPr>
            </w:pPr>
          </w:p>
        </w:tc>
        <w:tc>
          <w:tcPr>
            <w:tcW w:w="525" w:type="dxa"/>
            <w:tcBorders>
              <w:top w:val="nil"/>
              <w:left w:val="nil"/>
              <w:bottom w:val="nil"/>
              <w:right w:val="single" w:color="auto" w:sz="4" w:space="0"/>
            </w:tcBorders>
            <w:vAlign w:val="center"/>
          </w:tcPr>
          <w:p>
            <w:pPr>
              <w:widowControl/>
              <w:jc w:val="left"/>
              <w:rPr>
                <w:rFonts w:hint="default" w:eastAsia="宋体"/>
                <w:kern w:val="0"/>
                <w:sz w:val="24"/>
                <w:lang w:val="en-US" w:eastAsia="zh-CN"/>
              </w:rPr>
            </w:pPr>
            <w:r>
              <w:rPr>
                <w:rFonts w:hint="eastAsia"/>
                <w:kern w:val="0"/>
                <w:sz w:val="24"/>
              </w:rPr>
              <w:t>　</w:t>
            </w:r>
            <w:r>
              <w:rPr>
                <w:rFonts w:hint="eastAsia"/>
                <w:kern w:val="0"/>
                <w:sz w:val="24"/>
                <w:lang w:val="en-US" w:eastAsia="zh-CN"/>
              </w:rPr>
              <w:t>10</w:t>
            </w:r>
          </w:p>
        </w:tc>
      </w:tr>
      <w:tr>
        <w:tblPrEx>
          <w:tblCellMar>
            <w:top w:w="0" w:type="dxa"/>
            <w:left w:w="108" w:type="dxa"/>
            <w:bottom w:w="0" w:type="dxa"/>
            <w:right w:w="108" w:type="dxa"/>
          </w:tblCellMar>
        </w:tblPrEx>
        <w:trPr>
          <w:trHeight w:val="1188"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12</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行政效能</w:t>
            </w:r>
          </w:p>
        </w:tc>
        <w:tc>
          <w:tcPr>
            <w:tcW w:w="481"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促进部门改进文风会风，加强经费及资产管理，推动网上办事，提高行政效率，降低行政成本效果较好的计</w:t>
            </w:r>
            <w:r>
              <w:rPr>
                <w:rFonts w:eastAsia="仿宋_GB2312"/>
                <w:kern w:val="0"/>
                <w:sz w:val="20"/>
                <w:szCs w:val="20"/>
              </w:rPr>
              <w:t>6</w:t>
            </w:r>
            <w:r>
              <w:rPr>
                <w:rFonts w:hint="eastAsia" w:eastAsia="仿宋_GB2312"/>
                <w:kern w:val="0"/>
                <w:sz w:val="20"/>
                <w:szCs w:val="20"/>
              </w:rPr>
              <w:t>分；一般</w:t>
            </w:r>
            <w:r>
              <w:rPr>
                <w:rFonts w:eastAsia="仿宋_GB2312"/>
                <w:kern w:val="0"/>
                <w:sz w:val="20"/>
                <w:szCs w:val="20"/>
              </w:rPr>
              <w:t>3</w:t>
            </w:r>
            <w:r>
              <w:rPr>
                <w:rFonts w:hint="eastAsia" w:eastAsia="仿宋_GB2312"/>
                <w:kern w:val="0"/>
                <w:sz w:val="20"/>
                <w:szCs w:val="20"/>
              </w:rPr>
              <w:t>分；无效果或者效果不明显</w:t>
            </w:r>
            <w:r>
              <w:rPr>
                <w:rFonts w:eastAsia="仿宋_GB2312"/>
                <w:kern w:val="0"/>
                <w:sz w:val="20"/>
                <w:szCs w:val="20"/>
              </w:rPr>
              <w:t>0</w:t>
            </w:r>
            <w:r>
              <w:rPr>
                <w:rFonts w:hint="eastAsia" w:eastAsia="仿宋_GB2312"/>
                <w:kern w:val="0"/>
                <w:sz w:val="20"/>
                <w:szCs w:val="20"/>
              </w:rPr>
              <w:t>分。</w:t>
            </w:r>
          </w:p>
        </w:tc>
        <w:tc>
          <w:tcPr>
            <w:tcW w:w="3427"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根据部门自评材料评定。</w:t>
            </w:r>
          </w:p>
        </w:tc>
        <w:tc>
          <w:tcPr>
            <w:tcW w:w="525" w:type="dxa"/>
            <w:tcBorders>
              <w:top w:val="single" w:color="auto" w:sz="4" w:space="0"/>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6</w:t>
            </w:r>
          </w:p>
        </w:tc>
      </w:tr>
      <w:tr>
        <w:tblPrEx>
          <w:tblCellMar>
            <w:top w:w="0" w:type="dxa"/>
            <w:left w:w="108" w:type="dxa"/>
            <w:bottom w:w="0" w:type="dxa"/>
            <w:right w:w="108" w:type="dxa"/>
          </w:tblCellMar>
        </w:tblPrEx>
        <w:trPr>
          <w:trHeight w:val="952"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社会公众或服务对象满意度</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eastAsia="仿宋_GB2312"/>
                <w:kern w:val="0"/>
                <w:sz w:val="20"/>
                <w:szCs w:val="20"/>
              </w:rPr>
              <w:t>90%</w:t>
            </w:r>
            <w:r>
              <w:rPr>
                <w:rFonts w:hint="eastAsia" w:eastAsia="仿宋_GB2312"/>
                <w:kern w:val="0"/>
                <w:sz w:val="20"/>
                <w:szCs w:val="20"/>
              </w:rPr>
              <w:t>（含）以上计</w:t>
            </w:r>
            <w:r>
              <w:rPr>
                <w:rFonts w:eastAsia="仿宋_GB2312"/>
                <w:kern w:val="0"/>
                <w:sz w:val="20"/>
                <w:szCs w:val="20"/>
              </w:rPr>
              <w:t>6</w:t>
            </w:r>
            <w:r>
              <w:rPr>
                <w:rFonts w:hint="eastAsia" w:eastAsia="仿宋_GB2312"/>
                <w:kern w:val="0"/>
                <w:sz w:val="20"/>
                <w:szCs w:val="20"/>
              </w:rPr>
              <w:t>分；</w:t>
            </w:r>
          </w:p>
          <w:p>
            <w:pPr>
              <w:widowControl/>
              <w:jc w:val="left"/>
              <w:rPr>
                <w:rFonts w:hint="eastAsia" w:eastAsia="仿宋_GB2312"/>
                <w:kern w:val="0"/>
                <w:sz w:val="20"/>
                <w:szCs w:val="20"/>
                <w:lang w:eastAsia="zh-CN"/>
              </w:rPr>
            </w:pPr>
            <w:r>
              <w:rPr>
                <w:rFonts w:eastAsia="仿宋_GB2312"/>
                <w:kern w:val="0"/>
                <w:sz w:val="20"/>
                <w:szCs w:val="20"/>
              </w:rPr>
              <w:t>80%</w:t>
            </w:r>
            <w:r>
              <w:rPr>
                <w:rFonts w:hint="eastAsia" w:eastAsia="仿宋_GB2312"/>
                <w:kern w:val="0"/>
                <w:sz w:val="20"/>
                <w:szCs w:val="20"/>
              </w:rPr>
              <w:t>（含）</w:t>
            </w:r>
            <w:r>
              <w:rPr>
                <w:rFonts w:eastAsia="仿宋_GB2312"/>
                <w:kern w:val="0"/>
                <w:sz w:val="20"/>
                <w:szCs w:val="20"/>
              </w:rPr>
              <w:t>-90%</w:t>
            </w:r>
            <w:r>
              <w:rPr>
                <w:rFonts w:hint="eastAsia" w:eastAsia="仿宋_GB2312"/>
                <w:kern w:val="0"/>
                <w:sz w:val="20"/>
                <w:szCs w:val="20"/>
              </w:rPr>
              <w:t>，计</w:t>
            </w:r>
            <w:r>
              <w:rPr>
                <w:rFonts w:eastAsia="仿宋_GB2312"/>
                <w:kern w:val="0"/>
                <w:sz w:val="20"/>
                <w:szCs w:val="20"/>
              </w:rPr>
              <w:t>4</w:t>
            </w:r>
            <w:r>
              <w:rPr>
                <w:rFonts w:hint="eastAsia" w:eastAsia="仿宋_GB2312"/>
                <w:kern w:val="0"/>
                <w:sz w:val="20"/>
                <w:szCs w:val="20"/>
              </w:rPr>
              <w:t>分；</w:t>
            </w:r>
          </w:p>
          <w:p>
            <w:pPr>
              <w:widowControl/>
              <w:jc w:val="left"/>
              <w:rPr>
                <w:rFonts w:hint="eastAsia" w:eastAsia="仿宋_GB2312"/>
                <w:kern w:val="0"/>
                <w:sz w:val="20"/>
                <w:szCs w:val="20"/>
                <w:lang w:eastAsia="zh-CN"/>
              </w:rPr>
            </w:pPr>
            <w:r>
              <w:rPr>
                <w:rFonts w:eastAsia="仿宋_GB2312"/>
                <w:kern w:val="0"/>
                <w:sz w:val="20"/>
                <w:szCs w:val="20"/>
              </w:rPr>
              <w:t>70%</w:t>
            </w:r>
            <w:r>
              <w:rPr>
                <w:rFonts w:hint="eastAsia" w:eastAsia="仿宋_GB2312"/>
                <w:kern w:val="0"/>
                <w:sz w:val="20"/>
                <w:szCs w:val="20"/>
              </w:rPr>
              <w:t>（含）</w:t>
            </w:r>
            <w:r>
              <w:rPr>
                <w:rFonts w:eastAsia="仿宋_GB2312"/>
                <w:kern w:val="0"/>
                <w:sz w:val="20"/>
                <w:szCs w:val="20"/>
              </w:rPr>
              <w:t>-80%</w:t>
            </w:r>
            <w:r>
              <w:rPr>
                <w:rFonts w:hint="eastAsia" w:eastAsia="仿宋_GB2312"/>
                <w:kern w:val="0"/>
                <w:sz w:val="20"/>
                <w:szCs w:val="20"/>
              </w:rPr>
              <w:t>，计</w:t>
            </w:r>
            <w:r>
              <w:rPr>
                <w:rFonts w:eastAsia="仿宋_GB2312"/>
                <w:kern w:val="0"/>
                <w:sz w:val="20"/>
                <w:szCs w:val="20"/>
              </w:rPr>
              <w:t>2</w:t>
            </w:r>
            <w:r>
              <w:rPr>
                <w:rFonts w:hint="eastAsia" w:eastAsia="仿宋_GB2312"/>
                <w:kern w:val="0"/>
                <w:sz w:val="20"/>
                <w:szCs w:val="20"/>
              </w:rPr>
              <w:t>分；</w:t>
            </w:r>
          </w:p>
          <w:p>
            <w:pPr>
              <w:widowControl/>
              <w:jc w:val="left"/>
              <w:rPr>
                <w:rFonts w:eastAsia="仿宋_GB2312"/>
                <w:kern w:val="0"/>
                <w:sz w:val="20"/>
                <w:szCs w:val="20"/>
              </w:rPr>
            </w:pPr>
            <w:r>
              <w:rPr>
                <w:rFonts w:hint="eastAsia" w:eastAsia="仿宋_GB2312"/>
                <w:kern w:val="0"/>
                <w:sz w:val="20"/>
                <w:szCs w:val="20"/>
              </w:rPr>
              <w:t>低于</w:t>
            </w:r>
            <w:r>
              <w:rPr>
                <w:rFonts w:eastAsia="仿宋_GB2312"/>
                <w:kern w:val="0"/>
                <w:sz w:val="20"/>
                <w:szCs w:val="20"/>
              </w:rPr>
              <w:t>70%</w:t>
            </w:r>
            <w:r>
              <w:rPr>
                <w:rFonts w:hint="eastAsia" w:eastAsia="仿宋_GB2312"/>
                <w:kern w:val="0"/>
                <w:sz w:val="20"/>
                <w:szCs w:val="20"/>
              </w:rPr>
              <w:t>计</w:t>
            </w:r>
            <w:r>
              <w:rPr>
                <w:rFonts w:eastAsia="仿宋_GB2312"/>
                <w:kern w:val="0"/>
                <w:sz w:val="20"/>
                <w:szCs w:val="20"/>
              </w:rPr>
              <w:t>0</w:t>
            </w:r>
            <w:r>
              <w:rPr>
                <w:rFonts w:hint="eastAsia" w:eastAsia="仿宋_GB2312"/>
                <w:kern w:val="0"/>
                <w:sz w:val="20"/>
                <w:szCs w:val="20"/>
              </w:rPr>
              <w:t>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社会公众或服务对象是指部门（单位）履行职责而影响到的部门、群体或个人，一般采取社会调查的方式。</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6</w:t>
            </w:r>
            <w:r>
              <w:rPr>
                <w:rFonts w:hint="eastAsia"/>
                <w:kern w:val="0"/>
                <w:sz w:val="24"/>
              </w:rPr>
              <w:t>　</w:t>
            </w:r>
          </w:p>
        </w:tc>
      </w:tr>
      <w:tr>
        <w:tblPrEx>
          <w:tblCellMar>
            <w:top w:w="0" w:type="dxa"/>
            <w:left w:w="108" w:type="dxa"/>
            <w:bottom w:w="0" w:type="dxa"/>
            <w:right w:w="108" w:type="dxa"/>
          </w:tblCellMar>
        </w:tblPrEx>
        <w:trPr>
          <w:trHeight w:val="450" w:hRule="atLeast"/>
          <w:jc w:val="center"/>
        </w:trPr>
        <w:tc>
          <w:tcPr>
            <w:tcW w:w="10151"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4"/>
                <w:szCs w:val="24"/>
              </w:rPr>
              <w:t>合计得分</w:t>
            </w:r>
          </w:p>
        </w:tc>
        <w:tc>
          <w:tcPr>
            <w:tcW w:w="525"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eastAsia="宋体"/>
                <w:kern w:val="0"/>
                <w:sz w:val="24"/>
                <w:lang w:val="en-US" w:eastAsia="zh-CN"/>
              </w:rPr>
            </w:pPr>
            <w:r>
              <w:rPr>
                <w:rFonts w:hint="eastAsia"/>
                <w:kern w:val="0"/>
                <w:sz w:val="24"/>
                <w:lang w:val="en-US" w:eastAsia="zh-CN"/>
              </w:rPr>
              <w:t>95</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altName w:val="宋体"/>
    <w:panose1 w:val="00000000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4ZTIzODQ2ZmM1MmVlNDc2YTU3Zjc3MzgxNGIyYzYifQ=="/>
  </w:docVars>
  <w:rsids>
    <w:rsidRoot w:val="53A63291"/>
    <w:rsid w:val="00744FAE"/>
    <w:rsid w:val="0CBB5F68"/>
    <w:rsid w:val="13EB5139"/>
    <w:rsid w:val="1A885C21"/>
    <w:rsid w:val="255614AE"/>
    <w:rsid w:val="328B5D49"/>
    <w:rsid w:val="53A63291"/>
    <w:rsid w:val="58FF7734"/>
    <w:rsid w:val="63402E1A"/>
    <w:rsid w:val="722B513F"/>
    <w:rsid w:val="76375D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NormalCharacter"/>
    <w:link w:val="1"/>
    <w:semiHidden/>
    <w:qFormat/>
    <w:uiPriority w:val="0"/>
    <w:rPr>
      <w:rFonts w:ascii="仿宋_GB2312" w:hAnsi="仿宋_GB2312" w:eastAsia="仿宋" w:cs="仿宋_GB2312"/>
      <w:kern w:val="2"/>
      <w:sz w:val="30"/>
      <w:szCs w:val="3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6178</Words>
  <Characters>6494</Characters>
  <Lines>0</Lines>
  <Paragraphs>0</Paragraphs>
  <TotalTime>10</TotalTime>
  <ScaleCrop>false</ScaleCrop>
  <LinksUpToDate>false</LinksUpToDate>
  <CharactersWithSpaces>6793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2022-08-24T03:31:00Z</dcterms:created>
  <dc:creator>晓槿</dc:creator>
  <cp:lastModifiedBy>东来</cp:lastModifiedBy>
  <dcterms:modified xsi:type="dcterms:W3CDTF">2023-09-22T08:12:38Z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372ED1F080CC42BBBEC0D45CDF3168F8</vt:lpwstr>
  </property>
</Properties>
</file>