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2021年度专项（项目）资金绩效自评报告</w:t>
      </w:r>
    </w:p>
    <w:p>
      <w:pPr>
        <w:spacing w:line="620" w:lineRule="exact"/>
        <w:jc w:val="center"/>
        <w:rPr>
          <w:rFonts w:ascii="方正小标宋简体" w:eastAsia="方正小标宋简体"/>
          <w:color w:val="000000"/>
          <w:kern w:val="0"/>
          <w:sz w:val="36"/>
          <w:szCs w:val="36"/>
        </w:rPr>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机构设置：冷水滩区司法局设办公室、社区矫正管理股、行政复议与应诉股、行政执法监督管理股、普法与依法治理股、人民参与和促进法治股、公共法律服务管理股、律师工作股、装备财务保障股、政工室10个内设机构，下属司法所:上岭桥、岚角山、伊塘、蔡市、曲河、梅湾、菱角山、肖家园、杨家桥、珊瑚、工业园、梧桐、凤凰、马坪、高溪市、黄阳司、牛角坝、普利桥、杨村甸、花桥20个。</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2、人员编制情况：2021年本单位年末实有人数86人，比上年减少了2人（退休1人，调出1人）。</w:t>
      </w:r>
    </w:p>
    <w:p>
      <w:pPr>
        <w:spacing w:line="620" w:lineRule="exact"/>
        <w:ind w:firstLine="640" w:firstLineChars="200"/>
        <w:rPr>
          <w:rFonts w:ascii="黑体" w:hAnsi="黑体" w:eastAsia="黑体" w:cs="黑体"/>
          <w:bCs/>
          <w:sz w:val="32"/>
          <w:szCs w:val="32"/>
        </w:rPr>
      </w:pPr>
      <w:r>
        <w:rPr>
          <w:rFonts w:hint="eastAsia" w:eastAsia="仿宋_GB2312"/>
          <w:color w:val="000000"/>
          <w:kern w:val="0"/>
          <w:sz w:val="32"/>
          <w:szCs w:val="32"/>
        </w:rPr>
        <w:t>3、车辆编制情况：车辆编制2辆。其中执勤执法车2辆。</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情况简介</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1、承担全面依法治区重大问题的政策研究，协调有关方面提出全面依法治区中长期规划建议，负责有关重大决策部署督查工作。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2、指导全区规范性文件管理有关工作，承担区政府规范性文件送审稿的合法性审查工作，承办区政府及其部门规范性文件的登记工作。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3、承担统筹推进法治政府建设的责任。</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4、承担统筹规划全区法治社会建设的责任。</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5、负责全区社区矫正工作和刑满释放人员帮教安置工作。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6、指导、支持和协助社区戒毒和社区康复工作。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7、负责拟制和实施全区公共法律服务体系建设规划，统筹和布局城乡、区域法律服务资源。负责对律师、法律援助、司法鉴定和基层法律服务指导、监督和管理工作。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8、负责全区法治对外合作工作。组织开展法治对外合作交流。</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9、负责本级司法行政服装和警车管理工作。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10、规划、协调、指导法治人才队伍建设相关工作。负责司法行政队伍建设。负责本系统警务管理和警务监督工作。</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11、完成区委、区政府交办的其他事项。</w:t>
      </w:r>
    </w:p>
    <w:p>
      <w:pPr>
        <w:spacing w:line="620" w:lineRule="exact"/>
        <w:ind w:firstLine="640" w:firstLineChars="200"/>
        <w:rPr>
          <w:rFonts w:eastAsia="仿宋_GB2312"/>
          <w:color w:val="FF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2021年，我局工作在区委、区政府及上级司法行政机关的正确领导下，坚持稳中求进，强化创新引领，在维护社会稳定、建设法治冷水滩、化解矛盾纠纷、优化法律服务等方面，做了以下几个方面的工作：</w:t>
      </w:r>
    </w:p>
    <w:p>
      <w:pPr>
        <w:spacing w:line="620" w:lineRule="exact"/>
        <w:ind w:firstLine="640" w:firstLineChars="200"/>
        <w:rPr>
          <w:rFonts w:eastAsia="仿宋_GB2312"/>
          <w:kern w:val="0"/>
          <w:sz w:val="32"/>
          <w:szCs w:val="32"/>
        </w:rPr>
      </w:pPr>
      <w:r>
        <w:rPr>
          <w:rFonts w:hint="eastAsia" w:eastAsia="仿宋_GB2312"/>
          <w:color w:val="000000"/>
          <w:kern w:val="0"/>
          <w:sz w:val="32"/>
          <w:szCs w:val="32"/>
        </w:rPr>
        <w:t>（一）聚焦政治建设新要</w:t>
      </w:r>
      <w:r>
        <w:rPr>
          <w:rFonts w:hint="eastAsia" w:eastAsia="仿宋_GB2312"/>
          <w:kern w:val="0"/>
          <w:sz w:val="32"/>
          <w:szCs w:val="32"/>
        </w:rPr>
        <w:t>求，党建队建工作扎实开展</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1.全面落实从严治党主体责任。</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2.严格落实“三会一课”制度。</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3.扎实开展“不忘初心、牢记使命”主题教育。</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4.全面落实意识形态工作责任制。</w:t>
      </w:r>
      <w:bookmarkStart w:id="0" w:name="_GoBack"/>
      <w:bookmarkEnd w:id="0"/>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5.强抓队伍建设。</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6.强化宣传报道。</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（二）全面依法治区实现新进展</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1.筹划组织区委全面依法治区委员会第三次全会。</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2.统筹谋划、保质保量完成全省“八五”普法验收迎检工作。</w:t>
      </w:r>
    </w:p>
    <w:p>
      <w:pPr>
        <w:spacing w:line="620" w:lineRule="exact"/>
        <w:ind w:firstLine="640" w:firstLineChars="200"/>
      </w:pPr>
      <w:r>
        <w:rPr>
          <w:rFonts w:hint="eastAsia" w:eastAsia="仿宋_GB2312"/>
          <w:color w:val="000000"/>
          <w:kern w:val="0"/>
          <w:sz w:val="32"/>
          <w:szCs w:val="32"/>
        </w:rPr>
        <w:t>3.抓好工作落实和考核力度。</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4.组织国家工作人员年度学法用法考试。</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（三）聚焦依法行政新任务，法治政府建设深入开展</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1.依法开展行政复议、行政诉讼工作。         </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2.加强行政规范性文件管理。</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3.充分发挥法律智囊团作用。</w:t>
      </w:r>
    </w:p>
    <w:p>
      <w:pPr>
        <w:spacing w:line="620" w:lineRule="exact"/>
        <w:ind w:firstLine="640" w:firstLineChars="200"/>
      </w:pPr>
      <w:r>
        <w:rPr>
          <w:rFonts w:hint="eastAsia" w:eastAsia="仿宋_GB2312"/>
          <w:color w:val="000000"/>
          <w:kern w:val="0"/>
          <w:sz w:val="32"/>
          <w:szCs w:val="32"/>
        </w:rPr>
        <w:t>4.落实优化营商环境相关政策。</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（四）聚焦人民群众新期待，公共法律服务范围不断拓宽</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1.完善公共法律服务平台建设。</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2.加大矛盾纠纷排查调处力度。</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3.深化人民陪审员选任管理，提高人民群众参与和促进法治的能力。</w:t>
      </w:r>
    </w:p>
    <w:p>
      <w:pPr>
        <w:spacing w:line="620" w:lineRule="exact"/>
        <w:ind w:firstLine="643" w:firstLineChars="200"/>
        <w:rPr>
          <w:rFonts w:eastAsia="仿宋_GB2312"/>
          <w:color w:val="000000"/>
          <w:kern w:val="0"/>
          <w:sz w:val="32"/>
          <w:szCs w:val="32"/>
        </w:rPr>
      </w:pPr>
      <w:r>
        <w:rPr>
          <w:rFonts w:hint="eastAsia" w:ascii="仿宋_GB2312" w:eastAsia="仿宋_GB2312" w:cs="仿宋_GB2312"/>
          <w:b/>
          <w:bCs/>
          <w:sz w:val="32"/>
          <w:szCs w:val="32"/>
        </w:rPr>
        <w:t>4、</w:t>
      </w:r>
      <w:r>
        <w:rPr>
          <w:rFonts w:hint="eastAsia" w:eastAsia="仿宋_GB2312"/>
          <w:color w:val="000000"/>
          <w:kern w:val="0"/>
          <w:sz w:val="32"/>
          <w:szCs w:val="32"/>
        </w:rPr>
        <w:t>法治宣传形式多样。</w:t>
      </w:r>
    </w:p>
    <w:p>
      <w:pPr>
        <w:pStyle w:val="2"/>
      </w:pP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（五）聚焦安全稳定新形势，刑事执行水平不断提升</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1、加强日常监管，确保不脱管、漏管。</w:t>
      </w:r>
    </w:p>
    <w:p>
      <w:pPr>
        <w:pStyle w:val="2"/>
        <w:ind w:firstLine="640" w:firstLineChars="200"/>
        <w:rPr>
          <w:rFonts w:eastAsia="仿宋_GB2312"/>
          <w:color w:val="000000"/>
          <w:kern w:val="0"/>
          <w:sz w:val="32"/>
          <w:szCs w:val="32"/>
        </w:rPr>
      </w:pPr>
      <w:r>
        <w:rPr>
          <w:rFonts w:hint="eastAsia" w:eastAsia="仿宋_GB2312"/>
          <w:color w:val="000000"/>
          <w:kern w:val="0"/>
          <w:sz w:val="32"/>
          <w:szCs w:val="32"/>
        </w:rPr>
        <w:t>2、做好疫情防控常态化条件下安置帮教工作，完善“智慧矫正”建设。</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（一）项目资金来源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 xml:space="preserve"> 2021年区本级财政安排专项资金258.77万元。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项目资金（主要是指财政资金）实际使用情况分析。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1. 公共安全支出（类）司法（款）行政运行（项）支出为3.15万元。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 公共安全支出（类）司法（款）一般行政管理事务（项）支出为217.62万元。</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3、公共安全支出（类）司法（款）公共法律服务（项）支出为16万元。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4、公共安全支出（类）司法（款）其他公共安全支出（项）支出为22万元。</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（二）项目资金管理情况</w:t>
      </w:r>
    </w:p>
    <w:p>
      <w:pPr>
        <w:spacing w:line="620" w:lineRule="exact"/>
        <w:ind w:firstLine="640" w:firstLineChars="200"/>
        <w:rPr>
          <w:rFonts w:eastAsia="仿宋_GB2312"/>
          <w:kern w:val="0"/>
          <w:sz w:val="32"/>
          <w:szCs w:val="32"/>
        </w:rPr>
      </w:pPr>
      <w:r>
        <w:rPr>
          <w:rFonts w:hint="eastAsia" w:eastAsia="仿宋_GB2312"/>
          <w:color w:val="000000"/>
          <w:kern w:val="0"/>
          <w:sz w:val="32"/>
          <w:szCs w:val="32"/>
        </w:rPr>
        <w:t>项目资金严格按规范管理使用，每笔资金使用按规范程序报账，按需拨付，管理使用效果好。</w:t>
      </w:r>
    </w:p>
    <w:p>
      <w:pPr>
        <w:spacing w:line="620" w:lineRule="exact"/>
        <w:ind w:firstLine="640" w:firstLineChars="200"/>
        <w:rPr>
          <w:rFonts w:ascii="黑体" w:eastAsia="黑体"/>
          <w:kern w:val="0"/>
          <w:sz w:val="32"/>
          <w:szCs w:val="32"/>
        </w:rPr>
      </w:pPr>
      <w:r>
        <w:rPr>
          <w:rFonts w:hint="eastAsia" w:ascii="黑体" w:eastAsia="黑体"/>
          <w:kern w:val="0"/>
          <w:sz w:val="32"/>
          <w:szCs w:val="32"/>
        </w:rPr>
        <w:t>四、项目绩效指标完成情况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（一）产出指标完成情况分析。</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2021年来，共新收行政复议案件</w:t>
      </w:r>
      <w:r>
        <w:rPr>
          <w:rFonts w:hint="eastAsia" w:ascii="仿宋_GB2312" w:hAnsi="仿宋_GB2312" w:eastAsia="仿宋_GB2312" w:cs="仿宋_GB2312"/>
          <w:sz w:val="32"/>
          <w:szCs w:val="32"/>
        </w:rPr>
        <w:t>19件，受理16件，不予受理3件</w:t>
      </w:r>
      <w:r>
        <w:rPr>
          <w:rFonts w:hint="eastAsia" w:ascii="仿宋_GB2312" w:eastAsia="仿宋_GB2312" w:cs="仿宋_GB2312"/>
          <w:color w:val="000000"/>
          <w:sz w:val="32"/>
          <w:szCs w:val="32"/>
        </w:rPr>
        <w:t xml:space="preserve">。主动协调做好行政应诉工作，依法履行应诉答辩义务。共办理行政应诉案件（含有一审、二审）32件。          </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今年来已办理法律援助案件</w:t>
      </w:r>
      <w:r>
        <w:rPr>
          <w:rFonts w:hint="eastAsia" w:ascii="仿宋" w:hAnsi="仿宋" w:eastAsia="仿宋" w:cs="Times New Roman"/>
          <w:sz w:val="32"/>
          <w:szCs w:val="32"/>
        </w:rPr>
        <w:t>280件，其中刑事法律援助案件182件，民事法律援助案件98件，另外还代写法律文书5件，出具法律援助意见4份，法律咨询273件</w:t>
      </w:r>
      <w:r>
        <w:rPr>
          <w:rFonts w:hint="eastAsia" w:ascii="仿宋_GB2312" w:eastAsia="仿宋_GB2312" w:cs="仿宋_GB2312"/>
          <w:color w:val="000000"/>
          <w:sz w:val="32"/>
          <w:szCs w:val="32"/>
        </w:rPr>
        <w:t>。</w:t>
      </w:r>
    </w:p>
    <w:p>
      <w:pPr>
        <w:spacing w:line="560" w:lineRule="exact"/>
        <w:ind w:firstLine="640" w:firstLineChars="200"/>
        <w:rPr>
          <w:rFonts w:ascii="仿宋_GB2312" w:eastAsia="仿宋_GB2312" w:cs="仿宋_GB2312"/>
          <w:color w:val="000000"/>
          <w:sz w:val="32"/>
          <w:szCs w:val="32"/>
        </w:rPr>
      </w:pPr>
      <w:r>
        <w:rPr>
          <w:rFonts w:hint="eastAsia" w:ascii="仿宋" w:eastAsia="仿宋"/>
          <w:sz w:val="32"/>
          <w:szCs w:val="32"/>
        </w:rPr>
        <w:t>我区各级人民调解组织共开展矛盾纠纷排查566次，排查发现各类矛盾纠纷140件，预防纠纷119件；调解案件总数533件，调解成功率为98%</w:t>
      </w:r>
      <w:r>
        <w:rPr>
          <w:rFonts w:hint="eastAsia" w:ascii="仿宋_GB2312" w:eastAsia="仿宋_GB2312" w:cs="仿宋_GB2312"/>
          <w:color w:val="000000"/>
          <w:sz w:val="32"/>
          <w:szCs w:val="32"/>
        </w:rPr>
        <w:t>。</w:t>
      </w:r>
    </w:p>
    <w:p>
      <w:pPr>
        <w:spacing w:line="560" w:lineRule="exact"/>
        <w:ind w:firstLine="640" w:firstLineChars="200"/>
        <w:rPr>
          <w:rFonts w:ascii="仿宋_GB2312" w:eastAsia="仿宋_GB2312" w:cs="仿宋_GB2312"/>
          <w:color w:val="000000"/>
          <w:sz w:val="32"/>
          <w:szCs w:val="32"/>
        </w:rPr>
      </w:pPr>
      <w:r>
        <w:rPr>
          <w:rFonts w:hint="eastAsia" w:ascii="仿宋" w:hAnsi="仿宋" w:eastAsia="仿宋" w:cs="仿宋"/>
          <w:color w:val="333333"/>
          <w:kern w:val="0"/>
          <w:sz w:val="32"/>
          <w:szCs w:val="32"/>
        </w:rPr>
        <w:t>今年我区国家工作者学法考法考试取得参学率、参考率、通过率“三个百分率”100%的好成绩</w:t>
      </w:r>
      <w:r>
        <w:rPr>
          <w:rFonts w:hint="eastAsia" w:ascii="仿宋_GB2312" w:eastAsia="仿宋_GB2312" w:cs="仿宋_GB2312"/>
          <w:color w:val="000000"/>
          <w:sz w:val="32"/>
          <w:szCs w:val="32"/>
        </w:rPr>
        <w:t>。</w:t>
      </w:r>
    </w:p>
    <w:p>
      <w:pPr>
        <w:pStyle w:val="2"/>
        <w:ind w:firstLine="640" w:firstLineChars="200"/>
        <w:rPr>
          <w:rFonts w:ascii="仿宋_GB2312" w:eastAsia="仿宋_GB2312" w:cs="仿宋_GB2312" w:hAnsiTheme="minorHAnsi"/>
          <w:color w:val="000000"/>
          <w:sz w:val="32"/>
          <w:szCs w:val="32"/>
        </w:rPr>
      </w:pPr>
      <w:r>
        <w:rPr>
          <w:rFonts w:hint="eastAsia" w:ascii="仿宋_GB2312" w:eastAsia="仿宋_GB2312" w:cs="仿宋_GB2312" w:hAnsiTheme="minorHAnsi"/>
          <w:color w:val="000000"/>
          <w:sz w:val="32"/>
          <w:szCs w:val="32"/>
        </w:rPr>
        <w:t>社区矫正工作正式启动以来，我区共接收社区服刑人员2901名社区服刑人员，已解除矫正2568名，截止到2021年12月27日现在矫330名，其中缓刑322人，假释4人，管制0人，暂予监外执行4人。我区信息化定位监管324人，其中手机定位监管312人，电子腕带定位0人；运营商定位0人，免考核16人，其中免考核人员均为因涉嫌犯罪或漏罪被公安机关逮捕和因疾病原因无法使用手机的人员。社区矫正工作从最初流于形式逐步走向规范化、信息化管理，落实了一系列规范化管理措施。</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（二）效益指标完成情况分析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今年“三公”经费支出100800元，其中公务用车购置及运行维护费54000元，比去年减少了2978元；公务接待费46800元，比去年增加了1770元。</w:t>
      </w:r>
    </w:p>
    <w:p>
      <w:pPr>
        <w:spacing w:line="580" w:lineRule="exact"/>
        <w:ind w:firstLine="640" w:firstLineChars="200"/>
      </w:pPr>
      <w:r>
        <w:rPr>
          <w:rFonts w:hint="eastAsia" w:ascii="仿宋_GB2312" w:eastAsia="仿宋_GB2312" w:cs="仿宋_GB2312"/>
          <w:color w:val="000000"/>
          <w:sz w:val="32"/>
          <w:szCs w:val="32"/>
        </w:rPr>
        <w:t>进一步完善公共法律服务体系，完善了“互联网+公共法律服务”,加速推进“12348”法律服务热线、省厅“12348湖南法网*如法网”、公共法律服务中心(站、点)“三台”融合,不断提升人民群众知晓率、首选率、满意率。继续整合律师、基层法律服务工作者等资源,推动“一村(社区)一法律顾问”从“有没有”向“好不好”提质升级。法律援助案件有效投诉发生率为O。</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（三）满意度指标完成情况分析</w:t>
      </w:r>
    </w:p>
    <w:p>
      <w:pPr>
        <w:spacing w:line="560" w:lineRule="exact"/>
        <w:ind w:firstLine="640" w:firstLineChars="200"/>
        <w:rPr>
          <w:rFonts w:eastAsia="仿宋_GB2312"/>
          <w:color w:val="000000"/>
          <w:kern w:val="0"/>
          <w:sz w:val="32"/>
          <w:szCs w:val="32"/>
        </w:rPr>
      </w:pPr>
      <w:r>
        <w:rPr>
          <w:rFonts w:hint="eastAsia" w:ascii="仿宋_GB2312" w:eastAsia="仿宋_GB2312" w:cs="仿宋_GB2312"/>
          <w:color w:val="000000"/>
          <w:sz w:val="32"/>
          <w:szCs w:val="32"/>
        </w:rPr>
        <w:t>整合区公共法律服务中心、20个公共法律服务工作站、203个村（社区）公共法律服务工作点，成功对接“12348湖南法网·如法网”“智慧永州”“12345”政府服务热线。今年来已办理法律援助案件280件，其中刑事法律援助案件182件，民事法律援助案件98件，另外还代写法律文书5件，出具法律援助意见4份，法律咨询273件。</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2021年我局各项工作完成情况良好，司法行政职能作用进一步发挥，群众的法律水平和法治意识得到进一步的增强，弱势群体的权益得到了有效维护，基层矛盾纠纷得到了有效化解，为全区经济、社会和谐发展提供了优质高效的法律服务和法律保障，服务对象满意度评价较高。</w:t>
      </w:r>
    </w:p>
    <w:p>
      <w:pPr>
        <w:spacing w:line="62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五、绩效目标未完成原因和下一步改进措施</w:t>
      </w:r>
    </w:p>
    <w:p>
      <w:pPr>
        <w:spacing w:line="62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 xml:space="preserve"> 无</w:t>
      </w:r>
    </w:p>
    <w:p>
      <w:pPr>
        <w:spacing w:line="62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六、绩效自评得分等级结果及拟应用和公开情况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司法局2021年绩效自评，各项指标达到预期目标并取得了一定的成效，绩效自评得分等级为优。自评结束，将按照财政局规定进行公开。</w:t>
      </w:r>
    </w:p>
    <w:p>
      <w:pPr>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七、绩效自评工作的经验、问题和建议。</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（一）经验：开展项目绩效评价是推进项目绩效管理的重要举措，增强项目管理和执行刚性。</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问题：绩效评价的评价标准设计有待区别加强。如对如法律援助这样办案具有跨年性的项目，及非项目实施主体原因（即部分办案资料归档不及时、不规范，导致资金支付延迟）所导致的预算执行问题，按照现有指标体系影响项目绩效评价。</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（三）建议：加强项目绩效评价培训工作。</w:t>
      </w:r>
    </w:p>
    <w:p>
      <w:pPr>
        <w:spacing w:line="540" w:lineRule="exact"/>
        <w:ind w:firstLine="640" w:firstLineChars="200"/>
        <w:rPr>
          <w:rFonts w:ascii="黑体" w:hAnsi="黑体" w:eastAsia="黑体" w:cs="黑体"/>
          <w:b/>
          <w:bCs/>
          <w:sz w:val="32"/>
          <w:szCs w:val="32"/>
        </w:rPr>
      </w:pPr>
      <w:r>
        <w:rPr>
          <w:rFonts w:hint="eastAsia" w:ascii="黑体" w:hAnsi="黑体" w:eastAsia="黑体" w:cs="黑体"/>
          <w:sz w:val="32"/>
          <w:szCs w:val="32"/>
        </w:rPr>
        <w:t>八、其他需说明的问题。</w:t>
      </w:r>
    </w:p>
    <w:p>
      <w:pPr>
        <w:spacing w:line="540" w:lineRule="exact"/>
        <w:rPr>
          <w:rFonts w:eastAsia="仿宋_GB2312"/>
          <w:kern w:val="0"/>
          <w:sz w:val="32"/>
          <w:szCs w:val="32"/>
        </w:rPr>
      </w:pPr>
      <w:r>
        <w:rPr>
          <w:rFonts w:hint="eastAsia" w:eastAsia="仿宋_GB2312"/>
          <w:kern w:val="0"/>
          <w:sz w:val="32"/>
          <w:szCs w:val="32"/>
        </w:rPr>
        <w:t xml:space="preserve">　  </w:t>
      </w:r>
      <w:r>
        <w:rPr>
          <w:rFonts w:hint="eastAsia" w:eastAsia="仿宋_GB2312"/>
          <w:color w:val="000000"/>
          <w:kern w:val="0"/>
          <w:sz w:val="32"/>
          <w:szCs w:val="32"/>
        </w:rPr>
        <w:t>无</w:t>
      </w:r>
    </w:p>
    <w:p>
      <w:pPr>
        <w:spacing w:line="560" w:lineRule="exact"/>
        <w:rPr>
          <w:kern w:val="0"/>
        </w:rPr>
      </w:pPr>
    </w:p>
    <w:p>
      <w:pPr>
        <w:spacing w:line="560" w:lineRule="exact"/>
        <w:rPr>
          <w:kern w:val="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372A57"/>
    <w:rsid w:val="00241564"/>
    <w:rsid w:val="00372A57"/>
    <w:rsid w:val="0046128A"/>
    <w:rsid w:val="004B1227"/>
    <w:rsid w:val="007C18C2"/>
    <w:rsid w:val="00835CCB"/>
    <w:rsid w:val="00875EEB"/>
    <w:rsid w:val="008E551E"/>
    <w:rsid w:val="009E2738"/>
    <w:rsid w:val="00BC44EF"/>
    <w:rsid w:val="00CF4211"/>
    <w:rsid w:val="00EA3ACC"/>
    <w:rsid w:val="00EB32D3"/>
    <w:rsid w:val="00EE1C59"/>
    <w:rsid w:val="00FD125A"/>
    <w:rsid w:val="00FF00FC"/>
    <w:rsid w:val="037322A2"/>
    <w:rsid w:val="06FA7B15"/>
    <w:rsid w:val="085D7896"/>
    <w:rsid w:val="2FB740DE"/>
    <w:rsid w:val="3D631F0B"/>
    <w:rsid w:val="3D6A64DC"/>
    <w:rsid w:val="3FAA54D5"/>
    <w:rsid w:val="4BEB02E1"/>
    <w:rsid w:val="4E5C6513"/>
    <w:rsid w:val="519126EA"/>
    <w:rsid w:val="66686E4B"/>
    <w:rsid w:val="6D36174F"/>
    <w:rsid w:val="7637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567"/>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2764</Words>
  <Characters>2912</Characters>
  <Lines>21</Lines>
  <Paragraphs>6</Paragraphs>
  <TotalTime>47</TotalTime>
  <ScaleCrop>false</ScaleCrop>
  <LinksUpToDate>false</LinksUpToDate>
  <CharactersWithSpaces>2939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2022-08-23T01:30:00Z</dcterms:created>
  <dc:creator>Administrator</dc:creator>
  <cp:lastModifiedBy>东来</cp:lastModifiedBy>
  <dcterms:modified xsi:type="dcterms:W3CDTF">2023-11-07T01:25:39Z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C7D82047EBDF4AC3BE5032B40FF480A5</vt:lpwstr>
  </property>
</Properties>
</file>