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2021年度永州市冷水滩区司法局部门决算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永州市冷水滩区司法局概况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永州市冷水滩区司法局概况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（一）承担全面依法治区重大问题的政策研究，协调有关方面提出全面依法治区中长期规划建议，负责有关重大决策部署督查工作。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（二）指导全区规范性文件管理有关工作，承担区政府规范性文件送审稿的合法性审查工作，承办区政府及其部门规范性文件的登记工作。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（三）承担统筹推进法治政府建设的责任。</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（四）承担统筹规划全区法治社会建设的责任。</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（五）负责全区社区矫正工作和刑满释放人员帮教安置工作。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（六）指导、支持和协助社区戒毒和社区康复工作。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（七）负责拟制和实施全区公共法律服务体系建设规划，统筹和布局城乡、区域法律服务资源。负责对律师、法律援助、司法鉴定和基层法律服务指导、监督和管理工作。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（八）负责全区法治对外合作工作。组织开展法治对外合作交流。</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（九）负责本级司法行政服装和警车管理工作。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（十）规划、协调、指导法治人才队伍建设相关工作。负责司法行政队伍建设。负责本系统警务管理和警务监督工作。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（十一）完成区委、区政府交办的其他事项。</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永州市冷水滩区司法局内设机构包括：冷水滩区司法局设办公室、社区矫正管理股、行政复议与应诉股、行政执法监督管理股、普法与依法治理股、人民参与和促进法治股、公共法律服务管理股、律师工作股、装备财务保障股、政工室10个内设机构，下属司法所:上岭桥、岚角山、伊塘、蔡市、曲河、梅湾、菱角山、肖家园、杨家桥、珊瑚、工业园、梧桐、凤凰、马坪、高溪市、黄阳司、牛角坝、普利桥、杨村甸、花桥20个。</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永州市冷水滩区司法局为一级预算单位，无独立二级单位，因此本次决算公开单位为永州市冷水滩区司法局本级。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color="auto" w:fill="auto"/>
            <w:vAlign w:val="center"/>
          </w:tcPr>
          <w:p>
            <w:pPr>
              <w:rPr>
                <w:rFonts w:hint="eastAsia" w:ascii="宋体"/>
                <w:b w:val="0"/>
                <w:bCs w:val="0"/>
                <w:sz w:val="22"/>
                <w:szCs w:val="22"/>
              </w:rPr>
            </w:pPr>
          </w:p>
        </w:tc>
        <w:tc>
          <w:tcPr>
            <w:tcW w:w="202" w:type="pct"/>
            <w:shd w:val="clear" w:color="auto" w:fill="auto"/>
            <w:vAlign w:val="center"/>
          </w:tcPr>
          <w:p>
            <w:pPr>
              <w:rPr>
                <w:rFonts w:hint="eastAsia" w:ascii="宋体"/>
                <w:b w:val="0"/>
                <w:bCs w:val="0"/>
                <w:sz w:val="22"/>
                <w:szCs w:val="22"/>
              </w:rPr>
            </w:pPr>
          </w:p>
        </w:tc>
        <w:tc>
          <w:tcPr>
            <w:tcW w:w="799" w:type="pct"/>
            <w:shd w:val="clear" w:color="auto" w:fill="auto"/>
            <w:vAlign w:val="center"/>
          </w:tcPr>
          <w:p>
            <w:pPr>
              <w:rPr>
                <w:rFonts w:hint="eastAsia" w:ascii="宋体"/>
                <w:b w:val="0"/>
                <w:bCs w:val="0"/>
                <w:sz w:val="22"/>
                <w:szCs w:val="22"/>
              </w:rPr>
            </w:pPr>
          </w:p>
        </w:tc>
        <w:tc>
          <w:tcPr>
            <w:tcW w:w="1497" w:type="pct"/>
            <w:shd w:val="clear" w:color="auto" w:fill="auto"/>
            <w:vAlign w:val="center"/>
          </w:tcPr>
          <w:p>
            <w:pPr>
              <w:rPr>
                <w:rFonts w:hint="eastAsia" w:ascii="宋体"/>
                <w:b w:val="0"/>
                <w:bCs w:val="0"/>
                <w:sz w:val="22"/>
                <w:szCs w:val="22"/>
              </w:rPr>
            </w:pPr>
          </w:p>
        </w:tc>
        <w:tc>
          <w:tcPr>
            <w:tcW w:w="1002" w:type="pct"/>
            <w:gridSpan w:val="2"/>
            <w:shd w:val="clear" w:color="auto" w:fill="auto"/>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002"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1,352.33</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113" w:type="pct"/>
            <w:shd w:val="clear" w:color="auto" w:fill="auto"/>
            <w:vAlign w:val="center"/>
          </w:tcPr>
          <w:p>
            <w:pPr>
              <w:rPr>
                <w:rFonts w:hint="eastAsia" w:ascii="宋体"/>
                <w:b w:val="0"/>
                <w:bCs w:val="0"/>
                <w:sz w:val="22"/>
                <w:szCs w:val="22"/>
              </w:rPr>
            </w:pPr>
          </w:p>
        </w:tc>
        <w:tc>
          <w:tcPr>
            <w:tcW w:w="995" w:type="pct"/>
            <w:shd w:val="clear" w:color="auto" w:fill="auto"/>
            <w:vAlign w:val="center"/>
          </w:tcPr>
          <w:p>
            <w:pPr>
              <w:rPr>
                <w:rFonts w:hint="eastAsia" w:ascii="宋体"/>
                <w:b w:val="0"/>
                <w:bCs w:val="0"/>
                <w:sz w:val="22"/>
                <w:szCs w:val="22"/>
              </w:rPr>
            </w:pPr>
          </w:p>
        </w:tc>
        <w:tc>
          <w:tcPr>
            <w:tcW w:w="678"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497" w:type="pct"/>
            <w:shd w:val="clear" w:color="auto" w:fill="auto"/>
            <w:vAlign w:val="center"/>
          </w:tcPr>
          <w:p>
            <w:pPr>
              <w:rPr>
                <w:rFonts w:hint="eastAsia" w:ascii="宋体"/>
                <w:b w:val="0"/>
                <w:bCs w:val="0"/>
                <w:sz w:val="22"/>
                <w:szCs w:val="22"/>
              </w:rPr>
            </w:pPr>
          </w:p>
        </w:tc>
        <w:tc>
          <w:tcPr>
            <w:tcW w:w="995" w:type="pct"/>
            <w:gridSpan w:val="2"/>
            <w:shd w:val="clear" w:color="auto" w:fill="auto"/>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995"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公共安全支出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司法</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1,099.55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1,099.55</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865.93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865.93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2040607</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公共法律服务</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国家司法救助支出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2049999</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行政事业单位养老支出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2080505</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机关事业单位基本养老保险缴费支出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2080506</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机关事业单位职业年金缴费支出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财政对其他社会保险基金的补助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财政对工伤保险基金的补助</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卫生健康支出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行政事业单位医疗</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行政单位医疗</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2210201</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住房公积金</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25" w:type="pct"/>
            <w:shd w:val="clear" w:color="auto" w:fill="auto"/>
            <w:vAlign w:val="center"/>
          </w:tcPr>
          <w:p>
            <w:pPr>
              <w:rPr>
                <w:rFonts w:hint="eastAsia" w:ascii="宋体"/>
                <w:b w:val="0"/>
                <w:bCs w:val="0"/>
                <w:sz w:val="22"/>
                <w:szCs w:val="22"/>
              </w:rPr>
            </w:pPr>
          </w:p>
        </w:tc>
        <w:tc>
          <w:tcPr>
            <w:tcW w:w="1105" w:type="pct"/>
            <w:shd w:val="clear" w:color="auto" w:fill="auto"/>
            <w:vAlign w:val="center"/>
          </w:tcPr>
          <w:p>
            <w:pPr>
              <w:rPr>
                <w:rFonts w:hint="eastAsia" w:ascii="宋体"/>
                <w:b w:val="0"/>
                <w:bCs w:val="0"/>
                <w:sz w:val="22"/>
                <w:szCs w:val="22"/>
              </w:rPr>
            </w:pPr>
          </w:p>
        </w:tc>
        <w:tc>
          <w:tcPr>
            <w:tcW w:w="753"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552" w:type="pct"/>
            <w:shd w:val="clear" w:color="auto" w:fill="auto"/>
            <w:vAlign w:val="center"/>
          </w:tcPr>
          <w:p>
            <w:pPr>
              <w:rPr>
                <w:rFonts w:hint="eastAsia" w:ascii="宋体"/>
                <w:b w:val="0"/>
                <w:bCs w:val="0"/>
                <w:sz w:val="22"/>
                <w:szCs w:val="22"/>
              </w:rPr>
            </w:pPr>
          </w:p>
        </w:tc>
        <w:tc>
          <w:tcPr>
            <w:tcW w:w="1105" w:type="pct"/>
            <w:gridSpan w:val="2"/>
            <w:shd w:val="clear" w:color="auto" w:fill="auto"/>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105"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1,093.55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258.77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公共安全支出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258.77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司法</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1,099.55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236.77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865.93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3.15</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2040607</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公共法律服务</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国家司法救助支出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2049999</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行政事业单位养老支出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2080505</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机关事业单位基本养老保险缴费支出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2080506</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机关事业单位职业年金缴费支出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财政对其他社会保险基金的补助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财政对工伤保险基金的补助</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卫生健康支出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行政事业单位医疗</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行政单位医疗</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2210201</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住房公积金</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486" w:type="pct"/>
            <w:shd w:val="clear" w:color="auto" w:fill="auto"/>
            <w:vAlign w:val="center"/>
          </w:tcPr>
          <w:p>
            <w:pPr>
              <w:rPr>
                <w:rFonts w:hint="eastAsia" w:ascii="宋体"/>
                <w:b w:val="0"/>
                <w:bCs w:val="0"/>
                <w:sz w:val="22"/>
                <w:szCs w:val="22"/>
              </w:rPr>
            </w:pPr>
          </w:p>
        </w:tc>
        <w:tc>
          <w:tcPr>
            <w:tcW w:w="1151"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664" w:type="pct"/>
            <w:shd w:val="clear" w:color="auto" w:fill="auto"/>
            <w:vAlign w:val="center"/>
          </w:tcPr>
          <w:p>
            <w:pPr>
              <w:rPr>
                <w:rFonts w:hint="eastAsia" w:ascii="宋体"/>
                <w:b w:val="0"/>
                <w:bCs w:val="0"/>
                <w:sz w:val="22"/>
                <w:szCs w:val="22"/>
              </w:rPr>
            </w:pPr>
          </w:p>
        </w:tc>
        <w:tc>
          <w:tcPr>
            <w:tcW w:w="456" w:type="pct"/>
            <w:shd w:val="clear" w:color="auto" w:fill="auto"/>
            <w:vAlign w:val="center"/>
          </w:tcPr>
          <w:p>
            <w:pPr>
              <w:rPr>
                <w:rFonts w:hint="eastAsia" w:ascii="宋体"/>
                <w:b w:val="0"/>
                <w:bCs w:val="0"/>
                <w:sz w:val="22"/>
                <w:szCs w:val="22"/>
              </w:rPr>
            </w:pPr>
          </w:p>
        </w:tc>
        <w:tc>
          <w:tcPr>
            <w:tcW w:w="912" w:type="pct"/>
            <w:gridSpan w:val="2"/>
            <w:shd w:val="clear" w:color="auto" w:fill="auto"/>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912"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1,352.33</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41" w:type="pct"/>
            <w:shd w:val="clear" w:color="auto" w:fill="auto"/>
            <w:vAlign w:val="center"/>
          </w:tcPr>
          <w:p>
            <w:pPr>
              <w:rPr>
                <w:rFonts w:hint="eastAsia" w:ascii="宋体"/>
                <w:b w:val="0"/>
                <w:bCs w:val="0"/>
                <w:sz w:val="22"/>
                <w:szCs w:val="22"/>
              </w:rPr>
            </w:pPr>
          </w:p>
        </w:tc>
        <w:tc>
          <w:tcPr>
            <w:tcW w:w="1683" w:type="pct"/>
            <w:shd w:val="clear" w:color="auto" w:fill="auto"/>
            <w:vAlign w:val="center"/>
          </w:tcPr>
          <w:p>
            <w:pPr>
              <w:rPr>
                <w:rFonts w:hint="eastAsia" w:ascii="宋体"/>
                <w:b w:val="0"/>
                <w:bCs w:val="0"/>
                <w:sz w:val="22"/>
                <w:szCs w:val="22"/>
              </w:rPr>
            </w:pPr>
          </w:p>
        </w:tc>
        <w:tc>
          <w:tcPr>
            <w:tcW w:w="964" w:type="pct"/>
            <w:shd w:val="clear" w:color="auto" w:fill="auto"/>
            <w:vAlign w:val="center"/>
          </w:tcPr>
          <w:p>
            <w:pPr>
              <w:rPr>
                <w:rFonts w:hint="eastAsia" w:ascii="宋体"/>
                <w:b w:val="0"/>
                <w:bCs w:val="0"/>
                <w:sz w:val="22"/>
                <w:szCs w:val="22"/>
              </w:rPr>
            </w:pPr>
          </w:p>
        </w:tc>
        <w:tc>
          <w:tcPr>
            <w:tcW w:w="1928" w:type="pct"/>
            <w:gridSpan w:val="2"/>
            <w:shd w:val="clear" w:color="auto" w:fill="auto"/>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928"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1,352.33</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1,093.55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258.77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公共安全支出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1,121.55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258.77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司法</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1,099.55</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865.93</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862.78</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2040607</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公共法律服务</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国家司法救助支出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2049999</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其他公共安全支出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119.60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行政事业单位养老支出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117.21</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2080505</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机关事业单位基本养老保险缴费支出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2080506</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机关事业单位职业年金缴费支出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财政对其他社会保险基金的补助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2082702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财政对工伤保险基金的补助</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卫生健康支出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行政事业单位医疗</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2101101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行政单位医疗</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2210201</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住房公积金</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color="auto" w:fill="auto"/>
            <w:vAlign w:val="center"/>
          </w:tcPr>
          <w:p>
            <w:pPr>
              <w:rPr>
                <w:rFonts w:hint="eastAsia" w:ascii="宋体"/>
                <w:b w:val="0"/>
                <w:bCs w:val="0"/>
                <w:sz w:val="22"/>
                <w:szCs w:val="22"/>
              </w:rPr>
            </w:pPr>
          </w:p>
        </w:tc>
        <w:tc>
          <w:tcPr>
            <w:tcW w:w="1053"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829" w:type="pct"/>
            <w:shd w:val="clear" w:color="auto" w:fill="auto"/>
            <w:vAlign w:val="center"/>
          </w:tcPr>
          <w:p>
            <w:pPr>
              <w:rPr>
                <w:rFonts w:hint="eastAsia" w:ascii="宋体"/>
                <w:b w:val="0"/>
                <w:bCs w:val="0"/>
                <w:sz w:val="22"/>
                <w:szCs w:val="22"/>
              </w:rPr>
            </w:pPr>
          </w:p>
        </w:tc>
        <w:tc>
          <w:tcPr>
            <w:tcW w:w="538" w:type="pct"/>
            <w:shd w:val="clear" w:color="auto" w:fill="auto"/>
            <w:vAlign w:val="center"/>
          </w:tcPr>
          <w:p>
            <w:pPr>
              <w:rPr>
                <w:rFonts w:hint="eastAsia" w:ascii="宋体"/>
                <w:b w:val="0"/>
                <w:bCs w:val="0"/>
                <w:sz w:val="22"/>
                <w:szCs w:val="22"/>
              </w:rPr>
            </w:pPr>
          </w:p>
        </w:tc>
        <w:tc>
          <w:tcPr>
            <w:tcW w:w="224" w:type="pct"/>
            <w:shd w:val="clear" w:color="auto" w:fill="auto"/>
            <w:vAlign w:val="center"/>
          </w:tcPr>
          <w:p>
            <w:pPr>
              <w:rPr>
                <w:rFonts w:hint="eastAsia" w:ascii="宋体"/>
                <w:b w:val="0"/>
                <w:bCs w:val="0"/>
                <w:sz w:val="22"/>
                <w:szCs w:val="22"/>
              </w:rPr>
            </w:pPr>
          </w:p>
        </w:tc>
        <w:tc>
          <w:tcPr>
            <w:tcW w:w="1367" w:type="pct"/>
            <w:gridSpan w:val="2"/>
            <w:shd w:val="clear" w:color="auto" w:fill="auto"/>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367" w:type="pct"/>
            <w:gridSpan w:val="2"/>
            <w:shd w:val="clear" w:color="auto" w:fill="auto"/>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950.46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116.17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496.76</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0.58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90.03</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0.39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132.90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22.54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0.40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93.77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2.07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23.44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0.41</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47.77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2.39</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1.84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63.40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0.14</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2.27</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4.38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4.68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4.38</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4.12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16.00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5.40</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56.52</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21.35</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954.84</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bCs/>
                <w:sz w:val="22"/>
                <w:szCs w:val="22"/>
              </w:rPr>
              <w:t>138.71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416" w:type="pct"/>
            <w:shd w:val="clear" w:color="auto" w:fill="auto"/>
            <w:vAlign w:val="center"/>
          </w:tcPr>
          <w:p>
            <w:pPr>
              <w:rPr>
                <w:rFonts w:hint="eastAsia" w:ascii="宋体"/>
                <w:b w:val="0"/>
                <w:bCs w:val="0"/>
                <w:sz w:val="22"/>
                <w:szCs w:val="22"/>
              </w:rPr>
            </w:pPr>
          </w:p>
        </w:tc>
        <w:tc>
          <w:tcPr>
            <w:tcW w:w="833" w:type="pct"/>
            <w:gridSpan w:val="2"/>
            <w:shd w:val="clear" w:color="auto" w:fill="auto"/>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833"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12.60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6.00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6.60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10.08</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5.40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5.40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b w:val="0"/>
                <w:bCs w:val="0"/>
                <w:sz w:val="22"/>
                <w:szCs w:val="22"/>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4" w:type="pct"/>
            <w:shd w:val="clear" w:color="auto" w:fill="auto"/>
            <w:vAlign w:val="center"/>
          </w:tcPr>
          <w:p>
            <w:pPr>
              <w:rPr>
                <w:rFonts w:hint="eastAsia" w:ascii="宋体"/>
                <w:b w:val="0"/>
                <w:bCs w:val="0"/>
                <w:sz w:val="22"/>
                <w:szCs w:val="22"/>
              </w:rPr>
            </w:pPr>
          </w:p>
        </w:tc>
        <w:tc>
          <w:tcPr>
            <w:tcW w:w="1078" w:type="pct"/>
            <w:shd w:val="clear" w:color="auto" w:fill="auto"/>
            <w:vAlign w:val="center"/>
          </w:tcPr>
          <w:p>
            <w:pPr>
              <w:rPr>
                <w:rFonts w:hint="eastAsia" w:ascii="宋体"/>
                <w:b w:val="0"/>
                <w:bCs w:val="0"/>
                <w:sz w:val="22"/>
                <w:szCs w:val="22"/>
              </w:rPr>
            </w:pPr>
          </w:p>
        </w:tc>
        <w:tc>
          <w:tcPr>
            <w:tcW w:w="368" w:type="pct"/>
            <w:shd w:val="clear" w:color="auto" w:fill="auto"/>
            <w:vAlign w:val="center"/>
          </w:tcPr>
          <w:p>
            <w:pPr>
              <w:rPr>
                <w:rFonts w:hint="eastAsia" w:ascii="宋体"/>
                <w:b w:val="0"/>
                <w:bCs w:val="0"/>
                <w:sz w:val="22"/>
                <w:szCs w:val="22"/>
              </w:rPr>
            </w:pPr>
          </w:p>
        </w:tc>
        <w:tc>
          <w:tcPr>
            <w:tcW w:w="614" w:type="pct"/>
            <w:shd w:val="clear" w:color="auto" w:fill="auto"/>
            <w:vAlign w:val="center"/>
          </w:tcPr>
          <w:p>
            <w:pPr>
              <w:rPr>
                <w:rFonts w:hint="eastAsia" w:ascii="宋体"/>
                <w:b w:val="0"/>
                <w:bCs w:val="0"/>
                <w:sz w:val="22"/>
                <w:szCs w:val="22"/>
              </w:rPr>
            </w:pPr>
          </w:p>
        </w:tc>
        <w:tc>
          <w:tcPr>
            <w:tcW w:w="335" w:type="pct"/>
            <w:shd w:val="clear" w:color="auto" w:fill="auto"/>
            <w:vAlign w:val="center"/>
          </w:tcPr>
          <w:p>
            <w:pPr>
              <w:rPr>
                <w:rFonts w:hint="eastAsia" w:ascii="宋体"/>
                <w:b w:val="0"/>
                <w:bCs w:val="0"/>
                <w:sz w:val="22"/>
                <w:szCs w:val="22"/>
              </w:rPr>
            </w:pPr>
          </w:p>
        </w:tc>
        <w:tc>
          <w:tcPr>
            <w:tcW w:w="473" w:type="pct"/>
            <w:shd w:val="clear" w:color="auto" w:fill="auto"/>
            <w:vAlign w:val="center"/>
          </w:tcPr>
          <w:p>
            <w:pPr>
              <w:rPr>
                <w:rFonts w:hint="eastAsia" w:ascii="宋体"/>
                <w:b w:val="0"/>
                <w:bCs w:val="0"/>
                <w:sz w:val="22"/>
                <w:szCs w:val="22"/>
              </w:rPr>
            </w:pPr>
          </w:p>
        </w:tc>
        <w:tc>
          <w:tcPr>
            <w:tcW w:w="1816" w:type="pct"/>
            <w:gridSpan w:val="2"/>
            <w:shd w:val="clear" w:color="auto" w:fill="auto"/>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816"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65" w:type="pct"/>
            <w:shd w:val="clear" w:color="auto" w:fill="auto"/>
            <w:vAlign w:val="center"/>
          </w:tcPr>
          <w:p>
            <w:pPr>
              <w:rPr>
                <w:rFonts w:hint="eastAsia" w:ascii="宋体"/>
                <w:b w:val="0"/>
                <w:bCs w:val="0"/>
                <w:sz w:val="22"/>
                <w:szCs w:val="22"/>
              </w:rPr>
            </w:pPr>
          </w:p>
        </w:tc>
        <w:tc>
          <w:tcPr>
            <w:tcW w:w="1972" w:type="pct"/>
            <w:shd w:val="clear" w:color="auto" w:fill="auto"/>
            <w:vAlign w:val="center"/>
          </w:tcPr>
          <w:p>
            <w:pPr>
              <w:rPr>
                <w:rFonts w:hint="eastAsia" w:ascii="宋体"/>
                <w:b w:val="0"/>
                <w:bCs w:val="0"/>
                <w:sz w:val="22"/>
                <w:szCs w:val="22"/>
              </w:rPr>
            </w:pPr>
          </w:p>
        </w:tc>
        <w:tc>
          <w:tcPr>
            <w:tcW w:w="843" w:type="pct"/>
            <w:shd w:val="clear" w:color="auto" w:fill="auto"/>
            <w:vAlign w:val="center"/>
          </w:tcPr>
          <w:p>
            <w:pPr>
              <w:rPr>
                <w:rFonts w:hint="eastAsia" w:ascii="宋体"/>
                <w:b w:val="0"/>
                <w:bCs w:val="0"/>
                <w:sz w:val="22"/>
                <w:szCs w:val="22"/>
              </w:rPr>
            </w:pPr>
          </w:p>
        </w:tc>
        <w:tc>
          <w:tcPr>
            <w:tcW w:w="1686" w:type="pct"/>
            <w:gridSpan w:val="2"/>
            <w:shd w:val="clear" w:color="auto" w:fill="auto"/>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9"/>
              <w:keepNext w:val="0"/>
              <w:keepLines w:val="0"/>
              <w:widowControl/>
              <w:suppressLineNumbers w:val="0"/>
              <w:jc w:val="left"/>
            </w:pPr>
            <w:r>
              <w:rPr>
                <w:b w:val="0"/>
                <w:bCs w:val="0"/>
                <w:sz w:val="22"/>
                <w:szCs w:val="22"/>
              </w:rPr>
              <w:t>部门：永州市冷水滩区司法局</w:t>
            </w:r>
          </w:p>
        </w:tc>
        <w:tc>
          <w:tcPr>
            <w:tcW w:w="1686" w:type="pct"/>
            <w:gridSpan w:val="2"/>
            <w:shd w:val="clear" w:color="auto" w:fill="auto"/>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2021年度收、支总计1,352.33万元。与上一年度相比，收、支总计各减少246.17万元，下降15.4%。主要是因为2021年财政紧张，厉行节约。</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2021年度收入合计1,352.33万元，其中：财政拨款收入1,352.33万元，占100%；上级补助收入0万元，占0%；事业收入0万元，占0%；经营收入0万元，占0%；附属单位上缴收入0万元，占0%；其他收入0万元，占0%。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2021年度支出合计1,352.33万元，其中：基本支出1,093.55万元，占80.86%；项目支出258.77万元，占19.14%；上缴上级支出0万元，占0%；经营支出0万元，占0%；对附属单位补助支出0万元，占0%。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2021年度财政拨款收、支总计1,352.33万元。与上一年度相比，财政拨款收、支总计各减少246.17万元，下降15.4%。主要是因为2021年财政紧张，厉行节约。</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2021年度财政拨款支出1,352.33万元，占本年支出合计的100%。与上一年度相比，财政拨款支出减少246.17万元，下降15.4%。主要是因为2021年财政紧张，厉行节约。</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2021年度财政拨款支出1,352.33万元，主要用于以下方面：公共安全支出1,121.55万元，占82.94%；社会保障和就业支出119.6万元，占8.84%；卫生健康支出47.77万元，占3.53%；住房保障支出63.4万元，占4.69%。</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2021年度财政拨款支出年初预算数为1,464.65万元，支出决算数为1,352.33万元，完成年初预算的92.33%，其中：</w:t>
      </w:r>
      <w:r>
        <w:rPr>
          <w:color w:val="000000"/>
          <w:sz w:val="27"/>
          <w:szCs w:val="27"/>
        </w:rPr>
        <w:t xml:space="preserve"> </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1、公共安全支出（类）司法（款）行政运行（项）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年初预算为997.79万元，支出决算为865.93万元，完成年初预算的86.78%。决算数小于年初预算数的主要原因是：2021年财政紧张，厉行节约。</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2、公共安全支出（类）司法（款）一般行政管理事务（项）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年初预算为403.47万元，支出决算为217.63万元，完成年初预算的53.94%。决算数小于年初预算数的主要原因是：2021年财政紧张，厉行节约。</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3、公共安全支出（类）司法（款）公共法律服务（项）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年初预算为0万元，支出决算为16万元，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4、公共安全支出（类）其他公共安全支出（款）国家司法救助支出（项）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年初预算为0万元，支出决算为7万元，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5、公共安全支出（类）其他公共安全支出（款）其他公共安全支出（项）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6、社会保障和就业支出（类）行政事业单位养老支出（款）机关事业单位基本养老保险缴费支出（项）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年初预算为0万元，支出决算为93.77万元，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7、社会保障和就业支出（类）行政事业单位养老支出（款）机关事业单位职业年金缴费支出（项）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年初预算为0万元，支出决算为23.44万元，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8、社会保障和就业支出（类）财政对其他社会保险基金的补助（款）财政对工伤保险基金的补助（项）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年初预算为0万元，支出决算为2.39万元，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9、卫生健康支出（类）行政事业单位医疗（款）行政单位医疗（项）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年初预算为0万元，支出决算为47.77万元，</w:t>
      </w:r>
      <w:r>
        <w:rPr>
          <w:rFonts w:hint="eastAsia" w:ascii="宋体" w:hAnsi="宋体" w:eastAsia="宋体" w:cs="宋体"/>
          <w:color w:val="000000"/>
          <w:sz w:val="32"/>
          <w:szCs w:val="32"/>
          <w:lang w:eastAsia="zh-CN"/>
        </w:rPr>
        <w:t>由于预算数为</w:t>
      </w:r>
      <w:r>
        <w:rPr>
          <w:rFonts w:hint="eastAsia" w:ascii="宋体" w:hAnsi="宋体" w:eastAsia="宋体" w:cs="宋体"/>
          <w:color w:val="000000"/>
          <w:sz w:val="32"/>
          <w:szCs w:val="32"/>
          <w:lang w:val="en-US" w:eastAsia="zh-CN"/>
        </w:rPr>
        <w:t>0，无法计算百分比</w:t>
      </w:r>
      <w:bookmarkStart w:id="0" w:name="_GoBack"/>
      <w:bookmarkEnd w:id="0"/>
      <w:r>
        <w:rPr>
          <w:rFonts w:hint="eastAsia" w:ascii="宋体" w:hAnsi="宋体" w:eastAsia="宋体" w:cs="宋体"/>
          <w:color w:val="000000"/>
          <w:sz w:val="32"/>
          <w:szCs w:val="32"/>
        </w:rPr>
        <w:t>。决算数大于年初预算数的主要原因是：年统计口径与上年不同。</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10、住房保障支出（类）住房改革支出（款）住房公积金（项）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年初预算为63.4万元，支出决算为63.4万元，完成年初预算的100%。决算数与年初预算数一致，我单位严格按预算执行决算。</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1,093.55万元，其中：人员经费954.84万元，占基本支出的87.32%，主要包括：基本工资、津贴补贴、奖金、机关事业单位基本养老保险缴费、职业年金缴费、职工基本医疗保险缴费、其他社会保障缴费、住房公积金、生活补助。公用经费138.71万元，占基本支出的12.68%，主要包括：办公设备购置、办公费、印刷费、水费、电费、邮电费、差旅费、维修（护）费、租赁费、公务接待费、劳务费、工会经费、公务用车运行维护费、其他交通费用、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2021年度“三公”经费财政拨款支出预算为12.6万元，支出决算为10.08万元，完成预算的80%，</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公务接待费支出预算为6.6万元，支出决算为4.68万元，完成预算的70.91%，决算数小于预算数的主要原因是厉行节约 ，与上年相比增加0.18万元，增长4%，增长的主要原因是公务接待次数较上年有所增加。</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公务用车运行维护费支出预算为6万元，支出决算为5.4万元，完成预算的90%，决算数小于预算数的主要原因是厉行节约 ，与上年相比减少0.3万元，下降5.26%，下降的主要原因是厉行节约。</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2021年度“三公”经费财政拨款支出决算中，公务接待费支出决算4.68万元，占46.43%，因公出国（境）费支出决算0万元，占0%，公务用车购置费及运行维护费支出决算5.4万元，占53.57%。其中：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2、公务接待费支出决算为4.68万元，全年共接待来访团组55个、来宾378人次，主要是迎检、单位之间公务往来发生的接待支出。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5.4万元，其中：公务用车购置费0万元，单位本级更新公务用车0辆。公务用车运行维护费5.4万元，主要是油费及车辆检修、保险支出，截至2021年12月31日，我单位开支财政拨款的公务用车保有量为2辆。</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永州市冷水滩区司法局2021年度没有政府性基金收入，也没有使用政府性基金安排的支出，并已公开空表。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永州市冷水滩区司法局2021年度机关运行经费支出138.71万元，比年初预算数减少4.26万元，下降2.98%。主要原因是：2021年财政紧张，厉行节约。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2021年度永州市冷水滩区司法局开支会议费0万元，我单位2021年度无会议费支出；开支培训费0万元，我单位2021年度无培训费支出；举办0场节庆、晚会、论坛、赛事活动，开支0万元，无相关活动计划。</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永州市冷水滩区司法局2021年度政府采购支出总额105万元，其中：政府采购货物支出105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永州市冷水滩区司法局共有车辆2辆（台），其中：机要通信用车0辆、应急保障用车0辆、执法执勤用车2辆、特种专业技术用车0辆、其他用车0辆；单价50万元（含）以上通用设备1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本部预算绩效管理开展情况、绩效目标和绩效评价报告等，详见（第五部分附件） </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本部预算绩效管理开展情况、绩效目标和绩效评价报告等，详见（第五部分附件）</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"http://10.105.181.49/home/downloadAttachment?attachGUID=483f42469e1842228f96b2fb5a9f94c8"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区司法局2021年度部门预算绩效自评报告.zip</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ODc3Y2UyYjBkYzgzOTU2MDA4MDI0Zjg0NWFlNTEifQ=="/>
  </w:docVars>
  <w:rsids>
    <w:rsidRoot w:val="00000000"/>
    <w:rsid w:val="090D12BC"/>
    <w:rsid w:val="0C9413AC"/>
    <w:rsid w:val="13806B99"/>
    <w:rsid w:val="159F6110"/>
    <w:rsid w:val="22405E06"/>
    <w:rsid w:val="63A1155A"/>
    <w:rsid w:val="7D7D26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2023-09-21T07:53:00Z</dcterms:created>
  <dc:creator>Administrator</dc:creator>
  <cp:lastModifiedBy>WPS_289358294</cp:lastModifiedBy>
  <dcterms:modified xsi:type="dcterms:W3CDTF">2023-09-21T08:33:36Z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BFF3A6D52C9443D3A1CEF522B59930F1_13</vt:lpwstr>
  </property>
</Properties>
</file>