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仿宋_GB2312"/>
          <w:sz w:val="32"/>
          <w:szCs w:val="32"/>
        </w:rPr>
      </w:pPr>
      <w:r>
        <w:rPr>
          <w:rFonts w:hint="eastAsia" w:eastAsia="仿宋_GB2312"/>
          <w:sz w:val="32"/>
          <w:szCs w:val="32"/>
        </w:rPr>
        <w:t>附件</w:t>
      </w:r>
      <w:r>
        <w:rPr>
          <w:rFonts w:eastAsia="仿宋_GB2312"/>
          <w:sz w:val="32"/>
          <w:szCs w:val="32"/>
        </w:rPr>
        <w:t>1</w:t>
      </w:r>
      <w:r>
        <w:rPr>
          <w:rFonts w:hint="eastAsia" w:eastAsia="仿宋_GB2312"/>
          <w:sz w:val="32"/>
          <w:szCs w:val="32"/>
        </w:rPr>
        <w:t>：</w:t>
      </w:r>
      <w:r>
        <w:rPr>
          <w:rFonts w:eastAsia="仿宋_GB2312"/>
          <w:sz w:val="32"/>
          <w:szCs w:val="32"/>
        </w:rPr>
        <w:tab/>
      </w:r>
    </w:p>
    <w:p>
      <w:pPr>
        <w:spacing w:line="620" w:lineRule="exact"/>
        <w:jc w:val="center"/>
        <w:rPr>
          <w:rFonts w:ascii="方正小标宋简体" w:eastAsia="方正小标宋简体"/>
          <w:color w:val="000000"/>
          <w:kern w:val="0"/>
          <w:sz w:val="36"/>
          <w:szCs w:val="36"/>
        </w:rPr>
      </w:pPr>
      <w:r>
        <w:rPr>
          <w:rFonts w:ascii="方正小标宋简体" w:eastAsia="方正小标宋简体"/>
          <w:color w:val="000000"/>
          <w:kern w:val="0"/>
          <w:sz w:val="36"/>
          <w:szCs w:val="36"/>
        </w:rPr>
        <w:t>20</w:t>
      </w:r>
      <w:r>
        <w:rPr>
          <w:rFonts w:hint="eastAsia" w:ascii="方正小标宋简体" w:eastAsia="方正小标宋简体"/>
          <w:color w:val="000000"/>
          <w:kern w:val="0"/>
          <w:sz w:val="36"/>
          <w:szCs w:val="36"/>
        </w:rPr>
        <w:t>2</w:t>
      </w:r>
      <w:r>
        <w:rPr>
          <w:rFonts w:ascii="方正小标宋简体" w:eastAsia="方正小标宋简体"/>
          <w:color w:val="000000"/>
          <w:kern w:val="0"/>
          <w:sz w:val="36"/>
          <w:szCs w:val="36"/>
        </w:rPr>
        <w:t>1</w:t>
      </w:r>
      <w:r>
        <w:rPr>
          <w:rFonts w:hint="eastAsia" w:ascii="方正小标宋简体" w:eastAsia="方正小标宋简体"/>
          <w:color w:val="000000"/>
          <w:kern w:val="0"/>
          <w:sz w:val="36"/>
          <w:szCs w:val="36"/>
        </w:rPr>
        <w:t>年度专项（项目）资金绩效自评报告</w:t>
      </w:r>
    </w:p>
    <w:p>
      <w:pPr>
        <w:spacing w:line="620" w:lineRule="exact"/>
        <w:jc w:val="center"/>
        <w:rPr>
          <w:rFonts w:ascii="楷体_GB2312" w:eastAsia="楷体_GB2312"/>
          <w:b/>
          <w:color w:val="000000"/>
          <w:kern w:val="0"/>
          <w:sz w:val="32"/>
          <w:szCs w:val="32"/>
        </w:rPr>
      </w:pPr>
      <w:r>
        <w:rPr>
          <w:rFonts w:hint="eastAsia" w:ascii="楷体_GB2312" w:eastAsia="楷体_GB2312"/>
          <w:b/>
          <w:color w:val="000000"/>
          <w:kern w:val="0"/>
          <w:sz w:val="32"/>
          <w:szCs w:val="32"/>
        </w:rPr>
        <w:t>（永州市冷水滩区</w:t>
      </w:r>
      <w:r>
        <w:rPr>
          <w:rFonts w:ascii="楷体_GB2312" w:eastAsia="楷体_GB2312"/>
          <w:b/>
          <w:color w:val="000000"/>
          <w:kern w:val="0"/>
          <w:sz w:val="32"/>
          <w:szCs w:val="32"/>
        </w:rPr>
        <w:t>发</w:t>
      </w:r>
      <w:r>
        <w:rPr>
          <w:rFonts w:hint="eastAsia" w:ascii="楷体_GB2312" w:eastAsia="楷体_GB2312"/>
          <w:b/>
          <w:color w:val="000000"/>
          <w:kern w:val="0"/>
          <w:sz w:val="32"/>
          <w:szCs w:val="32"/>
        </w:rPr>
        <w:t>展和</w:t>
      </w:r>
      <w:r>
        <w:rPr>
          <w:rFonts w:ascii="楷体_GB2312" w:eastAsia="楷体_GB2312"/>
          <w:b/>
          <w:color w:val="000000"/>
          <w:kern w:val="0"/>
          <w:sz w:val="32"/>
          <w:szCs w:val="32"/>
        </w:rPr>
        <w:t>改</w:t>
      </w:r>
      <w:r>
        <w:rPr>
          <w:rFonts w:hint="eastAsia" w:ascii="楷体_GB2312" w:eastAsia="楷体_GB2312"/>
          <w:b/>
          <w:color w:val="000000"/>
          <w:kern w:val="0"/>
          <w:sz w:val="32"/>
          <w:szCs w:val="32"/>
        </w:rPr>
        <w:t>革</w:t>
      </w:r>
      <w:r>
        <w:rPr>
          <w:rFonts w:ascii="楷体_GB2312" w:eastAsia="楷体_GB2312"/>
          <w:b/>
          <w:color w:val="000000"/>
          <w:kern w:val="0"/>
          <w:sz w:val="32"/>
          <w:szCs w:val="32"/>
        </w:rPr>
        <w:t>局</w:t>
      </w:r>
      <w:r>
        <w:rPr>
          <w:rFonts w:hint="eastAsia" w:ascii="楷体_GB2312" w:eastAsia="楷体_GB2312"/>
          <w:b/>
          <w:color w:val="000000"/>
          <w:kern w:val="0"/>
          <w:sz w:val="32"/>
          <w:szCs w:val="32"/>
        </w:rPr>
        <w:t>）</w:t>
      </w:r>
    </w:p>
    <w:p>
      <w:pPr>
        <w:spacing w:line="620" w:lineRule="exact"/>
        <w:jc w:val="center"/>
        <w:rPr>
          <w:rFonts w:ascii="楷体_GB2312" w:eastAsia="楷体_GB2312"/>
          <w:b/>
          <w:color w:val="000000"/>
          <w:kern w:val="0"/>
          <w:sz w:val="32"/>
          <w:szCs w:val="32"/>
        </w:rPr>
      </w:pPr>
    </w:p>
    <w:p>
      <w:pPr>
        <w:ind w:firstLine="602" w:firstLineChars="200"/>
        <w:rPr>
          <w:rFonts w:ascii="宋体" w:hAnsi="宋体"/>
          <w:b/>
          <w:sz w:val="30"/>
          <w:szCs w:val="30"/>
        </w:rPr>
      </w:pPr>
      <w:r>
        <w:rPr>
          <w:rFonts w:ascii="宋体" w:hAnsi="宋体"/>
          <w:b/>
          <w:sz w:val="30"/>
          <w:szCs w:val="30"/>
        </w:rPr>
        <w:t>一、</w:t>
      </w:r>
      <w:r>
        <w:rPr>
          <w:rFonts w:hint="eastAsia" w:ascii="宋体" w:hAnsi="宋体"/>
          <w:b/>
          <w:sz w:val="30"/>
          <w:szCs w:val="30"/>
        </w:rPr>
        <w:t>单位</w:t>
      </w:r>
      <w:r>
        <w:rPr>
          <w:rFonts w:ascii="宋体" w:hAnsi="宋体"/>
          <w:b/>
          <w:sz w:val="30"/>
          <w:szCs w:val="30"/>
        </w:rPr>
        <w:t>概况</w:t>
      </w:r>
    </w:p>
    <w:p>
      <w:pPr>
        <w:ind w:firstLine="600" w:firstLineChars="200"/>
        <w:rPr>
          <w:rFonts w:ascii="仿宋_GB2312" w:eastAsia="仿宋_GB2312"/>
          <w:bCs/>
          <w:sz w:val="30"/>
          <w:szCs w:val="30"/>
        </w:rPr>
      </w:pPr>
      <w:r>
        <w:rPr>
          <w:rFonts w:ascii="宋体" w:hAnsi="宋体"/>
          <w:sz w:val="30"/>
          <w:szCs w:val="30"/>
        </w:rPr>
        <w:t>（一）</w:t>
      </w:r>
      <w:r>
        <w:rPr>
          <w:rFonts w:hint="eastAsia" w:ascii="仿宋_GB2312" w:eastAsia="仿宋_GB2312"/>
          <w:bCs/>
          <w:sz w:val="30"/>
          <w:szCs w:val="30"/>
        </w:rPr>
        <w:t>单位主要工作职责</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拟订并组织实施全区国民经济和社会发展战略、中长期规划和年度计划。牵头组织统一规划体系建设。负责区级专项规划、区域规划、空间规划与区发展规划的统筹衔接。研究拟订全区国民经济和社会发展、经济体制改革和对外开放的有关制度，协调解决有关重大问题。受区人民政府委托向区人民代表大会提交国民经济和社会发展计划的报告。</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2.提出加快建设现代化经济体系、推动高质量发展的总体目标、重大任务以及相关政策措施。组织开展重大战略规划、重大政策、重大工程等评估督导，提出相关调整建议。</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3.统筹提出全区国民经济和社会发展主要目标，监测预测预警宏观经济和社会发展态势趋势，提出宏观调控政策建议。综合协调宏观经济政策，牵头研究宏观经济应对措施。调节经济运行，协调解决经济运行中的重大问题。参与拟订财政政策措施、土地政策措施等。</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4.指导推进和综合协调全区经济体制改革有关工作，提出相关改革建议。牵头推进供给侧结构性改革。协调推进产权制度和要素市场化配置改革。推动完善基本经济制度和现代市场体系建设，会同相关部门组织实施市场准入负面清单制度。</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5.提出全区利用外资和境外投资的战略、规划、总量平衡和结构优化的政策措施。</w:t>
      </w:r>
      <w:r>
        <w:rPr>
          <w:rFonts w:hint="eastAsia" w:ascii="仿宋_GB2312" w:hAnsi="仿宋_GB2312" w:eastAsia="仿宋_GB2312"/>
          <w:kern w:val="0"/>
          <w:sz w:val="32"/>
        </w:rPr>
        <w:t>牵头推进实施“一带一路”建设。统筹协调走出去有关工作。</w:t>
      </w:r>
      <w:r>
        <w:rPr>
          <w:rFonts w:hint="eastAsia" w:ascii="仿宋_GB2312" w:hAnsi="仿宋_GB2312" w:eastAsia="仿宋_GB2312"/>
          <w:sz w:val="32"/>
        </w:rPr>
        <w:t>负责全区全口径外债的总量控制、结构优化和监测工作。</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6.负责投资综合管理，拟订全区固定资产投资总规模、结构调控目标、政策措施，会同相关部门拟订政府投资项目审批权限和政府核准的固定资产投资项目目录。统筹安排中央、省、市预算内基本建设资金，按规定权限审批、核准、审核、备案重大项目。规划全区重大建设项目和生产力布局。拟订并推动落实鼓励民间投资政策措施。负责政府投资项目代建制实施的指导、协调和监督管理。指导工程咨询业发展。</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7.推进落实区域协调发展战略和重大政策，组织拟订相关区域规划和政策措施。统筹推进实施国家和省市区重大区域发展战略。贯彻落实国家西部开发、中部崛起、长江经济带发展的相关政策措施，统筹推进“一带一部”区域发展。协调推进两型社会建设。组织拟订和实施特殊困难地区发展规划和政策措施，组织实施</w:t>
      </w:r>
      <w:r>
        <w:rPr>
          <w:rFonts w:hint="eastAsia" w:ascii="仿宋_GB2312" w:hAnsi="仿宋_GB2312" w:eastAsia="仿宋_GB2312"/>
          <w:kern w:val="0"/>
          <w:sz w:val="32"/>
        </w:rPr>
        <w:t>易地扶贫搬迁等。</w:t>
      </w:r>
      <w:r>
        <w:rPr>
          <w:rFonts w:hint="eastAsia" w:ascii="仿宋_GB2312" w:hAnsi="仿宋_GB2312" w:eastAsia="仿宋_GB2312"/>
          <w:sz w:val="32"/>
        </w:rPr>
        <w:t>组织编制并推动实施新型城镇化规划。参与研究拟订全区新型城镇化发展战略和重大政策措施，协调配合做好相关工作。制定开发区发展规划和政策措施。统筹协调区域合作和对口支援工作。</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8.组织拟订综合性产业政策措施。负责协调一二三产业发展的重大问题并统筹衔接相关发展规划和重大政策。协调推</w:t>
      </w:r>
      <w:r>
        <w:rPr>
          <w:rFonts w:hint="eastAsia" w:ascii="仿宋_GB2312" w:hAnsi="仿宋_GB2312" w:eastAsia="仿宋_GB2312"/>
          <w:spacing w:val="-2"/>
          <w:sz w:val="32"/>
        </w:rPr>
        <w:t>进重大基础设施建设，组织拟订并推动实施服务业及现代物流业发展规划和重大政策措施。综合研判消费变动趋势，拟订实施促进消费的综合性政策措施</w:t>
      </w:r>
      <w:r>
        <w:rPr>
          <w:rFonts w:hint="eastAsia" w:ascii="仿宋_GB2312" w:hAnsi="仿宋_GB2312" w:eastAsia="仿宋_GB2312"/>
          <w:sz w:val="32"/>
        </w:rPr>
        <w:t>。</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9.推动实施创新驱动发展战略。会同相关部门拟订推进创新创业的规划和政策措施，提出创新发展和培育经济发展新动能的政策措施。研究提出产业集群发展相关政策措施。会同相关部门</w:t>
      </w:r>
      <w:r>
        <w:rPr>
          <w:rFonts w:hint="eastAsia" w:ascii="仿宋_GB2312" w:hAnsi="仿宋_GB2312" w:eastAsia="仿宋_GB2312"/>
          <w:kern w:val="0"/>
          <w:sz w:val="32"/>
        </w:rPr>
        <w:t>规划布局全区重大科技基础设施。</w:t>
      </w:r>
      <w:r>
        <w:rPr>
          <w:rFonts w:hint="eastAsia" w:ascii="仿宋_GB2312" w:hAnsi="仿宋_GB2312" w:eastAsia="仿宋_GB2312"/>
          <w:sz w:val="32"/>
        </w:rPr>
        <w:t>组织拟订并推动实施高技术产业和</w:t>
      </w:r>
      <w:r>
        <w:rPr>
          <w:rFonts w:hint="eastAsia" w:ascii="仿宋_GB2312" w:hAnsi="仿宋_GB2312" w:eastAsia="仿宋_GB2312"/>
          <w:kern w:val="0"/>
          <w:sz w:val="32"/>
        </w:rPr>
        <w:t>战略性新兴产业发展规划政策措施，</w:t>
      </w:r>
      <w:r>
        <w:rPr>
          <w:rFonts w:hint="eastAsia" w:ascii="仿宋_GB2312" w:hAnsi="仿宋_GB2312" w:eastAsia="仿宋_GB2312"/>
          <w:sz w:val="32"/>
        </w:rPr>
        <w:t>协调产业升级、重大技术装备推广应用等方面的重大问题。</w:t>
      </w:r>
    </w:p>
    <w:p>
      <w:pPr>
        <w:topLinePunct/>
        <w:spacing w:line="580" w:lineRule="exact"/>
        <w:ind w:firstLine="640" w:firstLineChars="200"/>
        <w:rPr>
          <w:rFonts w:ascii="仿宋_GB2312" w:hAnsi="仿宋_GB2312" w:eastAsia="仿宋_GB2312"/>
          <w:spacing w:val="-6"/>
          <w:sz w:val="32"/>
        </w:rPr>
      </w:pPr>
      <w:r>
        <w:rPr>
          <w:rFonts w:hint="eastAsia" w:ascii="仿宋_GB2312" w:hAnsi="仿宋_GB2312" w:eastAsia="仿宋_GB2312"/>
          <w:sz w:val="32"/>
        </w:rPr>
        <w:t>10.</w:t>
      </w:r>
      <w:r>
        <w:rPr>
          <w:rFonts w:hint="eastAsia" w:ascii="仿宋_GB2312" w:hAnsi="仿宋_GB2312" w:eastAsia="仿宋_GB2312"/>
          <w:kern w:val="0"/>
          <w:sz w:val="32"/>
        </w:rPr>
        <w:t>跟踪研判涉及经济安全、生态安全、资源安全、科技安全、社会安全等各类风险隐患</w:t>
      </w:r>
      <w:r>
        <w:rPr>
          <w:rFonts w:hint="eastAsia" w:ascii="仿宋_GB2312" w:hAnsi="仿宋_GB2312" w:eastAsia="仿宋_GB2312"/>
          <w:sz w:val="32"/>
        </w:rPr>
        <w:t>，提出相关工作建议。承担经济、生态、资源等重点领域国家安全工作协调机制相关工作。负责重要商品总量平衡和宏观调控，提出重要工业品、原材料和重要农产品进出口调控建议并做好相关工作。会同有关部门拟订区级储备物</w:t>
      </w:r>
      <w:r>
        <w:rPr>
          <w:rFonts w:hint="eastAsia" w:ascii="仿宋_GB2312" w:hAnsi="仿宋_GB2312" w:eastAsia="仿宋_GB2312"/>
          <w:spacing w:val="-6"/>
          <w:sz w:val="32"/>
        </w:rPr>
        <w:t>资品种目录、总体发展规划。</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11.负责社会发展与国民经济发展的政策衔接，协调有关重大问题。组织拟订社会发展战略、总体规划，统筹推进基本公共服务体系建设和收入分配制度改革，提出促进就业、完善社会保障与经济协调发展的政策建议。</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12.推进实施可持续发展战略，推动生态文明建设和改革，协调生态环境保护与修复、能源资源节约和综合利用等工作。提出健全生态保护补偿机制的政策措施，综合协调节能环保产业和清洁生产促进有关工作。提出能源消费控制目标、任务并组织实施。</w:t>
      </w:r>
    </w:p>
    <w:p>
      <w:pPr>
        <w:topLinePunct/>
        <w:spacing w:line="580" w:lineRule="exact"/>
        <w:ind w:firstLine="640" w:firstLineChars="200"/>
        <w:rPr>
          <w:rFonts w:ascii="仿宋_GB2312" w:hAnsi="仿宋_GB2312" w:eastAsia="仿宋_GB2312"/>
          <w:color w:val="000000"/>
          <w:kern w:val="0"/>
          <w:sz w:val="32"/>
        </w:rPr>
      </w:pPr>
      <w:r>
        <w:rPr>
          <w:rFonts w:hint="eastAsia" w:ascii="仿宋_GB2312" w:hAnsi="仿宋_GB2312" w:eastAsia="仿宋_GB2312"/>
          <w:sz w:val="32"/>
        </w:rPr>
        <w:t>13.</w:t>
      </w:r>
      <w:r>
        <w:rPr>
          <w:rFonts w:hint="eastAsia" w:ascii="仿宋_GB2312" w:hAnsi="仿宋_GB2312" w:eastAsia="仿宋_GB2312"/>
          <w:color w:val="000000"/>
          <w:kern w:val="0"/>
          <w:sz w:val="32"/>
        </w:rPr>
        <w:t>拟订并组织实施有关价格政策，组织制定少数由区级管理的重要商品、服务价格和重要收费标准意见。</w:t>
      </w:r>
      <w:r>
        <w:rPr>
          <w:rFonts w:hint="eastAsia" w:ascii="仿宋_GB2312" w:hAnsi="仿宋_GB2312" w:eastAsia="仿宋_GB2312"/>
          <w:spacing w:val="-2"/>
          <w:sz w:val="32"/>
        </w:rPr>
        <w:t>监测、分析市场价格形势，</w:t>
      </w:r>
      <w:r>
        <w:rPr>
          <w:rFonts w:hint="eastAsia" w:ascii="仿宋_GB2312" w:hAnsi="仿宋_GB2312" w:eastAsia="仿宋_GB2312"/>
          <w:sz w:val="32"/>
        </w:rPr>
        <w:t>组织实施价格总水平控制；管理国家、省、市、区列名管理的商品和服务价格。</w:t>
      </w:r>
      <w:r>
        <w:rPr>
          <w:rFonts w:hint="eastAsia" w:ascii="仿宋_GB2312" w:hAnsi="仿宋_GB2312" w:eastAsia="仿宋_GB2312"/>
          <w:spacing w:val="-2"/>
          <w:sz w:val="32"/>
        </w:rPr>
        <w:t>负责价格成本调查和监审</w:t>
      </w:r>
      <w:r>
        <w:rPr>
          <w:rFonts w:hint="eastAsia" w:ascii="仿宋_GB2312" w:hAnsi="仿宋_GB2312" w:eastAsia="仿宋_GB2312"/>
          <w:sz w:val="32"/>
        </w:rPr>
        <w:t>。</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14.指导和协调全区公共资源交易平台建设，牵头组织监督公共资源交易活动。</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15.会同有关部门拟订推进全区经济建设与国防建设协调发展的战略和规划，协调有关重大问题。推动实施军民融合发展战略，组织编制全区国民经济动员规划，协调和组织实施全区国民经济动员有关工作。</w:t>
      </w:r>
    </w:p>
    <w:p>
      <w:pPr>
        <w:topLinePunct/>
        <w:spacing w:line="580" w:lineRule="exact"/>
        <w:ind w:firstLine="640" w:firstLineChars="200"/>
        <w:jc w:val="left"/>
        <w:rPr>
          <w:rFonts w:ascii="仿宋_GB2312" w:hAnsi="仿宋_GB2312" w:eastAsia="仿宋_GB2312"/>
          <w:b/>
          <w:sz w:val="32"/>
        </w:rPr>
      </w:pPr>
      <w:r>
        <w:rPr>
          <w:rFonts w:hint="eastAsia" w:ascii="仿宋_GB2312" w:hAnsi="仿宋_GB2312" w:eastAsia="仿宋_GB2312"/>
          <w:color w:val="000000"/>
          <w:kern w:val="0"/>
          <w:sz w:val="32"/>
        </w:rPr>
        <w:t>16.起草全区能源发展和有关监督管理的规范性文件草案，拟订并组织实施全市能源发展战略、规划和政策措施，推进全市能源体制改革，协调相关重大问题。负责全区能源行业节能和资源综合利用，参与研究全区能源消费总量控制目标建议，指导、监督能源消费总量控制工作，衔接能源生产建设和供需平衡。组织制定煤炭、石油、天然气、电力、新能源和可再生能源等能源，以及炼油、煤制燃料、燃料乙醇的产业政策措施及相关标准意见，实施对煤电油气等能源和新能源的管理。按照规定权限，审批、核准、备案、审核、上报全区能源固定资产投资项目。指导协调农村能源发展工作。拟定并组织实施煤炭发展战略，研究提出煤炭资源合理开发利用的意见并指导实施，承担煤炭体制改革、煤矿瓦斯防治能力评估和开发利用等有关工作，会同有关部门负责全区煤矿生产能力监管的指导工作，协调有关部门推进煤层气开发、淘汰煤炭落后产能工作。负责能源预测预警，发布能源信息，参与能源运行调节和应急保障，负责区内石油和天然气储备管理工作。负责石油、天然气管道保护相关工作。组织推进全区能源重大设备研发及相关重大科技项目，指导能源科技进步和引进消化创新，组织协调相关重大示范工程和推广应用新产品、新技术、新设备。负责全区核电管理。拟订核电发展规划并组织实施，提出核电布局和重大项目审核意见，组织开展核电有关前期工作，协调和指导核电科研工作，参与核电厂的核事故应急管理工作。组织推进全区能源对外合作，负责起草区政府对外能源战略合作协议，协调能源合作中的重大问题。研究提出电力普遍服务政策的建议并监督实施，参与制定与能源相关的资源、财税、环保等政策措施，提出能源价格调整建议，参与能源有关价格执行情况监督检查。承担区能源委员会具体工作，负责全区能源发展战略决策的综合协调和服务保障，推动建立健全协调联动机制。</w:t>
      </w:r>
    </w:p>
    <w:p>
      <w:pPr>
        <w:topLinePunct/>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17.拟订粮食流通和物资储备管理有关规定并监督执行。拟订全区粮食市场体系建设与发展规划，承担全区粮食流通宏观调控的具体工作。拟订粮食流通和物资储备体制改革方案并组织实施。研究提出全区战略物资储备规划、全区储备品种目录的建议。根据全区储备总体发展规划和品种目录，组织实施全区战略和应急储备物资的收储、轮换和日常管理，落实有关动用计划和指令。管理全区粮食、棉花和食糖储备，负责区级储备粮棉行政管理。监测粮食和战略物资供求变化并预测预警。指导协调政策性粮食购销和粮食产销合作，保障军队粮食供应。拟订粮食和物资储备仓储管理有关技术标准意见和规范并组织实施。负责全区粮食流通、加工行业安全生产工作的监督管理，承担所属物资储备承储单位安全生产的监管责任。根据国家、省、市与全区储备总体发展规划，统一负责储备基础设施建设和管理。拟订全区储备基础设施、粮食流通设施建设规划并组织实施，管理有关储备基础设施和粮食流通设施投资项目。负责对管理的政府储备、企业储备以及储备政策落实情况进行监督检查。负责粮食流通监督检查，负责粮食收购、储存、运输环节粮食质量安全和原粮卫生的监督管理，组织实施粮食库存检查工作。负责粮食流通行业管理，制定行业发展规划、政策措施，拟订粮食流通和物资储备有关标准意见、粮食质量有关标准意见，制定有关技术规范并监督执行。负责实施粮食收购行政许可的有关行政管理。负责协调推进粮食产业发展有关工作。负责粮食和物资储备的对外合作与交流。</w:t>
      </w:r>
    </w:p>
    <w:p>
      <w:pPr>
        <w:ind w:firstLine="640" w:firstLineChars="200"/>
        <w:rPr>
          <w:rFonts w:ascii="宋体" w:hAnsi="宋体"/>
          <w:sz w:val="30"/>
          <w:szCs w:val="30"/>
        </w:rPr>
      </w:pPr>
      <w:r>
        <w:rPr>
          <w:rFonts w:hint="eastAsia" w:ascii="仿宋_GB2312" w:hAnsi="仿宋_GB2312" w:eastAsia="仿宋_GB2312"/>
          <w:sz w:val="32"/>
        </w:rPr>
        <w:t>18.完成区委和区政府交办的其他任</w:t>
      </w:r>
      <w:r>
        <w:rPr>
          <w:rFonts w:hint="eastAsia" w:ascii="仿宋_GB2312" w:eastAsia="仿宋_GB2312"/>
          <w:sz w:val="30"/>
          <w:szCs w:val="30"/>
        </w:rPr>
        <w:t>务。</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二、项目组织实施情况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（一）项目组织情况分析，主要包括项目招投标、调整、竣工验收等情况。</w:t>
      </w:r>
      <w:r>
        <w:rPr>
          <w:rFonts w:hint="eastAsia"/>
          <w:sz w:val="30"/>
          <w:szCs w:val="30"/>
        </w:rPr>
        <w:t>下发了通知、成立了领导小组，并由局领导班子人员组织实施，根据调查的结果客观的评价。</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（二）项目管理情况分析，主要包括项目管理制度建设、日常检查监督管理等情况。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项目资金严格按照财务管理规定执行，使用科目合理，程序合法，确保了</w:t>
      </w:r>
      <w:r>
        <w:rPr>
          <w:rFonts w:eastAsia="仿宋_GB2312"/>
          <w:color w:val="000000"/>
          <w:kern w:val="0"/>
          <w:sz w:val="32"/>
          <w:szCs w:val="32"/>
        </w:rPr>
        <w:t>专项业务</w:t>
      </w:r>
      <w:r>
        <w:rPr>
          <w:rFonts w:hint="eastAsia" w:eastAsia="仿宋_GB2312"/>
          <w:color w:val="000000"/>
          <w:kern w:val="0"/>
          <w:sz w:val="32"/>
          <w:szCs w:val="32"/>
        </w:rPr>
        <w:t>的顺利完成。</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三、项目资金使用及管理情况</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（一）项目资金安排落实、总投入等情况分析</w:t>
      </w:r>
    </w:p>
    <w:p>
      <w:p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202</w:t>
      </w:r>
      <w:r>
        <w:rPr>
          <w:rFonts w:eastAsia="仿宋_GB2312"/>
          <w:color w:val="000000"/>
          <w:kern w:val="0"/>
          <w:sz w:val="32"/>
          <w:szCs w:val="32"/>
        </w:rPr>
        <w:t>1</w:t>
      </w:r>
      <w:r>
        <w:rPr>
          <w:rFonts w:hint="eastAsia" w:eastAsia="仿宋_GB2312"/>
          <w:color w:val="000000"/>
          <w:kern w:val="0"/>
          <w:sz w:val="32"/>
          <w:szCs w:val="32"/>
        </w:rPr>
        <w:t>年区发改局项目</w:t>
      </w:r>
      <w:r>
        <w:rPr>
          <w:rFonts w:hint="eastAsia" w:eastAsia="仿宋_GB2312"/>
          <w:color w:val="000000"/>
          <w:kern w:val="0"/>
          <w:sz w:val="32"/>
          <w:szCs w:val="32"/>
          <w:lang w:eastAsia="zh-CN"/>
        </w:rPr>
        <w:t>支出</w:t>
      </w:r>
      <w:bookmarkStart w:id="1" w:name="_GoBack"/>
      <w:bookmarkEnd w:id="1"/>
      <w:r>
        <w:rPr>
          <w:rFonts w:hint="eastAsia" w:eastAsia="仿宋_GB2312"/>
          <w:color w:val="000000"/>
          <w:kern w:val="0"/>
          <w:sz w:val="32"/>
          <w:szCs w:val="32"/>
        </w:rPr>
        <w:t>总计为</w:t>
      </w:r>
      <w:r>
        <w:rPr>
          <w:rFonts w:eastAsia="仿宋_GB2312"/>
          <w:color w:val="000000"/>
          <w:kern w:val="0"/>
          <w:sz w:val="32"/>
          <w:szCs w:val="32"/>
        </w:rPr>
        <w:t>154.64</w:t>
      </w:r>
      <w:r>
        <w:rPr>
          <w:rFonts w:hint="eastAsia" w:eastAsia="仿宋_GB2312"/>
          <w:color w:val="000000"/>
          <w:kern w:val="0"/>
          <w:sz w:val="32"/>
          <w:szCs w:val="32"/>
        </w:rPr>
        <w:t>万元,拨付项目资金</w:t>
      </w:r>
      <w:r>
        <w:rPr>
          <w:rFonts w:eastAsia="仿宋_GB2312"/>
          <w:color w:val="000000"/>
          <w:kern w:val="0"/>
          <w:sz w:val="32"/>
          <w:szCs w:val="32"/>
        </w:rPr>
        <w:t>154.64</w:t>
      </w:r>
      <w:r>
        <w:rPr>
          <w:rFonts w:hint="eastAsia" w:eastAsia="仿宋_GB2312"/>
          <w:color w:val="000000"/>
          <w:kern w:val="0"/>
          <w:sz w:val="32"/>
          <w:szCs w:val="32"/>
        </w:rPr>
        <w:t>万元。</w:t>
      </w:r>
      <w:r>
        <w:rPr>
          <w:rFonts w:eastAsia="仿宋_GB2312"/>
          <w:color w:val="000000"/>
          <w:kern w:val="0"/>
          <w:sz w:val="32"/>
          <w:szCs w:val="32"/>
        </w:rPr>
        <w:t>我单位全部投入到相关业务开支。</w:t>
      </w:r>
    </w:p>
    <w:p>
      <w:pPr>
        <w:numPr>
          <w:ilvl w:val="0"/>
          <w:numId w:val="1"/>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项目资金实际使用情况分析。</w:t>
      </w:r>
    </w:p>
    <w:p>
      <w:pPr>
        <w:pStyle w:val="9"/>
        <w:spacing w:line="520" w:lineRule="exact"/>
        <w:ind w:firstLine="900" w:firstLineChars="300"/>
        <w:rPr>
          <w:rFonts w:ascii="仿宋" w:hAnsi="仿宋" w:eastAsia="仿宋" w:cs="仿宋_GB2312"/>
          <w:bCs/>
          <w:sz w:val="30"/>
          <w:szCs w:val="30"/>
        </w:rPr>
      </w:pPr>
      <w:r>
        <w:rPr>
          <w:rFonts w:hint="eastAsia" w:ascii="仿宋" w:hAnsi="仿宋" w:eastAsia="仿宋"/>
          <w:color w:val="000000"/>
          <w:kern w:val="0"/>
          <w:sz w:val="30"/>
          <w:szCs w:val="30"/>
        </w:rPr>
        <w:t>项目资金按预算要求全部投入相应项目，全年共支出支出</w:t>
      </w:r>
      <w:r>
        <w:rPr>
          <w:rFonts w:ascii="仿宋" w:hAnsi="仿宋" w:eastAsia="仿宋"/>
          <w:color w:val="000000"/>
          <w:kern w:val="0"/>
          <w:sz w:val="30"/>
          <w:szCs w:val="30"/>
        </w:rPr>
        <w:t>154.46</w:t>
      </w:r>
      <w:r>
        <w:rPr>
          <w:rFonts w:hint="eastAsia" w:ascii="仿宋" w:hAnsi="仿宋" w:eastAsia="仿宋"/>
          <w:color w:val="000000"/>
          <w:kern w:val="0"/>
          <w:sz w:val="30"/>
          <w:szCs w:val="30"/>
        </w:rPr>
        <w:t>万元。</w:t>
      </w:r>
    </w:p>
    <w:p>
      <w:pPr>
        <w:numPr>
          <w:ilvl w:val="0"/>
          <w:numId w:val="1"/>
        </w:numPr>
        <w:spacing w:line="620" w:lineRule="exact"/>
        <w:ind w:firstLine="640" w:firstLineChars="200"/>
        <w:rPr>
          <w:rFonts w:eastAsia="仿宋_GB2312"/>
          <w:color w:val="000000"/>
          <w:kern w:val="0"/>
          <w:sz w:val="32"/>
          <w:szCs w:val="32"/>
        </w:rPr>
      </w:pPr>
      <w:r>
        <w:rPr>
          <w:rFonts w:hint="eastAsia" w:eastAsia="仿宋_GB2312"/>
          <w:color w:val="000000"/>
          <w:kern w:val="0"/>
          <w:sz w:val="32"/>
          <w:szCs w:val="32"/>
        </w:rPr>
        <w:t>项目资金管理情况分析。</w:t>
      </w:r>
    </w:p>
    <w:p>
      <w:pPr>
        <w:spacing w:line="620" w:lineRule="exact"/>
        <w:rPr>
          <w:rFonts w:eastAsia="仿宋_GB2312"/>
          <w:color w:val="000000"/>
          <w:kern w:val="0"/>
          <w:sz w:val="32"/>
          <w:szCs w:val="32"/>
        </w:rPr>
      </w:pPr>
      <w:r>
        <w:rPr>
          <w:rFonts w:hint="eastAsia" w:eastAsia="仿宋_GB2312"/>
          <w:color w:val="000000"/>
          <w:kern w:val="0"/>
          <w:sz w:val="32"/>
          <w:szCs w:val="32"/>
        </w:rPr>
        <w:t xml:space="preserve">     我委严格按照国库集中支付流程向区财政申请</w:t>
      </w:r>
      <w:r>
        <w:rPr>
          <w:rFonts w:eastAsia="仿宋_GB2312"/>
          <w:color w:val="000000"/>
          <w:kern w:val="0"/>
          <w:sz w:val="32"/>
          <w:szCs w:val="32"/>
        </w:rPr>
        <w:t>专项</w:t>
      </w:r>
      <w:r>
        <w:rPr>
          <w:rFonts w:hint="eastAsia" w:eastAsia="仿宋_GB2312"/>
          <w:color w:val="000000"/>
          <w:kern w:val="0"/>
          <w:sz w:val="32"/>
          <w:szCs w:val="32"/>
        </w:rPr>
        <w:t>资金，依据资金财务审批流程办理款项支付，避免挪用截留项目资金的现象，保障财政资金安全有效使用。</w:t>
      </w:r>
    </w:p>
    <w:p>
      <w:pPr>
        <w:spacing w:line="620" w:lineRule="exact"/>
        <w:ind w:firstLine="640" w:firstLineChars="200"/>
        <w:rPr>
          <w:rFonts w:ascii="黑体" w:eastAsia="黑体"/>
          <w:color w:val="000000"/>
          <w:kern w:val="0"/>
          <w:sz w:val="32"/>
          <w:szCs w:val="32"/>
        </w:rPr>
      </w:pPr>
      <w:r>
        <w:rPr>
          <w:rFonts w:hint="eastAsia" w:ascii="黑体" w:eastAsia="黑体"/>
          <w:color w:val="000000"/>
          <w:kern w:val="0"/>
          <w:sz w:val="32"/>
          <w:szCs w:val="32"/>
        </w:rPr>
        <w:t>四、项目绩效指标完成情况</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（一）产出指标完成情况分析。</w:t>
      </w:r>
    </w:p>
    <w:p>
      <w:pPr>
        <w:spacing w:line="540" w:lineRule="exact"/>
        <w:ind w:left="640"/>
        <w:rPr>
          <w:rFonts w:ascii="仿宋_GB2312" w:eastAsia="仿宋_GB2312"/>
          <w:sz w:val="32"/>
          <w:szCs w:val="32"/>
        </w:rPr>
      </w:pPr>
      <w:r>
        <w:rPr>
          <w:rFonts w:ascii="仿宋_GB2312" w:eastAsia="仿宋_GB2312"/>
          <w:sz w:val="32"/>
          <w:szCs w:val="32"/>
        </w:rPr>
        <w:t>我委严格控制相关支出，厉行节约，在未超支的情况下</w:t>
      </w:r>
    </w:p>
    <w:p>
      <w:pPr>
        <w:spacing w:line="540" w:lineRule="exact"/>
        <w:ind w:firstLine="640" w:firstLineChars="200"/>
        <w:rPr>
          <w:rFonts w:ascii="仿宋_GB2312" w:eastAsia="仿宋_GB2312"/>
          <w:sz w:val="32"/>
          <w:szCs w:val="32"/>
        </w:rPr>
      </w:pPr>
      <w:r>
        <w:rPr>
          <w:rFonts w:ascii="仿宋_GB2312" w:eastAsia="仿宋_GB2312"/>
          <w:sz w:val="32"/>
          <w:szCs w:val="32"/>
        </w:rPr>
        <w:t>全面完成了节能监察相关的既定工作。</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（二）效益指标完成情况分析。</w:t>
      </w:r>
    </w:p>
    <w:p>
      <w:pPr>
        <w:spacing w:line="520" w:lineRule="exact"/>
        <w:ind w:firstLine="600" w:firstLineChars="200"/>
        <w:rPr>
          <w:sz w:val="30"/>
          <w:szCs w:val="30"/>
        </w:rPr>
      </w:pPr>
      <w:r>
        <w:rPr>
          <w:rFonts w:hint="eastAsia"/>
          <w:sz w:val="30"/>
          <w:szCs w:val="30"/>
        </w:rPr>
        <w:t>（1）项目预期目标完成程度。已全部完成。</w:t>
      </w:r>
    </w:p>
    <w:p>
      <w:pPr>
        <w:spacing w:line="520" w:lineRule="exact"/>
        <w:ind w:firstLine="600" w:firstLineChars="200"/>
        <w:rPr>
          <w:sz w:val="30"/>
          <w:szCs w:val="30"/>
        </w:rPr>
      </w:pPr>
      <w:r>
        <w:rPr>
          <w:rFonts w:hint="eastAsia"/>
          <w:sz w:val="30"/>
          <w:szCs w:val="30"/>
        </w:rPr>
        <w:t xml:space="preserve">（2）项目实施对经济和社会的影响。项目的经济效益一般。在社会的反响较好。 </w:t>
      </w:r>
    </w:p>
    <w:p>
      <w:pPr>
        <w:spacing w:line="520" w:lineRule="exact"/>
        <w:ind w:firstLine="640" w:firstLineChars="200"/>
        <w:rPr>
          <w:rFonts w:ascii="仿宋_GB2312" w:eastAsia="仿宋_GB2312"/>
          <w:sz w:val="32"/>
          <w:szCs w:val="32"/>
        </w:rPr>
      </w:pPr>
      <w:r>
        <w:rPr>
          <w:rFonts w:ascii="仿宋_GB2312" w:eastAsia="仿宋_GB2312"/>
          <w:sz w:val="32"/>
          <w:szCs w:val="32"/>
        </w:rPr>
        <w:t>专项工作</w:t>
      </w:r>
      <w:r>
        <w:rPr>
          <w:rFonts w:hint="eastAsia" w:ascii="仿宋_GB2312" w:eastAsia="仿宋_GB2312"/>
          <w:sz w:val="32"/>
          <w:szCs w:val="32"/>
        </w:rPr>
        <w:t>实施时间为202</w:t>
      </w:r>
      <w:r>
        <w:rPr>
          <w:rFonts w:ascii="仿宋_GB2312" w:eastAsia="仿宋_GB2312"/>
          <w:sz w:val="32"/>
          <w:szCs w:val="32"/>
        </w:rPr>
        <w:t>1</w:t>
      </w:r>
      <w:r>
        <w:rPr>
          <w:rFonts w:hint="eastAsia" w:ascii="仿宋_GB2312" w:eastAsia="仿宋_GB2312"/>
          <w:sz w:val="32"/>
          <w:szCs w:val="32"/>
        </w:rPr>
        <w:t>年1-12月，实施后实现了预定的绩效目标，</w:t>
      </w:r>
      <w:r>
        <w:rPr>
          <w:rFonts w:ascii="仿宋_GB2312" w:eastAsia="仿宋_GB2312"/>
          <w:sz w:val="32"/>
          <w:szCs w:val="32"/>
        </w:rPr>
        <w:t>节能专项工作完成良好</w:t>
      </w:r>
      <w:r>
        <w:rPr>
          <w:rFonts w:hint="eastAsia" w:ascii="仿宋_GB2312" w:eastAsia="仿宋_GB2312"/>
          <w:sz w:val="32"/>
          <w:szCs w:val="32"/>
        </w:rPr>
        <w:t>。</w:t>
      </w:r>
    </w:p>
    <w:p>
      <w:pPr>
        <w:spacing w:line="540" w:lineRule="exact"/>
        <w:ind w:left="640"/>
        <w:rPr>
          <w:rFonts w:ascii="仿宋_GB2312" w:eastAsia="仿宋_GB2312"/>
          <w:sz w:val="32"/>
          <w:szCs w:val="32"/>
        </w:rPr>
      </w:pPr>
      <w:r>
        <w:rPr>
          <w:rFonts w:hint="eastAsia" w:ascii="仿宋_GB2312" w:eastAsia="仿宋_GB2312"/>
          <w:sz w:val="32"/>
          <w:szCs w:val="32"/>
        </w:rPr>
        <w:t>（</w:t>
      </w:r>
      <w:r>
        <w:rPr>
          <w:rFonts w:ascii="仿宋_GB2312" w:eastAsia="仿宋_GB2312"/>
          <w:sz w:val="32"/>
          <w:szCs w:val="32"/>
        </w:rPr>
        <w:t>三</w:t>
      </w:r>
      <w:r>
        <w:rPr>
          <w:rFonts w:hint="eastAsia" w:ascii="仿宋_GB2312" w:eastAsia="仿宋_GB2312"/>
          <w:sz w:val="32"/>
          <w:szCs w:val="32"/>
        </w:rPr>
        <w:t>）满意度指标完成情况分析。</w:t>
      </w:r>
    </w:p>
    <w:p>
      <w:pPr>
        <w:spacing w:line="360" w:lineRule="auto"/>
        <w:ind w:firstLine="640" w:firstLineChars="200"/>
        <w:rPr>
          <w:rFonts w:ascii="仿宋_GB2312" w:hAnsi="宋体" w:eastAsia="仿宋_GB2312" w:cs="宋体"/>
          <w:sz w:val="28"/>
          <w:szCs w:val="28"/>
        </w:rPr>
      </w:pPr>
      <w:r>
        <w:rPr>
          <w:rFonts w:hint="eastAsia" w:ascii="仿宋" w:hAnsi="仿宋" w:eastAsia="仿宋" w:cs="Times New Roman"/>
          <w:sz w:val="32"/>
          <w:szCs w:val="32"/>
        </w:rPr>
        <w:t>2021年继续被省人民政府评为粮食生产先进区，获得了省政府真抓实干奖励，取得了较好的经济效益和社会效益，项目建设</w:t>
      </w:r>
      <w:r>
        <w:rPr>
          <w:rFonts w:ascii="仿宋" w:hAnsi="仿宋" w:eastAsia="仿宋" w:cs="Times New Roman"/>
          <w:sz w:val="32"/>
          <w:szCs w:val="32"/>
        </w:rPr>
        <w:t>加快了本地区的经济发展，增加了农民收入，改善了农民生活水平，改变了农民精神面貌</w:t>
      </w:r>
      <w:r>
        <w:rPr>
          <w:rFonts w:hint="eastAsia" w:ascii="仿宋" w:hAnsi="仿宋" w:eastAsia="仿宋" w:cs="Times New Roman"/>
          <w:sz w:val="32"/>
          <w:szCs w:val="32"/>
        </w:rPr>
        <w:t>。</w:t>
      </w:r>
    </w:p>
    <w:p>
      <w:pPr>
        <w:spacing w:line="540" w:lineRule="exact"/>
        <w:ind w:firstLine="643" w:firstLineChars="200"/>
        <w:rPr>
          <w:rFonts w:ascii="黑体" w:eastAsia="黑体" w:cs="黑体"/>
          <w:b/>
          <w:bCs/>
          <w:sz w:val="32"/>
          <w:szCs w:val="32"/>
        </w:rPr>
      </w:pPr>
      <w:r>
        <w:rPr>
          <w:rFonts w:hint="eastAsia" w:ascii="黑体" w:eastAsia="黑体" w:cs="黑体"/>
          <w:b/>
          <w:bCs/>
          <w:color w:val="000000"/>
          <w:kern w:val="0"/>
          <w:sz w:val="32"/>
          <w:szCs w:val="32"/>
        </w:rPr>
        <w:t>五、</w:t>
      </w:r>
      <w:r>
        <w:rPr>
          <w:rFonts w:hint="eastAsia" w:ascii="黑体" w:eastAsia="黑体" w:cs="黑体"/>
          <w:b/>
          <w:bCs/>
          <w:sz w:val="32"/>
          <w:szCs w:val="32"/>
        </w:rPr>
        <w:t>绩效目标未完成原因和下一步改进措施</w:t>
      </w:r>
    </w:p>
    <w:p>
      <w:pPr>
        <w:pStyle w:val="2"/>
        <w:spacing w:line="360" w:lineRule="auto"/>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达到预期目标</w:t>
      </w:r>
    </w:p>
    <w:p>
      <w:pPr>
        <w:spacing w:line="540" w:lineRule="exact"/>
        <w:ind w:firstLine="643" w:firstLineChars="200"/>
        <w:rPr>
          <w:rFonts w:ascii="黑体" w:eastAsia="黑体" w:cs="黑体"/>
          <w:b/>
          <w:bCs/>
          <w:sz w:val="32"/>
          <w:szCs w:val="32"/>
        </w:rPr>
      </w:pPr>
      <w:r>
        <w:rPr>
          <w:rFonts w:hint="eastAsia" w:ascii="黑体" w:eastAsia="黑体" w:cs="黑体"/>
          <w:b/>
          <w:bCs/>
          <w:sz w:val="32"/>
          <w:szCs w:val="32"/>
        </w:rPr>
        <w:t>六、绩效自评得分等级结果及拟应用和公开情况</w:t>
      </w:r>
    </w:p>
    <w:p>
      <w:pPr>
        <w:spacing w:line="540" w:lineRule="exact"/>
        <w:ind w:firstLine="640" w:firstLineChars="200"/>
        <w:rPr>
          <w:rFonts w:eastAsia="仿宋_GB2312" w:cs="黑体"/>
          <w:bCs/>
          <w:color w:val="000000"/>
          <w:kern w:val="0"/>
          <w:sz w:val="32"/>
          <w:szCs w:val="32"/>
        </w:rPr>
      </w:pPr>
      <w:r>
        <w:rPr>
          <w:rFonts w:eastAsia="仿宋_GB2312" w:cs="黑体"/>
          <w:bCs/>
          <w:color w:val="000000"/>
          <w:kern w:val="0"/>
          <w:sz w:val="32"/>
          <w:szCs w:val="32"/>
        </w:rPr>
        <w:t>自评得分为</w:t>
      </w:r>
      <w:r>
        <w:rPr>
          <w:rFonts w:hint="eastAsia" w:eastAsia="仿宋_GB2312" w:cs="黑体"/>
          <w:bCs/>
          <w:color w:val="000000"/>
          <w:kern w:val="0"/>
          <w:sz w:val="32"/>
          <w:szCs w:val="32"/>
        </w:rPr>
        <w:t>9</w:t>
      </w:r>
      <w:r>
        <w:rPr>
          <w:rFonts w:eastAsia="仿宋_GB2312" w:cs="黑体"/>
          <w:bCs/>
          <w:color w:val="000000"/>
          <w:kern w:val="0"/>
          <w:sz w:val="32"/>
          <w:szCs w:val="32"/>
        </w:rPr>
        <w:t>4分，等级为</w:t>
      </w:r>
      <w:r>
        <w:rPr>
          <w:rFonts w:hint="eastAsia" w:eastAsia="仿宋_GB2312" w:cs="黑体"/>
          <w:bCs/>
          <w:color w:val="000000"/>
          <w:kern w:val="0"/>
          <w:sz w:val="32"/>
          <w:szCs w:val="32"/>
        </w:rPr>
        <w:t>优</w:t>
      </w:r>
      <w:r>
        <w:rPr>
          <w:rFonts w:eastAsia="仿宋_GB2312" w:cs="黑体"/>
          <w:bCs/>
          <w:color w:val="000000"/>
          <w:kern w:val="0"/>
          <w:sz w:val="32"/>
          <w:szCs w:val="32"/>
        </w:rPr>
        <w:t>，拟在财政批复后在政府网站上公开。</w:t>
      </w:r>
    </w:p>
    <w:p>
      <w:pPr>
        <w:spacing w:line="620" w:lineRule="exact"/>
        <w:ind w:firstLine="643" w:firstLineChars="200"/>
        <w:rPr>
          <w:rFonts w:ascii="黑体" w:eastAsia="黑体" w:cs="黑体"/>
          <w:b/>
          <w:bCs/>
          <w:color w:val="000000"/>
          <w:kern w:val="0"/>
          <w:sz w:val="32"/>
          <w:szCs w:val="32"/>
        </w:rPr>
      </w:pPr>
      <w:r>
        <w:rPr>
          <w:rFonts w:hint="eastAsia" w:ascii="黑体" w:eastAsia="黑体" w:cs="黑体"/>
          <w:b/>
          <w:bCs/>
          <w:sz w:val="32"/>
          <w:szCs w:val="32"/>
        </w:rPr>
        <w:t>七、绩效自评工作的经验、问题和建议。</w:t>
      </w:r>
      <w:r>
        <w:rPr>
          <w:rFonts w:hint="eastAsia" w:ascii="黑体" w:eastAsia="黑体" w:cs="黑体"/>
          <w:b/>
          <w:bCs/>
          <w:color w:val="000000"/>
          <w:kern w:val="0"/>
          <w:sz w:val="32"/>
          <w:szCs w:val="32"/>
        </w:rPr>
        <w:t>主要包括资金安排、使用过程中的经验、做法、存在的问题、改进措施和有关建议等。</w:t>
      </w:r>
    </w:p>
    <w:p>
      <w:pPr>
        <w:spacing w:line="540" w:lineRule="exact"/>
        <w:ind w:firstLine="640" w:firstLineChars="200"/>
        <w:rPr>
          <w:rFonts w:eastAsia="仿宋_GB2312" w:cs="黑体"/>
          <w:bCs/>
          <w:color w:val="000000"/>
          <w:kern w:val="0"/>
          <w:sz w:val="32"/>
          <w:szCs w:val="32"/>
        </w:rPr>
      </w:pPr>
      <w:r>
        <w:rPr>
          <w:rFonts w:hint="eastAsia" w:eastAsia="仿宋_GB2312" w:cs="黑体"/>
          <w:bCs/>
          <w:color w:val="000000"/>
          <w:kern w:val="0"/>
          <w:sz w:val="32"/>
          <w:szCs w:val="32"/>
        </w:rPr>
        <w:t>对专项资金使用管理环节也还存在不少需要加强沟通和改进的地方。</w:t>
      </w:r>
      <w:r>
        <w:rPr>
          <w:rFonts w:eastAsia="仿宋_GB2312" w:cs="黑体"/>
          <w:bCs/>
          <w:color w:val="000000"/>
          <w:kern w:val="0"/>
          <w:sz w:val="32"/>
          <w:szCs w:val="32"/>
        </w:rPr>
        <w:t>下一步需</w:t>
      </w:r>
      <w:r>
        <w:rPr>
          <w:rFonts w:hint="eastAsia" w:eastAsia="仿宋_GB2312" w:cs="黑体"/>
          <w:bCs/>
          <w:color w:val="000000"/>
          <w:kern w:val="0"/>
          <w:sz w:val="32"/>
          <w:szCs w:val="32"/>
        </w:rPr>
        <w:t>制定相应的监控机制</w:t>
      </w:r>
      <w:r>
        <w:rPr>
          <w:rFonts w:eastAsia="仿宋_GB2312" w:cs="黑体"/>
          <w:bCs/>
          <w:color w:val="000000"/>
          <w:kern w:val="0"/>
          <w:sz w:val="32"/>
          <w:szCs w:val="32"/>
        </w:rPr>
        <w:t>，</w:t>
      </w:r>
      <w:r>
        <w:rPr>
          <w:rFonts w:hint="eastAsia" w:eastAsia="仿宋_GB2312" w:cs="黑体"/>
          <w:bCs/>
          <w:color w:val="000000"/>
          <w:kern w:val="0"/>
          <w:sz w:val="32"/>
          <w:szCs w:val="32"/>
        </w:rPr>
        <w:t>采取相应的财务检查等必要的监控措施或手段。</w:t>
      </w:r>
    </w:p>
    <w:p>
      <w:pPr>
        <w:spacing w:line="540" w:lineRule="exact"/>
        <w:ind w:firstLine="643" w:firstLineChars="200"/>
        <w:rPr>
          <w:rFonts w:ascii="黑体" w:eastAsia="黑体" w:cs="黑体"/>
          <w:b/>
          <w:bCs/>
          <w:sz w:val="32"/>
          <w:szCs w:val="32"/>
        </w:rPr>
      </w:pPr>
      <w:r>
        <w:rPr>
          <w:rFonts w:hint="eastAsia" w:ascii="黑体" w:eastAsia="黑体" w:cs="黑体"/>
          <w:b/>
          <w:bCs/>
          <w:sz w:val="32"/>
          <w:szCs w:val="32"/>
        </w:rPr>
        <w:t>八、其他需说明的问题。</w:t>
      </w:r>
    </w:p>
    <w:p>
      <w:pPr>
        <w:spacing w:line="540" w:lineRule="exact"/>
        <w:ind w:firstLine="640" w:firstLineChars="200"/>
        <w:rPr>
          <w:rFonts w:eastAsia="仿宋_GB2312" w:cs="黑体"/>
          <w:bCs/>
          <w:color w:val="000000"/>
          <w:kern w:val="0"/>
          <w:sz w:val="32"/>
          <w:szCs w:val="32"/>
        </w:rPr>
      </w:pPr>
      <w:r>
        <w:rPr>
          <w:rFonts w:hint="eastAsia" w:eastAsia="仿宋_GB2312" w:cs="黑体"/>
          <w:bCs/>
          <w:color w:val="000000"/>
          <w:kern w:val="0"/>
          <w:sz w:val="32"/>
          <w:szCs w:val="32"/>
        </w:rPr>
        <w:t>无</w:t>
      </w:r>
    </w:p>
    <w:p>
      <w:pPr>
        <w:spacing w:line="560" w:lineRule="exact"/>
        <w:rPr>
          <w:kern w:val="0"/>
        </w:rPr>
      </w:pPr>
    </w:p>
    <w:p>
      <w:pPr>
        <w:spacing w:line="560" w:lineRule="exact"/>
        <w:rPr>
          <w:kern w:val="0"/>
        </w:rPr>
      </w:pPr>
    </w:p>
    <w:p>
      <w:pPr>
        <w:widowControl/>
        <w:spacing w:line="560" w:lineRule="exact"/>
        <w:rPr>
          <w:rFonts w:ascii="仿宋_GB2312" w:eastAsia="仿宋_GB2312" w:cs="仿宋_GB2312"/>
          <w:bCs/>
          <w:kern w:val="0"/>
          <w:sz w:val="32"/>
          <w:szCs w:val="32"/>
        </w:rPr>
      </w:pPr>
    </w:p>
    <w:p>
      <w:pPr>
        <w:widowControl/>
        <w:spacing w:line="560" w:lineRule="exact"/>
        <w:rPr>
          <w:rFonts w:ascii="仿宋_GB2312" w:hAnsi="仿宋_GB2312" w:eastAsia="仿宋_GB2312" w:cs="仿宋_GB2312"/>
          <w:sz w:val="32"/>
          <w:szCs w:val="32"/>
        </w:rPr>
      </w:pPr>
      <w:r>
        <w:rPr>
          <w:rFonts w:ascii="仿宋_GB2312" w:eastAsia="仿宋_GB2312" w:cs="仿宋_GB2312"/>
          <w:bCs/>
          <w:kern w:val="0"/>
          <w:sz w:val="32"/>
          <w:szCs w:val="32"/>
        </w:rPr>
        <w:br w:type="page"/>
      </w:r>
      <w:r>
        <w:rPr>
          <w:rFonts w:hint="eastAsia" w:ascii="仿宋_GB2312" w:hAnsi="仿宋_GB2312" w:eastAsia="仿宋_GB2312" w:cs="仿宋_GB2312"/>
          <w:bCs/>
          <w:kern w:val="0"/>
          <w:sz w:val="32"/>
          <w:szCs w:val="32"/>
        </w:rPr>
        <w:t>附件2</w:t>
      </w:r>
    </w:p>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p>
      <w:pPr>
        <w:widowControl/>
        <w:ind w:left="93"/>
        <w:jc w:val="center"/>
        <w:rPr>
          <w:rFonts w:ascii="方正小标宋简体" w:hAnsi="方正小标宋简体" w:eastAsia="方正小标宋简体" w:cs="方正小标宋简体"/>
          <w:kern w:val="0"/>
          <w:sz w:val="36"/>
          <w:szCs w:val="36"/>
        </w:rPr>
      </w:pP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pStyle w:val="9"/>
              <w:widowControl/>
              <w:numPr>
                <w:ilvl w:val="0"/>
                <w:numId w:val="2"/>
              </w:numPr>
              <w:spacing w:line="280" w:lineRule="exact"/>
              <w:ind w:firstLineChars="0"/>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pStyle w:val="9"/>
              <w:widowControl/>
              <w:numPr>
                <w:ilvl w:val="0"/>
                <w:numId w:val="3"/>
              </w:numPr>
              <w:spacing w:line="280" w:lineRule="exact"/>
              <w:ind w:firstLineChars="0"/>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pStyle w:val="9"/>
              <w:widowControl/>
              <w:numPr>
                <w:ilvl w:val="0"/>
                <w:numId w:val="4"/>
              </w:numPr>
              <w:ind w:firstLineChars="0"/>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pStyle w:val="9"/>
              <w:widowControl/>
              <w:numPr>
                <w:ilvl w:val="0"/>
                <w:numId w:val="5"/>
              </w:numPr>
              <w:ind w:firstLineChars="0"/>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否已制定或具有相应的项目资金管理办法；</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r>
              <w:rPr>
                <w:rFonts w:hint="eastAsia" w:ascii="宋体"/>
                <w:color w:val="000000"/>
                <w:kern w:val="0"/>
                <w:sz w:val="24"/>
              </w:rPr>
              <w:t>6</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hint="eastAsia" w:ascii="宋体"/>
                <w:color w:val="000000"/>
                <w:kern w:val="0"/>
                <w:sz w:val="24"/>
              </w:rPr>
              <w:t>6</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hint="eastAsia" w:ascii="宋体"/>
                <w:color w:val="000000"/>
                <w:kern w:val="0"/>
                <w:sz w:val="24"/>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ascii="宋体"/>
                <w:color w:val="000000"/>
                <w:kern w:val="0"/>
                <w:sz w:val="24"/>
              </w:rPr>
            </w:pPr>
            <w:r>
              <w:rPr>
                <w:rFonts w:hint="eastAsia" w:ascii="宋体"/>
                <w:color w:val="000000"/>
                <w:kern w:val="0"/>
                <w:sz w:val="24"/>
              </w:rPr>
              <w:t>7</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r>
              <w:rPr>
                <w:rFonts w:hint="eastAsia" w:ascii="宋体"/>
                <w:color w:val="000000"/>
                <w:kern w:val="0"/>
                <w:sz w:val="24"/>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项目后续运行及成效发挥的可持续影响情况。4</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ascii="宋体"/>
                <w:color w:val="000000"/>
                <w:kern w:val="0"/>
                <w:sz w:val="24"/>
              </w:rPr>
            </w:pPr>
            <w:r>
              <w:rPr>
                <w:rFonts w:hint="eastAsia" w:ascii="宋体"/>
                <w:color w:val="000000"/>
                <w:kern w:val="0"/>
                <w:sz w:val="24"/>
              </w:rPr>
              <w:t>94</w:t>
            </w:r>
          </w:p>
        </w:tc>
      </w:tr>
    </w:tbl>
    <w:p>
      <w:pPr>
        <w:widowControl/>
        <w:jc w:val="left"/>
        <w:rPr>
          <w:rFonts w:ascii="方正小标宋简体" w:eastAsia="方正小标宋简体"/>
          <w:color w:val="000000"/>
          <w:sz w:val="36"/>
          <w:szCs w:val="36"/>
        </w:rPr>
      </w:pPr>
    </w:p>
    <w:p>
      <w:pPr>
        <w:jc w:val="center"/>
        <w:rPr>
          <w:rFonts w:ascii="方正小标宋简体" w:eastAsia="方正小标宋简体"/>
          <w:color w:val="000000"/>
          <w:sz w:val="36"/>
          <w:szCs w:val="36"/>
        </w:rPr>
      </w:pP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w:t>
      </w:r>
      <w:r>
        <w:rPr>
          <w:rFonts w:hint="eastAsia" w:eastAsia="方正小标宋简体"/>
          <w:sz w:val="36"/>
          <w:szCs w:val="36"/>
        </w:rPr>
        <w:t>区发改局</w:t>
      </w:r>
      <w:r>
        <w:rPr>
          <w:rFonts w:eastAsia="方正小标宋简体"/>
          <w:sz w:val="36"/>
          <w:szCs w:val="36"/>
        </w:rPr>
        <w:t>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w:t>
      </w:r>
      <w:r>
        <w:rPr>
          <w:rFonts w:hint="eastAsia" w:ascii="宋体" w:hAnsi="宋体"/>
          <w:b/>
          <w:sz w:val="30"/>
          <w:szCs w:val="30"/>
        </w:rPr>
        <w:t>单位</w:t>
      </w:r>
      <w:r>
        <w:rPr>
          <w:rFonts w:ascii="宋体" w:hAnsi="宋体"/>
          <w:b/>
          <w:sz w:val="30"/>
          <w:szCs w:val="30"/>
        </w:rPr>
        <w:t>概况</w:t>
      </w:r>
    </w:p>
    <w:p>
      <w:pPr>
        <w:ind w:firstLine="600" w:firstLineChars="200"/>
        <w:rPr>
          <w:rFonts w:ascii="仿宋_GB2312" w:eastAsia="仿宋_GB2312"/>
          <w:bCs/>
          <w:sz w:val="30"/>
          <w:szCs w:val="30"/>
        </w:rPr>
      </w:pPr>
      <w:r>
        <w:rPr>
          <w:rFonts w:ascii="宋体" w:hAnsi="宋体"/>
          <w:sz w:val="30"/>
          <w:szCs w:val="30"/>
        </w:rPr>
        <w:t>（一）</w:t>
      </w:r>
      <w:r>
        <w:rPr>
          <w:rFonts w:hint="eastAsia" w:ascii="仿宋_GB2312" w:eastAsia="仿宋_GB2312"/>
          <w:bCs/>
          <w:sz w:val="30"/>
          <w:szCs w:val="30"/>
        </w:rPr>
        <w:t>单位主要工作职责</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拟订并组织实施全区国民经济和社会发展战略、中长期规划和年度计划。牵头组织统一规划体系建设。负责区级专项规划、区域规划、空间规划与区发展规划的统筹衔接。研究拟订全区国民经济和社会发展、经济体制改革和对外开放的有关制度，协调解决有关重大问题。受区人民政府委托向区人民代表大会提交国民经济和社会发展计划的报告。</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2.提出加快建设现代化经济体系、推动高质量发展的总体目标、重大任务以及相关政策措施。组织开展重大战略规划、重大政策、重大工程等评估督导，提出相关调整建议。</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3.统筹提出全区国民经济和社会发展主要目标，监测预测预警宏观经济和社会发展态势趋势，提出宏观调控政策建议。综合协调宏观经济政策，牵头研究宏观经济应对措施。调节经济运行，协调解决经济运行中的重大问题。参与拟订财政政策措施、土地政策措施等。</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4.指导推进和综合协调全区经济体制改革有关工作，提出相关改革建议。牵头推进供给侧结构性改革。协调推进产权制度和要素市场化配置改革。推动完善基本经济制度和现代市场体系建设，会同相关部门组织实施市场准入负面清单制度。</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5.提出全区利用外资和境外投资的战略、规划、总量平衡和结构优化的政策措施。</w:t>
      </w:r>
      <w:r>
        <w:rPr>
          <w:rFonts w:hint="eastAsia" w:ascii="仿宋_GB2312" w:hAnsi="仿宋_GB2312" w:eastAsia="仿宋_GB2312"/>
          <w:kern w:val="0"/>
          <w:sz w:val="32"/>
        </w:rPr>
        <w:t>牵头推进实施“一带一路”建设。统筹协调走出去有关工作。</w:t>
      </w:r>
      <w:r>
        <w:rPr>
          <w:rFonts w:hint="eastAsia" w:ascii="仿宋_GB2312" w:hAnsi="仿宋_GB2312" w:eastAsia="仿宋_GB2312"/>
          <w:sz w:val="32"/>
        </w:rPr>
        <w:t>负责全区全口径外债的总量控制、结构优化和监测工作。</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6.负责投资综合管理，拟订全区固定资产投资总规模、结构调控目标、政策措施，会同相关部门拟订政府投资项目审批权限和政府核准的固定资产投资项目目录。统筹安排中央、省、市预算内基本建设资金，按规定权限审批、核准、审核、备案重大项目。规划全区重大建设项目和生产力布局。拟订并推动落实鼓励民间投资政策措施。负责政府投资项目代建制实施的指导、协调和监督管理。指导工程咨询业发展。</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7.推进落实区域协调发展战略和重大政策，组织拟订相关区域规划和政策措施。统筹推进实施国家和省市区重大区域发展战略。贯彻落实国家西部开发、中部崛起、长江经济带发展的相关政策措施，统筹推进“一带一部”区域发展。协调推进两型社会建设。组织拟订和实施特殊困难地区发展规划和政策措施，组织实施</w:t>
      </w:r>
      <w:r>
        <w:rPr>
          <w:rFonts w:hint="eastAsia" w:ascii="仿宋_GB2312" w:hAnsi="仿宋_GB2312" w:eastAsia="仿宋_GB2312"/>
          <w:kern w:val="0"/>
          <w:sz w:val="32"/>
        </w:rPr>
        <w:t>易地扶贫搬迁等。</w:t>
      </w:r>
      <w:r>
        <w:rPr>
          <w:rFonts w:hint="eastAsia" w:ascii="仿宋_GB2312" w:hAnsi="仿宋_GB2312" w:eastAsia="仿宋_GB2312"/>
          <w:sz w:val="32"/>
        </w:rPr>
        <w:t>组织编制并推动实施新型城镇化规划。参与研究拟订全区新型城镇化发展战略和重大政策措施，协调配合做好相关工作。制定开发区发展规划和政策措施。统筹协调区域合作和对口支援工作。</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8.组织拟订综合性产业政策措施。负责协调一二三产业发展的重大问题并统筹衔接相关发展规划和重大政策。协调推</w:t>
      </w:r>
      <w:r>
        <w:rPr>
          <w:rFonts w:hint="eastAsia" w:ascii="仿宋_GB2312" w:hAnsi="仿宋_GB2312" w:eastAsia="仿宋_GB2312"/>
          <w:spacing w:val="-2"/>
          <w:sz w:val="32"/>
        </w:rPr>
        <w:t>进重大基础设施建设，组织拟订并推动实施服务业及现代物流业发展规划和重大政策措施。综合研判消费变动趋势，拟订实施促进消费的综合性政策措施</w:t>
      </w:r>
      <w:r>
        <w:rPr>
          <w:rFonts w:hint="eastAsia" w:ascii="仿宋_GB2312" w:hAnsi="仿宋_GB2312" w:eastAsia="仿宋_GB2312"/>
          <w:sz w:val="32"/>
        </w:rPr>
        <w:t>。</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9.推动实施创新驱动发展战略。会同相关部门拟订推进创新创业的规划和政策措施，提出创新发展和培育经济发展新动能的政策措施。研究提出产业集群发展相关政策措施。会同相关部门</w:t>
      </w:r>
      <w:r>
        <w:rPr>
          <w:rFonts w:hint="eastAsia" w:ascii="仿宋_GB2312" w:hAnsi="仿宋_GB2312" w:eastAsia="仿宋_GB2312"/>
          <w:kern w:val="0"/>
          <w:sz w:val="32"/>
        </w:rPr>
        <w:t>规划布局全区重大科技基础设施。</w:t>
      </w:r>
      <w:r>
        <w:rPr>
          <w:rFonts w:hint="eastAsia" w:ascii="仿宋_GB2312" w:hAnsi="仿宋_GB2312" w:eastAsia="仿宋_GB2312"/>
          <w:sz w:val="32"/>
        </w:rPr>
        <w:t>组织拟订并推动实施高技术产业和</w:t>
      </w:r>
      <w:r>
        <w:rPr>
          <w:rFonts w:hint="eastAsia" w:ascii="仿宋_GB2312" w:hAnsi="仿宋_GB2312" w:eastAsia="仿宋_GB2312"/>
          <w:kern w:val="0"/>
          <w:sz w:val="32"/>
        </w:rPr>
        <w:t>战略性新兴产业发展规划政策措施，</w:t>
      </w:r>
      <w:r>
        <w:rPr>
          <w:rFonts w:hint="eastAsia" w:ascii="仿宋_GB2312" w:hAnsi="仿宋_GB2312" w:eastAsia="仿宋_GB2312"/>
          <w:sz w:val="32"/>
        </w:rPr>
        <w:t>协调产业升级、重大技术装备推广应用等方面的重大问题。</w:t>
      </w:r>
    </w:p>
    <w:p>
      <w:pPr>
        <w:topLinePunct/>
        <w:spacing w:line="580" w:lineRule="exact"/>
        <w:ind w:firstLine="640" w:firstLineChars="200"/>
        <w:rPr>
          <w:rFonts w:ascii="仿宋_GB2312" w:hAnsi="仿宋_GB2312" w:eastAsia="仿宋_GB2312"/>
          <w:spacing w:val="-6"/>
          <w:sz w:val="32"/>
        </w:rPr>
      </w:pPr>
      <w:r>
        <w:rPr>
          <w:rFonts w:hint="eastAsia" w:ascii="仿宋_GB2312" w:hAnsi="仿宋_GB2312" w:eastAsia="仿宋_GB2312"/>
          <w:sz w:val="32"/>
        </w:rPr>
        <w:t>10.</w:t>
      </w:r>
      <w:r>
        <w:rPr>
          <w:rFonts w:hint="eastAsia" w:ascii="仿宋_GB2312" w:hAnsi="仿宋_GB2312" w:eastAsia="仿宋_GB2312"/>
          <w:kern w:val="0"/>
          <w:sz w:val="32"/>
        </w:rPr>
        <w:t>跟踪研判涉及经济安全、生态安全、资源安全、科技安全、社会安全等各类风险隐患</w:t>
      </w:r>
      <w:r>
        <w:rPr>
          <w:rFonts w:hint="eastAsia" w:ascii="仿宋_GB2312" w:hAnsi="仿宋_GB2312" w:eastAsia="仿宋_GB2312"/>
          <w:sz w:val="32"/>
        </w:rPr>
        <w:t>，提出相关工作建议。承担经济、生态、资源等重点领域国家安全工作协调机制相关工作。负责重要商品总量平衡和宏观调控，提出重要工业品、原材料和重要农产品进出口调控建议并做好相关工作。会同有关部门拟订区级储备物</w:t>
      </w:r>
      <w:r>
        <w:rPr>
          <w:rFonts w:hint="eastAsia" w:ascii="仿宋_GB2312" w:hAnsi="仿宋_GB2312" w:eastAsia="仿宋_GB2312"/>
          <w:spacing w:val="-6"/>
          <w:sz w:val="32"/>
        </w:rPr>
        <w:t>资品种目录、总体发展规划。</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11.负责社会发展与国民经济发展的政策衔接，协调有关重大问题。组织拟订社会发展战略、总体规划，统筹推进基本公共服务体系建设和收入分配制度改革，提出促进就业、完善社会保障与经济协调发展的政策建议。</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12.推进实施可持续发展战略，推动生态文明建设和改革，协调生态环境保护与修复、能源资源节约和综合利用等工作。提出健全生态保护补偿机制的政策措施，综合协调节能环保产业和清洁生产促进有关工作。提出能源消费控制目标、任务并组织实施。</w:t>
      </w:r>
    </w:p>
    <w:p>
      <w:pPr>
        <w:topLinePunct/>
        <w:spacing w:line="580" w:lineRule="exact"/>
        <w:ind w:firstLine="640" w:firstLineChars="200"/>
        <w:rPr>
          <w:rFonts w:ascii="仿宋_GB2312" w:hAnsi="仿宋_GB2312" w:eastAsia="仿宋_GB2312"/>
          <w:color w:val="000000"/>
          <w:kern w:val="0"/>
          <w:sz w:val="32"/>
        </w:rPr>
      </w:pPr>
      <w:r>
        <w:rPr>
          <w:rFonts w:hint="eastAsia" w:ascii="仿宋_GB2312" w:hAnsi="仿宋_GB2312" w:eastAsia="仿宋_GB2312"/>
          <w:sz w:val="32"/>
        </w:rPr>
        <w:t>13.</w:t>
      </w:r>
      <w:r>
        <w:rPr>
          <w:rFonts w:hint="eastAsia" w:ascii="仿宋_GB2312" w:hAnsi="仿宋_GB2312" w:eastAsia="仿宋_GB2312"/>
          <w:color w:val="000000"/>
          <w:kern w:val="0"/>
          <w:sz w:val="32"/>
        </w:rPr>
        <w:t>拟订并组织实施有关价格政策，组织制定少数由区级管理的重要商品、服务价格和重要收费标准意见。</w:t>
      </w:r>
      <w:r>
        <w:rPr>
          <w:rFonts w:hint="eastAsia" w:ascii="仿宋_GB2312" w:hAnsi="仿宋_GB2312" w:eastAsia="仿宋_GB2312"/>
          <w:spacing w:val="-2"/>
          <w:sz w:val="32"/>
        </w:rPr>
        <w:t>监测、分析市场价格形势，</w:t>
      </w:r>
      <w:r>
        <w:rPr>
          <w:rFonts w:hint="eastAsia" w:ascii="仿宋_GB2312" w:hAnsi="仿宋_GB2312" w:eastAsia="仿宋_GB2312"/>
          <w:sz w:val="32"/>
        </w:rPr>
        <w:t>组织实施价格总水平控制；管理国家、省、市、区列名管理的商品和服务价格。</w:t>
      </w:r>
      <w:r>
        <w:rPr>
          <w:rFonts w:hint="eastAsia" w:ascii="仿宋_GB2312" w:hAnsi="仿宋_GB2312" w:eastAsia="仿宋_GB2312"/>
          <w:spacing w:val="-2"/>
          <w:sz w:val="32"/>
        </w:rPr>
        <w:t>负责价格成本调查和监审</w:t>
      </w:r>
      <w:r>
        <w:rPr>
          <w:rFonts w:hint="eastAsia" w:ascii="仿宋_GB2312" w:hAnsi="仿宋_GB2312" w:eastAsia="仿宋_GB2312"/>
          <w:sz w:val="32"/>
        </w:rPr>
        <w:t>。</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14.指导和协调全区公共资源交易平台建设，牵头组织监督公共资源交易活动。</w:t>
      </w:r>
    </w:p>
    <w:p>
      <w:pPr>
        <w:topLinePunct/>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15.会同有关部门拟订推进全区经济建设与国防建设协调发展的战略和规划，协调有关重大问题。推动实施军民融合发展战略，组织编制全区国民经济动员规划，协调和组织实施全区国民经济动员有关工作。</w:t>
      </w:r>
    </w:p>
    <w:p>
      <w:pPr>
        <w:topLinePunct/>
        <w:spacing w:line="580" w:lineRule="exact"/>
        <w:ind w:firstLine="640" w:firstLineChars="200"/>
        <w:jc w:val="left"/>
        <w:rPr>
          <w:rFonts w:ascii="仿宋_GB2312" w:hAnsi="仿宋_GB2312" w:eastAsia="仿宋_GB2312"/>
          <w:b/>
          <w:sz w:val="32"/>
        </w:rPr>
      </w:pPr>
      <w:r>
        <w:rPr>
          <w:rFonts w:hint="eastAsia" w:ascii="仿宋_GB2312" w:hAnsi="仿宋_GB2312" w:eastAsia="仿宋_GB2312"/>
          <w:color w:val="000000"/>
          <w:kern w:val="0"/>
          <w:sz w:val="32"/>
        </w:rPr>
        <w:t>16.起草全区能源发展和有关监督管理的规范性文件草案，拟订并组织实施全市能源发展战略、规划和政策措施，推进全市能源体制改革，协调相关重大问题。负责全区能源行业节能和资源综合利用，参与研究全区能源消费总量控制目标建议，指导、监督能源消费总量控制工作，衔接能源生产建设和供需平衡。组织制定煤炭、石油、天然气、电力、新能源和可再生能源等能源，以及炼油、煤制燃料、燃料乙醇的产业政策措施及相关标准意见，实施对煤电油气等能源和新能源的管理。按照规定权限，审批、核准、备案、审核、上报全区能源固定资产投资项目。指导协调农村能源发展工作。拟定并组织实施煤炭发展战略，研究提出煤炭资源合理开发利用的意见并指导实施，承担煤炭体制改革、煤矿瓦斯防治能力评估和开发利用等有关工作，会同有关部门负责全区煤矿生产能力监管的指导工作，协调有关部门推进煤层气开发、淘汰煤炭落后产能工作。负责能源预测预警，发布能源信息，参与能源运行调节和应急保障，负责区内石油和天然气储备管理工作。负责石油、天然气管道保护相关工作。组织推进全区能源重大设备研发及相关重大科技项目，指导能源科技进步和引进消化创新，组织协调相关重大示范工程和推广应用新产品、新技术、新设备。负责全区核电管理。拟订核电发展规划并组织实施，提出核电布局和重大项目审核意见，组织开展核电有关前期工作，协调和指导核电科研工作，参与核电厂的核事故应急管理工作。组织推进全区能源对外合作，负责起草区政府对外能源战略合作协议，协调能源合作中的重大问题。研究提出电力普遍服务政策的建议并监督实施，参与制定与能源相关的资源、财税、环保等政策措施，提出能源价格调整建议，参与能源有关价格执行情况监督检查。承担区能源委员会具体工作，负责全区能源发展战略决策的综合协调和服务保障，推动建立健全协调联动机制。</w:t>
      </w:r>
    </w:p>
    <w:p>
      <w:pPr>
        <w:topLinePunct/>
        <w:spacing w:line="580" w:lineRule="exact"/>
        <w:ind w:firstLine="640" w:firstLineChars="200"/>
        <w:jc w:val="left"/>
        <w:rPr>
          <w:rFonts w:ascii="仿宋_GB2312" w:hAnsi="仿宋_GB2312" w:eastAsia="仿宋_GB2312"/>
          <w:sz w:val="32"/>
        </w:rPr>
      </w:pPr>
      <w:r>
        <w:rPr>
          <w:rFonts w:hint="eastAsia" w:ascii="仿宋_GB2312" w:hAnsi="仿宋_GB2312" w:eastAsia="仿宋_GB2312"/>
          <w:sz w:val="32"/>
        </w:rPr>
        <w:t>17.拟订粮食流通和物资储备管理有关规定并监督执行。拟订全区粮食市场体系建设与发展规划，承担全区粮食流通宏观调控的具体工作。拟订粮食流通和物资储备体制改革方案并组织实施。研究提出全区战略物资储备规划、全区储备品种目录的建议。根据全区储备总体发展规划和品种目录，组织实施全区战略和应急储备物资的收储、轮换和日常管理，落实有关动用计划和指令。管理全区粮食、棉花和食糖储备，负责区级储备粮棉行政管理。监测粮食和战略物资供求变化并预测预警。指导协调政策性粮食购销和粮食产销合作，保障军队粮食供应。拟订粮食和物资储备仓储管理有关技术标准意见和规范并组织实施。负责全区粮食流通、加工行业安全生产工作的监督管理，承担所属物资储备承储单位安全生产的监管责任。根据国家、省、市与全区储备总体发展规划，统一负责储备基础设施建设和管理。拟订全区储备基础设施、粮食流通设施建设规划并组织实施，管理有关储备基础设施和粮食流通设施投资项目。负责对管理的政府储备、企业储备以及储备政策落实情况进行监督检查。负责粮食流通监督检查，负责粮食收购、储存、运输环节粮食质量安全和原粮卫生的监督管理，组织实施粮食库存检查工作。负责粮食流通行业管理，制定行业发展规划、政策措施，拟订粮食流通和物资储备有关标准意见、粮食质量有关标准意见，制定有关技术规范并监督执行。负责实施粮食收购行政许可的有关行政管理。负责协调推进粮食产业发展有关工作。负责粮食和物资储备的对外合作与交流。</w:t>
      </w:r>
    </w:p>
    <w:p>
      <w:pPr>
        <w:ind w:firstLine="640" w:firstLineChars="200"/>
        <w:rPr>
          <w:rFonts w:ascii="宋体" w:hAnsi="宋体"/>
          <w:sz w:val="30"/>
          <w:szCs w:val="30"/>
        </w:rPr>
      </w:pPr>
      <w:r>
        <w:rPr>
          <w:rFonts w:hint="eastAsia" w:ascii="仿宋_GB2312" w:hAnsi="仿宋_GB2312" w:eastAsia="仿宋_GB2312"/>
          <w:sz w:val="32"/>
        </w:rPr>
        <w:t>18.完成区委和区政府交办的其他任</w:t>
      </w:r>
      <w:r>
        <w:rPr>
          <w:rFonts w:hint="eastAsia" w:ascii="仿宋_GB2312" w:eastAsia="仿宋_GB2312"/>
          <w:sz w:val="30"/>
          <w:szCs w:val="30"/>
        </w:rPr>
        <w:t>务。</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autoSpaceDN w:val="0"/>
        <w:ind w:firstLine="588" w:firstLineChars="196"/>
        <w:rPr>
          <w:rFonts w:ascii="仿宋_GB2312" w:eastAsia="仿宋_GB2312"/>
          <w:sz w:val="30"/>
          <w:szCs w:val="30"/>
        </w:rPr>
      </w:pPr>
      <w:r>
        <w:rPr>
          <w:rFonts w:hint="eastAsia" w:ascii="宋体" w:hAnsi="宋体"/>
          <w:sz w:val="30"/>
          <w:szCs w:val="30"/>
        </w:rPr>
        <w:t xml:space="preserve"> 1.</w:t>
      </w:r>
      <w:r>
        <w:rPr>
          <w:rFonts w:hint="eastAsia" w:ascii="仿宋_GB2312" w:eastAsia="仿宋_GB2312"/>
          <w:sz w:val="30"/>
          <w:szCs w:val="30"/>
        </w:rPr>
        <w:t>拟订并组织实施全区2021年国民经济和社会发展年度计划。</w:t>
      </w:r>
    </w:p>
    <w:p>
      <w:pPr>
        <w:autoSpaceDN w:val="0"/>
        <w:ind w:firstLine="588" w:firstLineChars="196"/>
        <w:rPr>
          <w:rFonts w:ascii="仿宋_GB2312" w:eastAsia="仿宋_GB2312"/>
          <w:sz w:val="30"/>
          <w:szCs w:val="30"/>
        </w:rPr>
      </w:pPr>
      <w:r>
        <w:rPr>
          <w:rFonts w:hint="eastAsia" w:ascii="仿宋_GB2312" w:eastAsia="仿宋_GB2312"/>
          <w:sz w:val="30"/>
          <w:szCs w:val="30"/>
        </w:rPr>
        <w:t>2.调查研究，履行发改部门职能。一是对我区国民经济和社会发展情况进行实时监测、分析。二是加大经济信息的搜集力度，全面了解国家、省、市经济发展的政策动向，及时向区委、区政府提供准确、有用的经济情报并及时提出措施建议。三是做好国民经济社会发展的分析工作。</w:t>
      </w:r>
    </w:p>
    <w:p>
      <w:pPr>
        <w:autoSpaceDN w:val="0"/>
        <w:ind w:firstLine="588" w:firstLineChars="196"/>
        <w:rPr>
          <w:rFonts w:ascii="仿宋_GB2312" w:eastAsia="仿宋_GB2312"/>
          <w:sz w:val="30"/>
          <w:szCs w:val="30"/>
        </w:rPr>
      </w:pPr>
      <w:r>
        <w:rPr>
          <w:rFonts w:hint="eastAsia" w:ascii="仿宋_GB2312" w:eastAsia="仿宋_GB2312"/>
          <w:sz w:val="30"/>
          <w:szCs w:val="30"/>
        </w:rPr>
        <w:t>3.抓好重点项目建设。一是做好区级重点项目及市考核项目的调度工作。二是加强对重点项目的跟踪、服务力度，牵头协调相关单位积极为企业服好务，切实解决的企业实际困难，加快各项审批手续的办理，加大保障措施力度，以加快项目建设进度，确保2021年全区重点建设项目各项指标顺利完成。三是按照做好日常督查工作，确保今年我区重点项目完成投资计划。四是加强项目的收集、筛选，整理重大项目库，把好入库项目的质量关。五是做好项目的收集、筛选、整理，增加高质量的包装项目，编制包装有影响力、有拉动性、对改善老百姓生活有积极作用的重点项目和重大产业化项目，增强我区经济和社会的发展后劲。</w:t>
      </w:r>
    </w:p>
    <w:p>
      <w:pPr>
        <w:autoSpaceDN w:val="0"/>
        <w:ind w:firstLine="588" w:firstLineChars="196"/>
        <w:rPr>
          <w:rFonts w:ascii="仿宋_GB2312" w:eastAsia="仿宋_GB2312"/>
          <w:sz w:val="30"/>
          <w:szCs w:val="30"/>
        </w:rPr>
      </w:pPr>
      <w:r>
        <w:rPr>
          <w:rFonts w:hint="eastAsia" w:ascii="仿宋_GB2312" w:eastAsia="仿宋_GB2312"/>
          <w:sz w:val="30"/>
          <w:szCs w:val="30"/>
        </w:rPr>
        <w:t>4.抓好投资工作，充分发挥体制保障作用。一是抓好全区跑项目争资金工作，抓住国家宏观政策调整时机，主动与省、市部门对接，适时上报项目，争取上级部门更多资金和政策支持，确保全区到位资金比上年增长25%，力争达到30%。二是引导政府投资对民生项目的倾斜，解决群众后顾之忧，扩大城乡消费需求，努力保持经济稳定发展态势。三是抓住机遇调整产业结构，以重点项目促进第一产业稳步发展；采取有效措施，务实推动第三产业快速发展；结合农村产权制度改革，开拓性地促进现代农业健康发展。四是做好政府投资项目的收集、整理、上报工作。五是积极争取省市对2021年国债资金项目的认定。根据党中央、国务院关于增加投入、扩大内需的总体部署及国家拟支持的重点、方向和要求，分别对粮食安全工程、重大农业基础设施、农村民生工程、重大环保生态和节能减排工程等8类项目进行统一建库、积极争取国债资金。六是抓好固定资产投资工作，努力达到全区固定资产投资比上年增长10%。</w:t>
      </w:r>
    </w:p>
    <w:p>
      <w:pPr>
        <w:autoSpaceDN w:val="0"/>
        <w:ind w:firstLine="588" w:firstLineChars="196"/>
        <w:rPr>
          <w:rFonts w:ascii="仿宋_GB2312" w:eastAsia="仿宋_GB2312"/>
          <w:sz w:val="30"/>
          <w:szCs w:val="30"/>
        </w:rPr>
      </w:pPr>
      <w:r>
        <w:rPr>
          <w:rFonts w:hint="eastAsia" w:ascii="仿宋_GB2312" w:eastAsia="仿宋_GB2312"/>
          <w:sz w:val="30"/>
          <w:szCs w:val="30"/>
        </w:rPr>
        <w:t>5.抓好易地扶贫搬迁工作。按照实施方案和年度计划，以及上级要求，高质量地完成各项建设任务。</w:t>
      </w:r>
    </w:p>
    <w:p>
      <w:pPr>
        <w:autoSpaceDN w:val="0"/>
        <w:ind w:firstLine="588" w:firstLineChars="196"/>
        <w:rPr>
          <w:rFonts w:ascii="仿宋_GB2312" w:eastAsia="仿宋_GB2312"/>
          <w:sz w:val="30"/>
          <w:szCs w:val="30"/>
        </w:rPr>
      </w:pPr>
      <w:r>
        <w:rPr>
          <w:rFonts w:hint="eastAsia" w:ascii="仿宋_GB2312" w:eastAsia="仿宋_GB2312"/>
          <w:sz w:val="30"/>
          <w:szCs w:val="30"/>
        </w:rPr>
        <w:t>6.</w:t>
      </w:r>
      <w:r>
        <w:rPr>
          <w:rFonts w:hint="eastAsia" w:ascii="仿宋_GB2312" w:eastAsia="仿宋_GB2312" w:cs="仿宋_GB2312"/>
          <w:sz w:val="30"/>
          <w:szCs w:val="30"/>
        </w:rPr>
        <w:t>负责好全市节能减排综合协调，拟订并协调实施能源资源节约、循环经济发展、资源综合利用规划和措施，做好固定资产投资项目节能审查工作。</w:t>
      </w:r>
    </w:p>
    <w:p>
      <w:pPr>
        <w:autoSpaceDN w:val="0"/>
        <w:ind w:firstLine="588" w:firstLineChars="196"/>
        <w:rPr>
          <w:rFonts w:ascii="仿宋_GB2312" w:eastAsia="仿宋_GB2312"/>
          <w:sz w:val="30"/>
          <w:szCs w:val="30"/>
        </w:rPr>
      </w:pPr>
      <w:r>
        <w:rPr>
          <w:rFonts w:hint="eastAsia" w:ascii="仿宋_GB2312" w:eastAsia="仿宋_GB2312"/>
          <w:sz w:val="30"/>
          <w:szCs w:val="30"/>
        </w:rPr>
        <w:t>7.以建设服务型机关为目标，提高行政效能。一是进一步转变角色，发挥参谋助手作用，坚持把以提高工作效能为重点作为推进规范化服务型政府机关建设的突破口。二是加强领导班子和干部队伍建设，实现投资软环境改善的新突破。三是充分发挥政务服务中心对外服务窗口职能，强化优质服务，提高办事效率。四是做好政务公开工作，及时收集、更新，加强信息管理。五是创新工作举措，做好争创一流工作。</w:t>
      </w:r>
    </w:p>
    <w:p>
      <w:pPr>
        <w:topLinePunct/>
        <w:autoSpaceDE w:val="0"/>
        <w:autoSpaceDN w:val="0"/>
        <w:adjustRightInd w:val="0"/>
        <w:spacing w:line="580" w:lineRule="exact"/>
        <w:ind w:firstLine="640"/>
        <w:rPr>
          <w:rFonts w:ascii="仿宋_GB2312" w:eastAsia="仿宋_GB2312"/>
          <w:bCs/>
          <w:sz w:val="30"/>
          <w:szCs w:val="30"/>
        </w:rPr>
      </w:pPr>
      <w:r>
        <w:rPr>
          <w:rFonts w:hint="eastAsia" w:ascii="仿宋_GB2312" w:eastAsia="仿宋_GB2312"/>
          <w:bCs/>
          <w:sz w:val="30"/>
          <w:szCs w:val="30"/>
        </w:rPr>
        <w:t>（三）单位基本情况</w:t>
      </w:r>
    </w:p>
    <w:p>
      <w:pPr>
        <w:topLinePunct/>
        <w:autoSpaceDE w:val="0"/>
        <w:autoSpaceDN w:val="0"/>
        <w:adjustRightInd w:val="0"/>
        <w:spacing w:line="580" w:lineRule="exact"/>
        <w:ind w:firstLine="640"/>
        <w:rPr>
          <w:rFonts w:ascii="仿宋_GB2312" w:eastAsia="仿宋_GB2312"/>
          <w:sz w:val="32"/>
        </w:rPr>
      </w:pPr>
      <w:r>
        <w:rPr>
          <w:rFonts w:hint="eastAsia" w:ascii="仿宋_GB2312" w:eastAsia="仿宋_GB2312"/>
          <w:sz w:val="32"/>
        </w:rPr>
        <w:t>1、本单位</w:t>
      </w:r>
      <w:r>
        <w:rPr>
          <w:rFonts w:ascii="仿宋_GB2312" w:eastAsia="仿宋_GB2312"/>
          <w:sz w:val="32"/>
        </w:rPr>
        <w:t>2019</w:t>
      </w:r>
      <w:r>
        <w:rPr>
          <w:rFonts w:hint="eastAsia" w:ascii="仿宋_GB2312" w:eastAsia="仿宋_GB2312"/>
          <w:sz w:val="32"/>
        </w:rPr>
        <w:t>年由区发展和改革委员会改名为区发展和改革局，对外加挂区粮食和物资储备局牌子。</w:t>
      </w:r>
    </w:p>
    <w:p>
      <w:pPr>
        <w:topLinePunct/>
        <w:autoSpaceDE w:val="0"/>
        <w:autoSpaceDN w:val="0"/>
        <w:adjustRightInd w:val="0"/>
        <w:spacing w:line="580" w:lineRule="exact"/>
        <w:ind w:firstLine="640"/>
        <w:rPr>
          <w:rFonts w:ascii="仿宋_GB2312" w:eastAsia="仿宋_GB2312"/>
          <w:sz w:val="32"/>
        </w:rPr>
      </w:pPr>
      <w:r>
        <w:rPr>
          <w:rFonts w:hint="eastAsia" w:ascii="仿宋_GB2312" w:eastAsia="仿宋_GB2312"/>
          <w:sz w:val="32"/>
        </w:rPr>
        <w:t>2、</w:t>
      </w:r>
      <w:r>
        <w:rPr>
          <w:rFonts w:hint="eastAsia" w:ascii="仿宋" w:hAnsi="仿宋" w:eastAsia="仿宋"/>
          <w:kern w:val="0"/>
          <w:sz w:val="32"/>
        </w:rPr>
        <w:t>内设机构9个，分别是</w:t>
      </w:r>
      <w:r>
        <w:rPr>
          <w:rFonts w:hint="eastAsia" w:ascii="仿宋" w:hAnsi="仿宋" w:eastAsia="仿宋"/>
          <w:sz w:val="32"/>
        </w:rPr>
        <w:t>办公室</w:t>
      </w:r>
      <w:r>
        <w:rPr>
          <w:rFonts w:hint="eastAsia" w:ascii="仿宋" w:hAnsi="仿宋" w:eastAsia="仿宋"/>
          <w:kern w:val="0"/>
          <w:sz w:val="32"/>
        </w:rPr>
        <w:t>、行政审批股（</w:t>
      </w:r>
      <w:r>
        <w:rPr>
          <w:rFonts w:hint="eastAsia" w:ascii="仿宋" w:hAnsi="仿宋" w:eastAsia="仿宋"/>
          <w:sz w:val="32"/>
        </w:rPr>
        <w:t>挂法规股牌子</w:t>
      </w:r>
      <w:r>
        <w:rPr>
          <w:rFonts w:hint="eastAsia" w:ascii="仿宋" w:hAnsi="仿宋" w:eastAsia="仿宋"/>
          <w:kern w:val="0"/>
          <w:sz w:val="32"/>
        </w:rPr>
        <w:t>）、固定资产投资股</w:t>
      </w:r>
      <w:r>
        <w:rPr>
          <w:rFonts w:ascii="仿宋" w:hAnsi="仿宋" w:eastAsia="仿宋"/>
          <w:sz w:val="32"/>
        </w:rPr>
        <w:t>(</w:t>
      </w:r>
      <w:r>
        <w:rPr>
          <w:rFonts w:hint="eastAsia" w:ascii="仿宋" w:hAnsi="仿宋" w:eastAsia="仿宋"/>
          <w:sz w:val="32"/>
        </w:rPr>
        <w:t>挂综合规划改革股牌子</w:t>
      </w:r>
      <w:r>
        <w:rPr>
          <w:rFonts w:ascii="仿宋" w:hAnsi="仿宋" w:eastAsia="仿宋"/>
          <w:sz w:val="32"/>
        </w:rPr>
        <w:t>)</w:t>
      </w:r>
      <w:r>
        <w:rPr>
          <w:rFonts w:hint="eastAsia" w:ascii="仿宋" w:hAnsi="仿宋" w:eastAsia="仿宋"/>
          <w:kern w:val="0"/>
          <w:sz w:val="32"/>
        </w:rPr>
        <w:t>、工业基础产业和高新技术股（挂区国民经济动员办公室牌子）、社会发展和环资股（挂就业和收入分配股牌子）、农村经济和财政金融贸易外经股（挂服务业股牌子）、价格调控和价格收费管理股、政工股、粮食调控和物资储备股（挂军粮供应股牌子）。</w:t>
      </w:r>
      <w:r>
        <w:rPr>
          <w:rFonts w:hint="eastAsia" w:ascii="仿宋_GB2312" w:eastAsia="仿宋_GB2312"/>
          <w:sz w:val="32"/>
        </w:rPr>
        <w:t>归口管理</w:t>
      </w:r>
      <w:r>
        <w:rPr>
          <w:rFonts w:ascii="仿宋_GB2312" w:eastAsia="仿宋_GB2312"/>
          <w:sz w:val="32"/>
        </w:rPr>
        <w:t>4</w:t>
      </w:r>
      <w:r>
        <w:rPr>
          <w:rFonts w:hint="eastAsia" w:ascii="仿宋_GB2312" w:eastAsia="仿宋_GB2312"/>
          <w:sz w:val="32"/>
        </w:rPr>
        <w:t>个公益一类事业单位：区重点项目服务中心、区粮食执法大队、区节能监察中心、区价格认证与信息监测中心。</w:t>
      </w:r>
    </w:p>
    <w:p>
      <w:pPr>
        <w:autoSpaceDN w:val="0"/>
        <w:ind w:firstLine="600" w:firstLineChars="200"/>
        <w:rPr>
          <w:rFonts w:ascii="仿宋_GB2312" w:eastAsia="仿宋_GB2312"/>
          <w:sz w:val="30"/>
          <w:szCs w:val="30"/>
        </w:rPr>
      </w:pPr>
      <w:r>
        <w:rPr>
          <w:rFonts w:hint="eastAsia" w:ascii="仿宋_GB2312" w:eastAsia="仿宋_GB2312"/>
          <w:sz w:val="30"/>
          <w:szCs w:val="30"/>
        </w:rPr>
        <w:t>3、人员编制情况：行政编制数10名、工勤编制2名、事业编制45名。在职人数66名。</w:t>
      </w:r>
    </w:p>
    <w:p>
      <w:pPr>
        <w:autoSpaceDN w:val="0"/>
        <w:ind w:left="588"/>
        <w:rPr>
          <w:rFonts w:ascii="仿宋_GB2312" w:eastAsia="仿宋_GB2312"/>
          <w:sz w:val="30"/>
          <w:szCs w:val="30"/>
        </w:rPr>
      </w:pPr>
      <w:r>
        <w:rPr>
          <w:rFonts w:hint="eastAsia" w:ascii="仿宋_GB2312" w:eastAsia="仿宋_GB2312"/>
          <w:sz w:val="30"/>
          <w:szCs w:val="30"/>
        </w:rPr>
        <w:t>车辆编制情况：车改后，无车辆。</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rPr>
        <w:t>一般公共预算</w:t>
      </w:r>
      <w:r>
        <w:rPr>
          <w:rFonts w:ascii="宋体" w:hAnsi="宋体"/>
          <w:b/>
          <w:sz w:val="30"/>
          <w:szCs w:val="30"/>
        </w:rPr>
        <w:t>支出情况</w:t>
      </w:r>
    </w:p>
    <w:p>
      <w:pPr>
        <w:autoSpaceDN w:val="0"/>
        <w:ind w:left="588"/>
        <w:rPr>
          <w:rFonts w:ascii="仿宋_GB2312" w:eastAsia="仿宋_GB2312"/>
          <w:sz w:val="30"/>
          <w:szCs w:val="30"/>
        </w:rPr>
      </w:pPr>
      <w:r>
        <w:rPr>
          <w:rFonts w:hint="eastAsia" w:ascii="仿宋_GB2312" w:eastAsia="仿宋_GB2312"/>
          <w:sz w:val="30"/>
          <w:szCs w:val="30"/>
        </w:rPr>
        <w:t>（一）基本支出情况。</w:t>
      </w:r>
    </w:p>
    <w:p>
      <w:pPr>
        <w:autoSpaceDN w:val="0"/>
        <w:ind w:left="588" w:firstLine="600" w:firstLineChars="200"/>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021年基本支出</w:t>
      </w:r>
      <w:r>
        <w:rPr>
          <w:rFonts w:hint="eastAsia" w:ascii="仿宋_GB2312" w:eastAsia="仿宋_GB2312"/>
          <w:sz w:val="30"/>
          <w:szCs w:val="30"/>
        </w:rPr>
        <w:t>1004</w:t>
      </w:r>
      <w:r>
        <w:rPr>
          <w:rFonts w:ascii="仿宋_GB2312" w:eastAsia="仿宋_GB2312"/>
          <w:sz w:val="30"/>
          <w:szCs w:val="30"/>
        </w:rPr>
        <w:t>.</w:t>
      </w:r>
      <w:r>
        <w:rPr>
          <w:rFonts w:hint="eastAsia" w:ascii="仿宋_GB2312" w:eastAsia="仿宋_GB2312"/>
          <w:sz w:val="30"/>
          <w:szCs w:val="30"/>
        </w:rPr>
        <w:t>7</w:t>
      </w:r>
      <w:r>
        <w:rPr>
          <w:rFonts w:ascii="仿宋_GB2312" w:eastAsia="仿宋_GB2312"/>
          <w:sz w:val="30"/>
          <w:szCs w:val="30"/>
        </w:rPr>
        <w:t>7</w:t>
      </w:r>
      <w:r>
        <w:rPr>
          <w:rFonts w:hint="eastAsia" w:ascii="仿宋_GB2312" w:eastAsia="仿宋_GB2312"/>
          <w:sz w:val="30"/>
          <w:szCs w:val="30"/>
        </w:rPr>
        <w:t>万元。其中工资福利支出736</w:t>
      </w:r>
      <w:r>
        <w:rPr>
          <w:rFonts w:ascii="仿宋_GB2312" w:eastAsia="仿宋_GB2312"/>
          <w:sz w:val="30"/>
          <w:szCs w:val="30"/>
        </w:rPr>
        <w:t>.40</w:t>
      </w:r>
      <w:r>
        <w:rPr>
          <w:rFonts w:hint="eastAsia" w:ascii="仿宋_GB2312" w:eastAsia="仿宋_GB2312"/>
          <w:sz w:val="30"/>
          <w:szCs w:val="30"/>
        </w:rPr>
        <w:t>万元，对个人和家庭补助35</w:t>
      </w:r>
      <w:r>
        <w:rPr>
          <w:rFonts w:ascii="仿宋_GB2312" w:eastAsia="仿宋_GB2312"/>
          <w:sz w:val="30"/>
          <w:szCs w:val="30"/>
        </w:rPr>
        <w:t>.</w:t>
      </w:r>
      <w:r>
        <w:rPr>
          <w:rFonts w:hint="eastAsia" w:ascii="仿宋_GB2312" w:eastAsia="仿宋_GB2312"/>
          <w:sz w:val="30"/>
          <w:szCs w:val="30"/>
        </w:rPr>
        <w:t>3</w:t>
      </w:r>
      <w:r>
        <w:rPr>
          <w:rFonts w:ascii="仿宋_GB2312" w:eastAsia="仿宋_GB2312"/>
          <w:sz w:val="30"/>
          <w:szCs w:val="30"/>
        </w:rPr>
        <w:t>8</w:t>
      </w:r>
      <w:r>
        <w:rPr>
          <w:rFonts w:hint="eastAsia" w:ascii="仿宋_GB2312" w:eastAsia="仿宋_GB2312"/>
          <w:sz w:val="30"/>
          <w:szCs w:val="30"/>
        </w:rPr>
        <w:t>万元，机关运行经费支出</w:t>
      </w:r>
      <w:r>
        <w:rPr>
          <w:rFonts w:hint="eastAsia" w:ascii="宋体" w:hAnsi="宋体" w:eastAsia="宋体" w:cs="宋体"/>
          <w:color w:val="000000"/>
          <w:sz w:val="32"/>
          <w:szCs w:val="32"/>
        </w:rPr>
        <w:t>78.34</w:t>
      </w:r>
      <w:r>
        <w:rPr>
          <w:rFonts w:hint="eastAsia" w:ascii="仿宋_GB2312" w:eastAsia="仿宋_GB2312"/>
          <w:sz w:val="30"/>
          <w:szCs w:val="30"/>
        </w:rPr>
        <w:t>万元，住房公积金45</w:t>
      </w:r>
      <w:r>
        <w:rPr>
          <w:rFonts w:ascii="仿宋_GB2312" w:eastAsia="仿宋_GB2312"/>
          <w:sz w:val="30"/>
          <w:szCs w:val="30"/>
        </w:rPr>
        <w:t>.</w:t>
      </w:r>
      <w:r>
        <w:rPr>
          <w:rFonts w:hint="eastAsia" w:ascii="仿宋_GB2312" w:eastAsia="仿宋_GB2312"/>
          <w:sz w:val="30"/>
          <w:szCs w:val="30"/>
        </w:rPr>
        <w:t>58万元。执行情况良好。</w:t>
      </w:r>
    </w:p>
    <w:p>
      <w:pPr>
        <w:autoSpaceDN w:val="0"/>
        <w:ind w:left="588"/>
        <w:rPr>
          <w:rFonts w:ascii="仿宋_GB2312" w:eastAsia="仿宋_GB2312"/>
          <w:sz w:val="30"/>
          <w:szCs w:val="30"/>
        </w:rPr>
      </w:pPr>
      <w:r>
        <w:rPr>
          <w:rFonts w:hint="eastAsia" w:ascii="仿宋_GB2312" w:eastAsia="仿宋_GB2312"/>
          <w:sz w:val="30"/>
          <w:szCs w:val="30"/>
        </w:rPr>
        <w:t>（二）项目支出情况。</w:t>
      </w:r>
    </w:p>
    <w:p>
      <w:pPr>
        <w:autoSpaceDN w:val="0"/>
        <w:ind w:left="588" w:firstLine="900" w:firstLineChars="300"/>
        <w:rPr>
          <w:rFonts w:ascii="仿宋_GB2312" w:eastAsia="仿宋_GB2312"/>
          <w:sz w:val="30"/>
          <w:szCs w:val="30"/>
        </w:rPr>
      </w:pPr>
      <w:r>
        <w:rPr>
          <w:rFonts w:hint="eastAsia" w:ascii="仿宋_GB2312" w:eastAsia="仿宋_GB2312"/>
          <w:sz w:val="30"/>
          <w:szCs w:val="30"/>
        </w:rPr>
        <w:t>无</w:t>
      </w:r>
    </w:p>
    <w:p>
      <w:pPr>
        <w:autoSpaceDN w:val="0"/>
        <w:ind w:left="588"/>
        <w:rPr>
          <w:rFonts w:ascii="仿宋_GB2312" w:eastAsia="仿宋_GB2312"/>
          <w:sz w:val="30"/>
          <w:szCs w:val="30"/>
        </w:rPr>
      </w:pPr>
      <w:r>
        <w:rPr>
          <w:rFonts w:hint="eastAsia" w:ascii="仿宋_GB2312" w:eastAsia="仿宋_GB2312"/>
          <w:sz w:val="30"/>
          <w:szCs w:val="30"/>
        </w:rPr>
        <w:t>（三）“三公”经费情况</w:t>
      </w:r>
    </w:p>
    <w:p>
      <w:pPr>
        <w:autoSpaceDN w:val="0"/>
        <w:ind w:left="588"/>
        <w:rPr>
          <w:rFonts w:ascii="仿宋_GB2312" w:eastAsia="仿宋_GB2312"/>
          <w:sz w:val="30"/>
          <w:szCs w:val="30"/>
        </w:rPr>
      </w:pPr>
      <w:r>
        <w:rPr>
          <w:rFonts w:hint="eastAsia" w:ascii="仿宋_GB2312" w:eastAsia="仿宋_GB2312"/>
          <w:sz w:val="30"/>
          <w:szCs w:val="30"/>
        </w:rPr>
        <w:t xml:space="preserve">   1．因公出国（境）费用；0元</w:t>
      </w:r>
    </w:p>
    <w:p>
      <w:pPr>
        <w:autoSpaceDN w:val="0"/>
        <w:ind w:left="588"/>
        <w:rPr>
          <w:rFonts w:ascii="仿宋_GB2312" w:eastAsia="仿宋_GB2312"/>
          <w:sz w:val="30"/>
          <w:szCs w:val="30"/>
        </w:rPr>
      </w:pPr>
      <w:r>
        <w:rPr>
          <w:rFonts w:hint="eastAsia" w:ascii="仿宋_GB2312" w:eastAsia="仿宋_GB2312"/>
          <w:sz w:val="30"/>
          <w:szCs w:val="30"/>
        </w:rPr>
        <w:t xml:space="preserve">   2．公务接待费；2.49万元</w:t>
      </w:r>
    </w:p>
    <w:p>
      <w:pPr>
        <w:autoSpaceDN w:val="0"/>
        <w:ind w:left="588"/>
        <w:rPr>
          <w:rFonts w:ascii="仿宋_GB2312" w:eastAsia="仿宋_GB2312"/>
          <w:sz w:val="30"/>
          <w:szCs w:val="30"/>
        </w:rPr>
      </w:pPr>
      <w:r>
        <w:rPr>
          <w:rFonts w:hint="eastAsia" w:ascii="仿宋_GB2312" w:eastAsia="仿宋_GB2312"/>
          <w:sz w:val="30"/>
          <w:szCs w:val="30"/>
        </w:rPr>
        <w:t xml:space="preserve">   3．公务用车购置及运行费0万元</w:t>
      </w:r>
    </w:p>
    <w:p>
      <w:pPr>
        <w:pStyle w:val="7"/>
        <w:numPr>
          <w:ilvl w:val="0"/>
          <w:numId w:val="6"/>
        </w:numPr>
        <w:tabs>
          <w:tab w:val="left" w:pos="1538"/>
        </w:tabs>
        <w:spacing w:line="614"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政府性基金预算支出情况</w:t>
      </w:r>
    </w:p>
    <w:p>
      <w:pPr>
        <w:pStyle w:val="7"/>
        <w:tabs>
          <w:tab w:val="left" w:pos="1538"/>
        </w:tabs>
        <w:spacing w:line="614" w:lineRule="exact"/>
        <w:ind w:left="900" w:firstLine="0"/>
        <w:jc w:val="left"/>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无</w:t>
      </w:r>
    </w:p>
    <w:p>
      <w:pPr>
        <w:pStyle w:val="7"/>
        <w:numPr>
          <w:ilvl w:val="0"/>
          <w:numId w:val="6"/>
        </w:numPr>
        <w:tabs>
          <w:tab w:val="left" w:pos="1538"/>
        </w:tabs>
        <w:spacing w:line="614"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国有资本经营预算支出情况</w:t>
      </w:r>
    </w:p>
    <w:p>
      <w:pPr>
        <w:pStyle w:val="7"/>
        <w:tabs>
          <w:tab w:val="left" w:pos="1538"/>
        </w:tabs>
        <w:spacing w:line="614" w:lineRule="exact"/>
        <w:ind w:left="900" w:firstLine="0"/>
        <w:jc w:val="left"/>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无</w:t>
      </w:r>
    </w:p>
    <w:p>
      <w:pPr>
        <w:pStyle w:val="7"/>
        <w:numPr>
          <w:ilvl w:val="0"/>
          <w:numId w:val="6"/>
        </w:numPr>
        <w:tabs>
          <w:tab w:val="left" w:pos="1538"/>
        </w:tabs>
        <w:spacing w:line="614" w:lineRule="exact"/>
        <w:ind w:firstLine="900"/>
        <w:jc w:val="left"/>
        <w:rPr>
          <w:rFonts w:ascii="黑体" w:hAnsi="黑体" w:eastAsia="黑体" w:cs="黑体"/>
          <w:color w:val="000000"/>
          <w:sz w:val="32"/>
          <w:szCs w:val="32"/>
        </w:rPr>
      </w:pPr>
      <w:r>
        <w:rPr>
          <w:rFonts w:hint="eastAsia" w:ascii="黑体" w:hAnsi="黑体" w:eastAsia="黑体" w:cs="黑体"/>
          <w:color w:val="000000"/>
          <w:sz w:val="32"/>
          <w:szCs w:val="32"/>
        </w:rPr>
        <w:t>社会保险基金预算支出情况</w:t>
      </w:r>
    </w:p>
    <w:p>
      <w:pPr>
        <w:pStyle w:val="7"/>
        <w:tabs>
          <w:tab w:val="left" w:pos="1538"/>
        </w:tabs>
        <w:spacing w:line="614" w:lineRule="exact"/>
        <w:ind w:left="900" w:firstLine="0"/>
        <w:jc w:val="left"/>
        <w:rPr>
          <w:rFonts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无</w:t>
      </w:r>
    </w:p>
    <w:p>
      <w:pPr>
        <w:pStyle w:val="7"/>
        <w:tabs>
          <w:tab w:val="left" w:pos="1538"/>
        </w:tabs>
        <w:spacing w:line="614" w:lineRule="exact"/>
        <w:ind w:firstLine="900"/>
        <w:jc w:val="left"/>
        <w:rPr>
          <w:rFonts w:ascii="黑体" w:hAnsi="黑体" w:eastAsia="黑体" w:cs="黑体"/>
          <w:sz w:val="32"/>
          <w:szCs w:val="32"/>
        </w:rPr>
      </w:pPr>
      <w:bookmarkStart w:id="0" w:name="bookmark84"/>
      <w:r>
        <w:rPr>
          <w:rFonts w:hint="eastAsia" w:ascii="黑体" w:hAnsi="黑体" w:eastAsia="黑体" w:cs="黑体"/>
          <w:color w:val="000000"/>
          <w:sz w:val="32"/>
          <w:szCs w:val="32"/>
        </w:rPr>
        <w:t>六</w:t>
      </w:r>
      <w:bookmarkEnd w:id="0"/>
      <w:r>
        <w:rPr>
          <w:rFonts w:hint="eastAsia" w:ascii="黑体" w:hAnsi="黑体" w:eastAsia="黑体" w:cs="黑体"/>
          <w:color w:val="000000"/>
          <w:sz w:val="32"/>
          <w:szCs w:val="32"/>
        </w:rPr>
        <w:t>、部门整体支出绩效情况</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一是总结归纳本部门</w:t>
      </w:r>
      <w:r>
        <w:rPr>
          <w:rFonts w:hint="eastAsia" w:ascii="仿宋" w:hAnsi="仿宋" w:eastAsia="仿宋" w:cs="仿宋"/>
          <w:color w:val="000000"/>
          <w:sz w:val="32"/>
          <w:szCs w:val="32"/>
          <w:lang w:val="zh-CN" w:bidi="zh-CN"/>
        </w:rPr>
        <w:t>“四本</w:t>
      </w:r>
      <w:r>
        <w:rPr>
          <w:rFonts w:hint="eastAsia" w:ascii="仿宋" w:hAnsi="仿宋" w:eastAsia="仿宋" w:cs="仿宋"/>
          <w:color w:val="000000"/>
          <w:sz w:val="32"/>
          <w:szCs w:val="32"/>
        </w:rPr>
        <w:t>预算”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二是未完成指标的原因以及已完成指标且超出指标</w:t>
      </w:r>
      <w:r>
        <w:rPr>
          <w:rFonts w:hint="eastAsia" w:ascii="仿宋" w:hAnsi="仿宋" w:eastAsia="仿宋" w:cs="仿宋"/>
          <w:color w:val="000000"/>
          <w:sz w:val="32"/>
          <w:szCs w:val="32"/>
          <w:lang w:val="zh-TW" w:eastAsia="zh-TW" w:bidi="zh-TW"/>
        </w:rPr>
        <w:t>目标值30%以上的原因分析</w:t>
      </w:r>
      <w:r>
        <w:rPr>
          <w:rFonts w:hint="eastAsia" w:ascii="仿宋" w:hAnsi="仿宋" w:eastAsia="仿宋" w:cs="仿宋"/>
          <w:color w:val="000000"/>
          <w:sz w:val="32"/>
          <w:szCs w:val="32"/>
          <w:lang w:val="zh-TW" w:bidi="zh-TW"/>
        </w:rPr>
        <w:t>。</w:t>
      </w:r>
    </w:p>
    <w:p>
      <w:pPr>
        <w:numPr>
          <w:ilvl w:val="0"/>
          <w:numId w:val="7"/>
        </w:numPr>
        <w:ind w:firstLine="602" w:firstLineChars="200"/>
        <w:rPr>
          <w:rFonts w:ascii="宋体" w:hAnsi="宋体"/>
          <w:b/>
          <w:sz w:val="30"/>
          <w:szCs w:val="30"/>
        </w:rPr>
      </w:pPr>
      <w:r>
        <w:rPr>
          <w:rFonts w:hint="eastAsia" w:ascii="宋体" w:hAnsi="宋体"/>
          <w:b/>
          <w:sz w:val="30"/>
          <w:szCs w:val="30"/>
        </w:rPr>
        <w:t>绩效自评得分情况及绩效等级。</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绩效自评得分</w:t>
      </w:r>
      <w:r>
        <w:rPr>
          <w:rFonts w:ascii="仿宋" w:hAnsi="仿宋" w:eastAsia="仿宋" w:cs="仿宋"/>
          <w:color w:val="000000"/>
          <w:sz w:val="32"/>
          <w:szCs w:val="32"/>
        </w:rPr>
        <w:t>95</w:t>
      </w:r>
      <w:r>
        <w:rPr>
          <w:rFonts w:hint="eastAsia" w:ascii="仿宋" w:hAnsi="仿宋" w:eastAsia="仿宋" w:cs="仿宋"/>
          <w:color w:val="000000"/>
          <w:sz w:val="32"/>
          <w:szCs w:val="32"/>
        </w:rPr>
        <w:t>分，等级为良。</w:t>
      </w:r>
    </w:p>
    <w:p>
      <w:pPr>
        <w:ind w:firstLine="602" w:firstLineChars="200"/>
        <w:rPr>
          <w:rFonts w:ascii="宋体" w:hAnsi="宋体"/>
          <w:b/>
          <w:sz w:val="30"/>
          <w:szCs w:val="30"/>
        </w:rPr>
      </w:pPr>
      <w:r>
        <w:rPr>
          <w:rFonts w:hint="eastAsia" w:ascii="宋体" w:hAnsi="宋体"/>
          <w:b/>
          <w:sz w:val="30"/>
          <w:szCs w:val="30"/>
        </w:rPr>
        <w:t>八</w:t>
      </w:r>
      <w:r>
        <w:rPr>
          <w:rFonts w:ascii="宋体" w:hAnsi="宋体"/>
          <w:b/>
          <w:sz w:val="30"/>
          <w:szCs w:val="30"/>
        </w:rPr>
        <w:t>、存在的问题</w:t>
      </w:r>
      <w:r>
        <w:rPr>
          <w:rFonts w:hint="eastAsia" w:ascii="宋体" w:hAnsi="宋体"/>
          <w:b/>
          <w:sz w:val="30"/>
          <w:szCs w:val="30"/>
        </w:rPr>
        <w:t>及原因分析</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预算安排经费不足。</w:t>
      </w:r>
    </w:p>
    <w:p>
      <w:pPr>
        <w:numPr>
          <w:ilvl w:val="0"/>
          <w:numId w:val="8"/>
        </w:numPr>
        <w:ind w:firstLine="602" w:firstLineChars="200"/>
        <w:rPr>
          <w:rFonts w:ascii="宋体" w:hAnsi="宋体"/>
          <w:b/>
          <w:sz w:val="30"/>
          <w:szCs w:val="30"/>
        </w:rPr>
      </w:pPr>
      <w:r>
        <w:rPr>
          <w:rFonts w:ascii="宋体" w:hAnsi="宋体"/>
          <w:b/>
          <w:sz w:val="30"/>
          <w:szCs w:val="30"/>
        </w:rPr>
        <w:t>改进措施和有关建议</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1、科学合理安排预算，并严格执行。</w:t>
      </w:r>
    </w:p>
    <w:p>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2、加强培训</w:t>
      </w:r>
    </w:p>
    <w:p>
      <w:pPr>
        <w:ind w:firstLine="602" w:firstLineChars="200"/>
        <w:rPr>
          <w:rFonts w:ascii="宋体" w:hAnsi="宋体"/>
          <w:b/>
          <w:sz w:val="30"/>
          <w:szCs w:val="30"/>
        </w:rPr>
      </w:pPr>
      <w:r>
        <w:rPr>
          <w:rFonts w:hint="eastAsia" w:ascii="宋体" w:hAnsi="宋体"/>
          <w:b/>
          <w:sz w:val="30"/>
          <w:szCs w:val="30"/>
        </w:rPr>
        <w:t>十、其他需要说明的情况</w:t>
      </w:r>
    </w:p>
    <w:p>
      <w:pPr>
        <w:widowControl/>
        <w:rPr>
          <w:rFonts w:ascii="黑体" w:hAnsi="宋体" w:eastAsia="黑体" w:cs="宋体"/>
          <w:bCs/>
          <w:kern w:val="0"/>
          <w:sz w:val="32"/>
          <w:szCs w:val="32"/>
        </w:rPr>
      </w:pPr>
    </w:p>
    <w:p>
      <w:pPr>
        <w:widowControl/>
        <w:rPr>
          <w:rFonts w:ascii="黑体" w:hAnsi="宋体" w:eastAsia="黑体" w:cs="宋体"/>
          <w:bCs/>
          <w:kern w:val="0"/>
          <w:sz w:val="32"/>
          <w:szCs w:val="32"/>
        </w:rPr>
      </w:pPr>
    </w:p>
    <w:p>
      <w:pPr>
        <w:rPr>
          <w:rFonts w:ascii="黑体" w:hAnsi="宋体" w:eastAsia="黑体" w:cs="宋体"/>
          <w:bCs/>
          <w:kern w:val="0"/>
          <w:sz w:val="32"/>
          <w:szCs w:val="32"/>
        </w:rPr>
      </w:pPr>
      <w:r>
        <w:rPr>
          <w:rFonts w:hint="eastAsia" w:ascii="黑体" w:hAnsi="宋体" w:eastAsia="黑体" w:cs="宋体"/>
          <w:bCs/>
          <w:kern w:val="0"/>
          <w:sz w:val="32"/>
          <w:szCs w:val="32"/>
        </w:rPr>
        <w:br w:type="page"/>
      </w:r>
    </w:p>
    <w:p>
      <w:pPr>
        <w:widowControl/>
        <w:rPr>
          <w:rFonts w:ascii="黑体" w:hAnsi="宋体" w:eastAsia="黑体" w:cs="宋体"/>
          <w:bCs/>
          <w:kern w:val="0"/>
          <w:sz w:val="32"/>
          <w:szCs w:val="32"/>
        </w:rPr>
      </w:pPr>
      <w:r>
        <w:rPr>
          <w:rFonts w:hint="eastAsia" w:ascii="黑体" w:hAnsi="宋体" w:eastAsia="黑体" w:cs="宋体"/>
          <w:bCs/>
          <w:kern w:val="0"/>
          <w:sz w:val="32"/>
          <w:szCs w:val="32"/>
        </w:rPr>
        <w:t>附件4</w:t>
      </w:r>
    </w:p>
    <w:p>
      <w:pPr>
        <w:spacing w:line="560" w:lineRule="exact"/>
        <w:jc w:val="center"/>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三级</w:t>
            </w:r>
          </w:p>
          <w:p>
            <w:pPr>
              <w:widowControl/>
              <w:jc w:val="center"/>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widowControl/>
              <w:jc w:val="left"/>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3</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4</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4</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5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7</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8</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8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eastAsia="仿宋_GB2312"/>
                <w:kern w:val="0"/>
                <w:sz w:val="20"/>
                <w:szCs w:val="20"/>
              </w:rPr>
            </w:pPr>
          </w:p>
        </w:tc>
        <w:tc>
          <w:tcPr>
            <w:tcW w:w="525" w:type="dxa"/>
            <w:tcBorders>
              <w:top w:val="nil"/>
              <w:left w:val="nil"/>
              <w:bottom w:val="nil"/>
              <w:right w:val="single" w:color="auto" w:sz="4" w:space="0"/>
            </w:tcBorders>
            <w:vAlign w:val="center"/>
          </w:tcPr>
          <w:p>
            <w:pPr>
              <w:widowControl/>
              <w:jc w:val="left"/>
              <w:rPr>
                <w:kern w:val="0"/>
                <w:sz w:val="24"/>
              </w:rPr>
            </w:pPr>
            <w:r>
              <w:rPr>
                <w:rFonts w:hint="eastAsia"/>
                <w:kern w:val="0"/>
                <w:sz w:val="24"/>
              </w:rPr>
              <w:t>　10</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widowControl/>
              <w:jc w:val="left"/>
              <w:rPr>
                <w:kern w:val="0"/>
                <w:sz w:val="24"/>
              </w:rPr>
            </w:pPr>
            <w:r>
              <w:rPr>
                <w:rFonts w:hint="eastAsia"/>
                <w:kern w:val="0"/>
                <w:sz w:val="24"/>
              </w:rPr>
              <w:t>6</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widowControl/>
              <w:jc w:val="center"/>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widowControl/>
              <w:jc w:val="left"/>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widowControl/>
              <w:jc w:val="left"/>
              <w:rPr>
                <w:kern w:val="0"/>
                <w:sz w:val="24"/>
              </w:rPr>
            </w:pPr>
            <w:r>
              <w:rPr>
                <w:rFonts w:hint="eastAsia"/>
                <w:kern w:val="0"/>
                <w:sz w:val="24"/>
              </w:rPr>
              <w:t>　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 w:val="24"/>
              </w:rPr>
            </w:pPr>
            <w:r>
              <w:rPr>
                <w:rFonts w:hint="eastAsia"/>
                <w:kern w:val="0"/>
                <w:sz w:val="24"/>
              </w:rPr>
              <w:t>95</w:t>
            </w:r>
          </w:p>
        </w:tc>
      </w:tr>
    </w:tbl>
    <w:p>
      <w:pPr>
        <w:spacing w:line="560" w:lineRule="exact"/>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EE46A7"/>
    <w:multiLevelType w:val="singleLevel"/>
    <w:tmpl w:val="9CEE46A7"/>
    <w:lvl w:ilvl="0" w:tentative="0">
      <w:start w:val="9"/>
      <w:numFmt w:val="chineseCounting"/>
      <w:suff w:val="nothing"/>
      <w:lvlText w:val="%1、"/>
      <w:lvlJc w:val="left"/>
      <w:rPr>
        <w:rFonts w:hint="eastAsia"/>
      </w:rPr>
    </w:lvl>
  </w:abstractNum>
  <w:abstractNum w:abstractNumId="1">
    <w:nsid w:val="D24CC5C5"/>
    <w:multiLevelType w:val="singleLevel"/>
    <w:tmpl w:val="D24CC5C5"/>
    <w:lvl w:ilvl="0" w:tentative="0">
      <w:start w:val="7"/>
      <w:numFmt w:val="chineseCounting"/>
      <w:suff w:val="nothing"/>
      <w:lvlText w:val="%1、"/>
      <w:lvlJc w:val="left"/>
      <w:rPr>
        <w:rFonts w:hint="eastAsia"/>
      </w:rPr>
    </w:lvl>
  </w:abstractNum>
  <w:abstractNum w:abstractNumId="2">
    <w:nsid w:val="244A0F26"/>
    <w:multiLevelType w:val="singleLevel"/>
    <w:tmpl w:val="244A0F26"/>
    <w:lvl w:ilvl="0" w:tentative="0">
      <w:start w:val="2"/>
      <w:numFmt w:val="chineseCounting"/>
      <w:suff w:val="nothing"/>
      <w:lvlText w:val="（%1）"/>
      <w:lvlJc w:val="left"/>
      <w:pPr>
        <w:tabs>
          <w:tab w:val="left" w:pos="0"/>
        </w:tabs>
        <w:ind w:left="0" w:firstLine="0"/>
      </w:pPr>
      <w:rPr>
        <w:rFonts w:hint="eastAsia"/>
      </w:rPr>
    </w:lvl>
  </w:abstractNum>
  <w:abstractNum w:abstractNumId="3">
    <w:nsid w:val="3CCC105A"/>
    <w:multiLevelType w:val="multilevel"/>
    <w:tmpl w:val="3CCC105A"/>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083B14"/>
    <w:multiLevelType w:val="singleLevel"/>
    <w:tmpl w:val="55083B14"/>
    <w:lvl w:ilvl="0" w:tentative="0">
      <w:start w:val="3"/>
      <w:numFmt w:val="chineseCounting"/>
      <w:suff w:val="nothing"/>
      <w:lvlText w:val="%1、"/>
      <w:lvlJc w:val="left"/>
      <w:rPr>
        <w:rFonts w:hint="eastAsia"/>
      </w:rPr>
    </w:lvl>
  </w:abstractNum>
  <w:abstractNum w:abstractNumId="5">
    <w:nsid w:val="5F631B24"/>
    <w:multiLevelType w:val="multilevel"/>
    <w:tmpl w:val="5F631B24"/>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E90677"/>
    <w:multiLevelType w:val="multilevel"/>
    <w:tmpl w:val="6CE9067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DBE3F4D"/>
    <w:multiLevelType w:val="multilevel"/>
    <w:tmpl w:val="7DBE3F4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5"/>
  </w:num>
  <w:num w:numId="4">
    <w:abstractNumId w:val="6"/>
  </w:num>
  <w:num w:numId="5">
    <w:abstractNumId w:val="7"/>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MmM5NjVjODkwZDYyZWE4NjgzMWZkNzFlNTc5ZDMifQ=="/>
  </w:docVars>
  <w:rsids>
    <w:rsidRoot w:val="053333D0"/>
    <w:rsid w:val="0014169D"/>
    <w:rsid w:val="00282A7B"/>
    <w:rsid w:val="00345EA6"/>
    <w:rsid w:val="003D43BF"/>
    <w:rsid w:val="00436D44"/>
    <w:rsid w:val="004C6905"/>
    <w:rsid w:val="00521761"/>
    <w:rsid w:val="00571EAE"/>
    <w:rsid w:val="00582A51"/>
    <w:rsid w:val="005D604A"/>
    <w:rsid w:val="005D662A"/>
    <w:rsid w:val="0067045D"/>
    <w:rsid w:val="007B3C69"/>
    <w:rsid w:val="007D1BE8"/>
    <w:rsid w:val="008737A8"/>
    <w:rsid w:val="00967828"/>
    <w:rsid w:val="00AB1A71"/>
    <w:rsid w:val="00B0524B"/>
    <w:rsid w:val="00B62627"/>
    <w:rsid w:val="00BF50D7"/>
    <w:rsid w:val="00C44E31"/>
    <w:rsid w:val="00C86177"/>
    <w:rsid w:val="00E65CFA"/>
    <w:rsid w:val="00EA1DE1"/>
    <w:rsid w:val="00F069C1"/>
    <w:rsid w:val="00FC05CF"/>
    <w:rsid w:val="053333D0"/>
    <w:rsid w:val="1C2714E6"/>
    <w:rsid w:val="1E5F2DC5"/>
    <w:rsid w:val="25803A3E"/>
    <w:rsid w:val="31976B65"/>
    <w:rsid w:val="3D3C407D"/>
    <w:rsid w:val="3F4A5777"/>
    <w:rsid w:val="47423D6B"/>
    <w:rsid w:val="4B9736F9"/>
    <w:rsid w:val="537543BA"/>
    <w:rsid w:val="53AF0CB2"/>
    <w:rsid w:val="56222168"/>
    <w:rsid w:val="71A27AE2"/>
    <w:rsid w:val="76D618F6"/>
    <w:rsid w:val="7FF74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0"/>
    <w:pPr>
      <w:widowControl/>
      <w:spacing w:before="100" w:beforeAutospacing="1" w:after="100" w:afterAutospacing="1"/>
      <w:jc w:val="left"/>
    </w:pPr>
    <w:rPr>
      <w:rFonts w:ascii="宋体" w:hAnsi="宋体" w:cs="宋体"/>
      <w:kern w:val="0"/>
      <w:sz w:val="24"/>
      <w:szCs w:val="2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customStyle="1" w:styleId="7">
    <w:name w:val="Body text|1"/>
    <w:basedOn w:val="1"/>
    <w:qFormat/>
    <w:uiPriority w:val="0"/>
    <w:pPr>
      <w:spacing w:line="398" w:lineRule="auto"/>
      <w:ind w:firstLine="400"/>
    </w:pPr>
    <w:rPr>
      <w:rFonts w:ascii="宋体" w:hAnsi="宋体" w:cs="宋体"/>
      <w:sz w:val="30"/>
      <w:szCs w:val="30"/>
      <w:lang w:val="zh-TW" w:eastAsia="zh-TW" w:bidi="zh-TW"/>
    </w:rPr>
  </w:style>
  <w:style w:type="character" w:customStyle="1" w:styleId="8">
    <w:name w:val="正文文本 Char"/>
    <w:basedOn w:val="6"/>
    <w:link w:val="2"/>
    <w:qFormat/>
    <w:uiPriority w:val="0"/>
    <w:rPr>
      <w:rFonts w:ascii="宋体" w:hAnsi="宋体" w:eastAsia="宋体" w:cs="宋体"/>
      <w:sz w:val="24"/>
      <w:szCs w:val="24"/>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24</Pages>
  <Words>13391</Words>
  <Characters>13726</Characters>
  <Lines>105</Lines>
  <Paragraphs>29</Paragraphs>
  <TotalTime>8</TotalTime>
  <ScaleCrop>false</ScaleCrop>
  <LinksUpToDate>false</LinksUpToDate>
  <CharactersWithSpaces>14046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2022-08-23T07:14:00Z</dcterms:created>
  <dc:creator>Administrator</dc:creator>
  <cp:lastModifiedBy>Administrator</cp:lastModifiedBy>
  <dcterms:modified xsi:type="dcterms:W3CDTF">2023-09-23T14:30:48Z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E57D2AD7349D47C68488E9C39FD1BDC0</vt:lpwstr>
  </property>
</Properties>
</file>