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rPr>
          <w:rFonts w:hint="default" w:ascii="等线" w:hAnsi="等线" w:eastAsia="等线" w:cs="Times New Roman"/>
          <w:kern w:val="2"/>
          <w:sz w:val="21"/>
          <w:szCs w:val="21"/>
        </w:rPr>
      </w:pPr>
      <w:bookmarkStart w:id="0" w:name="_GoBack"/>
      <w:bookmarkEnd w:id="0"/>
      <w:r>
        <w:rPr>
          <w:rFonts w:hint="eastAsia" w:ascii="宋体" w:hAnsi="宋体" w:eastAsia="宋体" w:cs="宋体"/>
          <w:color w:val="000000"/>
          <w:kern w:val="2"/>
          <w:sz w:val="44"/>
          <w:szCs w:val="44"/>
        </w:rPr>
        <w:t>2021年度冷水滩区岭口水库管理所部门决算</w:t>
      </w:r>
      <w:r>
        <w:rPr>
          <w:rFonts w:hint="default" w:ascii="等线" w:hAnsi="等线" w:eastAsia="等线" w:cs="Times New Roman"/>
          <w:color w:val="000000"/>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等线"/>
          <w:color w:val="000000"/>
          <w:kern w:val="2"/>
          <w:sz w:val="32"/>
          <w:szCs w:val="32"/>
        </w:rPr>
        <w:t xml:space="preserve"> </w:t>
      </w:r>
      <w:r>
        <w:rPr>
          <w:rFonts w:hint="default" w:ascii="等线" w:hAnsi="等线" w:eastAsia="等线" w:cs="Times New Roman"/>
          <w:color w:val="000000"/>
          <w:kern w:val="2"/>
          <w:sz w:val="21"/>
          <w:szCs w:val="21"/>
        </w:rPr>
        <w:t xml:space="preserve"> </w:t>
      </w:r>
    </w:p>
    <w:p>
      <w:pPr>
        <w:spacing w:before="0" w:beforeAutospacing="0" w:after="2" w:afterAutospacing="0"/>
        <w:jc w:val="center"/>
        <w:rPr>
          <w:rFonts w:hint="eastAsia" w:ascii="宋体" w:hAnsi="宋体" w:eastAsia="宋体" w:cs="宋体"/>
          <w:kern w:val="2"/>
          <w:sz w:val="21"/>
          <w:szCs w:val="21"/>
        </w:rPr>
      </w:pPr>
      <w:r>
        <w:rPr>
          <w:rFonts w:hint="eastAsia" w:ascii="宋体" w:hAnsi="宋体" w:eastAsia="宋体" w:cs="宋体"/>
          <w:color w:val="000000"/>
          <w:kern w:val="2"/>
          <w:sz w:val="32"/>
          <w:szCs w:val="32"/>
        </w:rPr>
        <w:t>目 录</w:t>
      </w:r>
      <w:r>
        <w:rPr>
          <w:rFonts w:hint="eastAsia" w:ascii="宋体" w:hAnsi="宋体" w:eastAsia="宋体" w:cs="宋体"/>
          <w:color w:val="000000"/>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第一部分 冷水滩区岭口水库管理所概况</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一、部门职责</w:t>
      </w:r>
      <w:r>
        <w:rPr>
          <w:rFonts w:hint="default" w:ascii="等线" w:hAnsi="等线" w:eastAsia="等线" w:cs="Times New Roman"/>
          <w:color w:val="000000"/>
          <w:kern w:val="2"/>
          <w:sz w:val="21"/>
          <w:szCs w:val="21"/>
        </w:rPr>
        <w:t xml:space="preserve"> </w:t>
      </w:r>
    </w:p>
    <w:p>
      <w:pPr>
        <w:pStyle w:val="2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二、机构设置</w:t>
      </w:r>
      <w:r>
        <w:rPr>
          <w:rFonts w:hint="default" w:ascii="等线" w:hAnsi="等线" w:eastAsia="等线" w:cs="Times New Roman"/>
          <w:color w:val="000000"/>
          <w:kern w:val="2"/>
          <w:sz w:val="21"/>
          <w:szCs w:val="21"/>
        </w:rPr>
        <w:t xml:space="preserve">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第二部分 2021年度部门决算表</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一、收入支出决算总表</w:t>
      </w:r>
      <w:r>
        <w:rPr>
          <w:rFonts w:hint="default" w:ascii="等线" w:hAnsi="等线" w:eastAsia="等线" w:cs="Times New Roman"/>
          <w:color w:val="000000"/>
          <w:kern w:val="2"/>
          <w:sz w:val="21"/>
          <w:szCs w:val="21"/>
        </w:rPr>
        <w:t xml:space="preserve"> </w:t>
      </w:r>
    </w:p>
    <w:p>
      <w:pPr>
        <w:pStyle w:val="2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二、收入决算表</w:t>
      </w:r>
      <w:r>
        <w:rPr>
          <w:rFonts w:hint="default" w:ascii="等线" w:hAnsi="等线" w:eastAsia="等线" w:cs="Times New Roman"/>
          <w:color w:val="000000"/>
          <w:kern w:val="2"/>
          <w:sz w:val="21"/>
          <w:szCs w:val="21"/>
        </w:rPr>
        <w:t xml:space="preserve"> </w:t>
      </w:r>
    </w:p>
    <w:p>
      <w:pPr>
        <w:pStyle w:val="2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三、支出决算表</w:t>
      </w:r>
      <w:r>
        <w:rPr>
          <w:rFonts w:hint="default" w:ascii="等线" w:hAnsi="等线" w:eastAsia="等线" w:cs="Times New Roman"/>
          <w:color w:val="000000"/>
          <w:kern w:val="2"/>
          <w:sz w:val="21"/>
          <w:szCs w:val="21"/>
        </w:rPr>
        <w:t xml:space="preserve"> </w:t>
      </w:r>
    </w:p>
    <w:p>
      <w:pPr>
        <w:pStyle w:val="2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四、财政拨款收入支出决算总表</w:t>
      </w:r>
      <w:r>
        <w:rPr>
          <w:rFonts w:hint="default" w:ascii="等线" w:hAnsi="等线" w:eastAsia="等线" w:cs="Times New Roman"/>
          <w:color w:val="000000"/>
          <w:kern w:val="2"/>
          <w:sz w:val="21"/>
          <w:szCs w:val="21"/>
        </w:rPr>
        <w:t xml:space="preserve"> </w:t>
      </w:r>
    </w:p>
    <w:p>
      <w:pPr>
        <w:pStyle w:val="2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五、一般公共预算财政拨款支出决算表</w:t>
      </w:r>
      <w:r>
        <w:rPr>
          <w:rFonts w:hint="default" w:ascii="等线" w:hAnsi="等线" w:eastAsia="等线" w:cs="Times New Roman"/>
          <w:color w:val="000000"/>
          <w:kern w:val="2"/>
          <w:sz w:val="21"/>
          <w:szCs w:val="21"/>
        </w:rPr>
        <w:t xml:space="preserve"> </w:t>
      </w:r>
    </w:p>
    <w:p>
      <w:pPr>
        <w:pStyle w:val="2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六、一般公共预算财政拨款基本支出决算明细表</w:t>
      </w:r>
      <w:r>
        <w:rPr>
          <w:rFonts w:hint="default" w:ascii="等线" w:hAnsi="等线" w:eastAsia="等线" w:cs="Times New Roman"/>
          <w:color w:val="000000"/>
          <w:kern w:val="2"/>
          <w:sz w:val="21"/>
          <w:szCs w:val="21"/>
        </w:rPr>
        <w:t xml:space="preserve"> </w:t>
      </w:r>
    </w:p>
    <w:p>
      <w:pPr>
        <w:pStyle w:val="2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七、一般公共预算财政拨款“三公”经费支出决算表</w:t>
      </w:r>
      <w:r>
        <w:rPr>
          <w:rFonts w:hint="default" w:ascii="等线" w:hAnsi="等线" w:eastAsia="等线" w:cs="Times New Roman"/>
          <w:color w:val="000000"/>
          <w:kern w:val="2"/>
          <w:sz w:val="21"/>
          <w:szCs w:val="21"/>
        </w:rPr>
        <w:t xml:space="preserve"> </w:t>
      </w:r>
    </w:p>
    <w:p>
      <w:pPr>
        <w:pStyle w:val="2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八、政府性基金预算财政拨款收入支出决算表</w:t>
      </w:r>
      <w:r>
        <w:rPr>
          <w:rFonts w:hint="default" w:ascii="等线" w:hAnsi="等线" w:eastAsia="等线" w:cs="Times New Roman"/>
          <w:color w:val="000000"/>
          <w:kern w:val="2"/>
          <w:sz w:val="21"/>
          <w:szCs w:val="21"/>
        </w:rPr>
        <w:t xml:space="preserve"> </w:t>
      </w:r>
    </w:p>
    <w:p>
      <w:pPr>
        <w:pStyle w:val="2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九、国有资本经营预算财政拨款支出决算表</w:t>
      </w:r>
      <w:r>
        <w:rPr>
          <w:rFonts w:hint="default" w:ascii="等线" w:hAnsi="等线" w:eastAsia="等线" w:cs="Times New Roman"/>
          <w:color w:val="000000"/>
          <w:kern w:val="2"/>
          <w:sz w:val="21"/>
          <w:szCs w:val="21"/>
        </w:rPr>
        <w:t xml:space="preserve"> </w:t>
      </w:r>
    </w:p>
    <w:p>
      <w:pPr>
        <w:pStyle w:val="2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b/>
          <w:bCs/>
          <w:color w:val="000000"/>
          <w:kern w:val="2"/>
          <w:sz w:val="32"/>
          <w:szCs w:val="32"/>
        </w:rPr>
        <w:t>第三部分 2021年度部门决算情况说明</w:t>
      </w:r>
      <w:r>
        <w:rPr>
          <w:rFonts w:hint="default" w:ascii="等线" w:hAnsi="等线" w:eastAsia="等线" w:cs="Times New Roman"/>
          <w:color w:val="000000"/>
          <w:kern w:val="2"/>
          <w:sz w:val="21"/>
          <w:szCs w:val="21"/>
        </w:rPr>
        <w:t xml:space="preserve"> </w:t>
      </w:r>
    </w:p>
    <w:p>
      <w:pPr>
        <w:pStyle w:val="2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一、收入支出决算总体情况说明</w:t>
      </w:r>
      <w:r>
        <w:rPr>
          <w:rFonts w:hint="default" w:ascii="等线" w:hAnsi="等线" w:eastAsia="等线" w:cs="Times New Roman"/>
          <w:color w:val="000000"/>
          <w:kern w:val="2"/>
          <w:sz w:val="21"/>
          <w:szCs w:val="21"/>
        </w:rPr>
        <w:t xml:space="preserve"> </w:t>
      </w:r>
    </w:p>
    <w:p>
      <w:pPr>
        <w:pStyle w:val="2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二、收入决算情况说明</w:t>
      </w:r>
      <w:r>
        <w:rPr>
          <w:rFonts w:hint="default" w:ascii="等线" w:hAnsi="等线" w:eastAsia="等线" w:cs="Times New Roman"/>
          <w:color w:val="000000"/>
          <w:kern w:val="2"/>
          <w:sz w:val="21"/>
          <w:szCs w:val="21"/>
        </w:rPr>
        <w:t xml:space="preserve"> </w:t>
      </w:r>
    </w:p>
    <w:p>
      <w:pPr>
        <w:pStyle w:val="2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三、支出决算情况说明</w:t>
      </w:r>
      <w:r>
        <w:rPr>
          <w:rFonts w:hint="default" w:ascii="等线" w:hAnsi="等线" w:eastAsia="等线" w:cs="Times New Roman"/>
          <w:color w:val="000000"/>
          <w:kern w:val="2"/>
          <w:sz w:val="21"/>
          <w:szCs w:val="21"/>
        </w:rPr>
        <w:t xml:space="preserve"> </w:t>
      </w:r>
    </w:p>
    <w:p>
      <w:pPr>
        <w:pStyle w:val="2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四、财政拨款收入支出决算总体情况说明</w:t>
      </w:r>
      <w:r>
        <w:rPr>
          <w:rFonts w:hint="default" w:ascii="等线" w:hAnsi="等线" w:eastAsia="等线" w:cs="Times New Roman"/>
          <w:color w:val="000000"/>
          <w:kern w:val="2"/>
          <w:sz w:val="21"/>
          <w:szCs w:val="21"/>
        </w:rPr>
        <w:t xml:space="preserve"> </w:t>
      </w:r>
    </w:p>
    <w:p>
      <w:pPr>
        <w:pStyle w:val="2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五、一般公共预算财政拨款支出决算情况说明</w:t>
      </w:r>
      <w:r>
        <w:rPr>
          <w:rFonts w:hint="default" w:ascii="等线" w:hAnsi="等线" w:eastAsia="等线" w:cs="Times New Roman"/>
          <w:color w:val="000000"/>
          <w:kern w:val="2"/>
          <w:sz w:val="21"/>
          <w:szCs w:val="21"/>
        </w:rPr>
        <w:t xml:space="preserve"> </w:t>
      </w:r>
    </w:p>
    <w:p>
      <w:pPr>
        <w:pStyle w:val="2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六、一般公共预算财政拨款基本支出决算情况说明</w:t>
      </w:r>
      <w:r>
        <w:rPr>
          <w:rFonts w:hint="default" w:ascii="等线" w:hAnsi="等线" w:eastAsia="等线" w:cs="Times New Roman"/>
          <w:color w:val="000000"/>
          <w:kern w:val="2"/>
          <w:sz w:val="21"/>
          <w:szCs w:val="21"/>
        </w:rPr>
        <w:t xml:space="preserve"> </w:t>
      </w:r>
    </w:p>
    <w:p>
      <w:pPr>
        <w:pStyle w:val="2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七、一般公共预算财政拨款三公经费支出决算情况说明</w:t>
      </w:r>
      <w:r>
        <w:rPr>
          <w:rFonts w:hint="default" w:ascii="等线" w:hAnsi="等线" w:eastAsia="等线" w:cs="Times New Roman"/>
          <w:color w:val="000000"/>
          <w:kern w:val="2"/>
          <w:sz w:val="21"/>
          <w:szCs w:val="21"/>
        </w:rPr>
        <w:t xml:space="preserve"> </w:t>
      </w:r>
    </w:p>
    <w:p>
      <w:pPr>
        <w:pStyle w:val="2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八、政府性基金预算收入支出决算情况</w:t>
      </w:r>
      <w:r>
        <w:rPr>
          <w:rFonts w:hint="default" w:ascii="等线" w:hAnsi="等线" w:eastAsia="等线" w:cs="Times New Roman"/>
          <w:color w:val="000000"/>
          <w:kern w:val="2"/>
          <w:sz w:val="21"/>
          <w:szCs w:val="21"/>
        </w:rPr>
        <w:t xml:space="preserve"> </w:t>
      </w:r>
    </w:p>
    <w:p>
      <w:pPr>
        <w:pStyle w:val="2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九、关于机关运行经费支出说明</w:t>
      </w:r>
      <w:r>
        <w:rPr>
          <w:rFonts w:hint="default" w:ascii="等线" w:hAnsi="等线" w:eastAsia="等线" w:cs="Times New Roman"/>
          <w:color w:val="000000"/>
          <w:kern w:val="2"/>
          <w:sz w:val="21"/>
          <w:szCs w:val="21"/>
        </w:rPr>
        <w:t xml:space="preserve"> </w:t>
      </w:r>
    </w:p>
    <w:p>
      <w:pPr>
        <w:pStyle w:val="2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十、一般性支出情况</w:t>
      </w:r>
      <w:r>
        <w:rPr>
          <w:rFonts w:hint="default" w:ascii="等线" w:hAnsi="等线" w:eastAsia="等线" w:cs="Times New Roman"/>
          <w:color w:val="000000"/>
          <w:kern w:val="2"/>
          <w:sz w:val="21"/>
          <w:szCs w:val="21"/>
        </w:rPr>
        <w:t xml:space="preserve"> </w:t>
      </w:r>
    </w:p>
    <w:p>
      <w:pPr>
        <w:pStyle w:val="2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十一、关于政府采购支出说明</w:t>
      </w:r>
      <w:r>
        <w:rPr>
          <w:rFonts w:hint="default" w:ascii="等线" w:hAnsi="等线" w:eastAsia="等线" w:cs="Times New Roman"/>
          <w:color w:val="000000"/>
          <w:kern w:val="2"/>
          <w:sz w:val="21"/>
          <w:szCs w:val="21"/>
        </w:rPr>
        <w:t xml:space="preserve"> </w:t>
      </w:r>
    </w:p>
    <w:p>
      <w:pPr>
        <w:pStyle w:val="2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十二、关于国有资产占用情况说明</w:t>
      </w:r>
      <w:r>
        <w:rPr>
          <w:rFonts w:hint="default" w:ascii="等线" w:hAnsi="等线" w:eastAsia="等线" w:cs="Times New Roman"/>
          <w:color w:val="000000"/>
          <w:kern w:val="2"/>
          <w:sz w:val="21"/>
          <w:szCs w:val="21"/>
        </w:rPr>
        <w:t xml:space="preserve"> </w:t>
      </w:r>
    </w:p>
    <w:p>
      <w:pPr>
        <w:pStyle w:val="2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十三、关于2021年度预算绩效情况的说明</w:t>
      </w:r>
      <w:r>
        <w:rPr>
          <w:rFonts w:hint="default" w:ascii="等线" w:hAnsi="等线" w:eastAsia="等线" w:cs="Times New Roman"/>
          <w:color w:val="000000"/>
          <w:kern w:val="2"/>
          <w:sz w:val="21"/>
          <w:szCs w:val="21"/>
        </w:rPr>
        <w:t xml:space="preserve">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第四部分 名词解释</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第五部分 附件</w:t>
      </w:r>
      <w:r>
        <w:rPr>
          <w:rFonts w:hint="default" w:ascii="等线" w:hAnsi="等线" w:eastAsia="等线" w:cs="Times New Roman"/>
          <w:color w:val="000000"/>
          <w:kern w:val="2"/>
          <w:sz w:val="27"/>
          <w:szCs w:val="27"/>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line="600" w:lineRule="atLeast"/>
        <w:ind w:left="0" w:right="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第一部分 冷水滩区岭口水库管理所概况</w:t>
      </w:r>
      <w:r>
        <w:rPr>
          <w:rFonts w:hint="default" w:ascii="等线" w:hAnsi="等线" w:eastAsia="等线" w:cs="Times New Roman"/>
          <w:b/>
          <w:bCs/>
          <w:color w:val="000000"/>
          <w:kern w:val="2"/>
          <w:sz w:val="21"/>
          <w:szCs w:val="21"/>
        </w:rPr>
        <w:t xml:space="preserve"> </w:t>
      </w:r>
    </w:p>
    <w:p>
      <w:pPr>
        <w:pStyle w:val="25"/>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25"/>
        <w:keepNext w:val="0"/>
        <w:keepLines w:val="0"/>
        <w:widowControl/>
        <w:suppressLineNumbers w:val="0"/>
        <w:spacing w:before="0" w:beforeAutospacing="0" w:after="2" w:afterAutospacing="0"/>
        <w:ind w:left="0" w:right="0" w:firstLine="0"/>
        <w:rPr>
          <w:rFonts w:hint="eastAsia" w:ascii="宋体" w:hAnsi="宋体" w:eastAsia="宋体" w:cs="宋体"/>
          <w:kern w:val="0"/>
          <w:sz w:val="24"/>
          <w:szCs w:val="24"/>
        </w:rPr>
      </w:pPr>
      <w:r>
        <w:rPr>
          <w:rFonts w:hint="eastAsia" w:ascii="宋体" w:hAnsi="宋体" w:eastAsia="宋体" w:cs="宋体"/>
          <w:color w:val="000000"/>
          <w:kern w:val="0"/>
          <w:sz w:val="32"/>
          <w:szCs w:val="32"/>
        </w:rPr>
        <w:t xml:space="preserve"> </w:t>
      </w:r>
      <w:r>
        <w:rPr>
          <w:rFonts w:hint="eastAsia" w:ascii="宋体" w:hAnsi="宋体" w:eastAsia="宋体" w:cs="宋体"/>
          <w:color w:val="000000"/>
          <w:kern w:val="0"/>
          <w:sz w:val="24"/>
          <w:szCs w:val="24"/>
        </w:rPr>
        <w:t xml:space="preserve">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一、部门职责</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（一）负责岭口和水库大坝枢纽及供水渠道工程的运行管理、维修养护、更新改造。</w:t>
      </w:r>
      <w:r>
        <w:rPr>
          <w:rFonts w:hint="default" w:ascii="等线" w:hAnsi="等线" w:eastAsia="等线" w:cs="Times New Roman"/>
          <w:color w:val="000000"/>
          <w:kern w:val="2"/>
          <w:sz w:val="32"/>
          <w:szCs w:val="32"/>
        </w:rPr>
        <w:t xml:space="preserve">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（二）做好水库蓄水、防汛、供水及水量调度。</w:t>
      </w:r>
      <w:r>
        <w:rPr>
          <w:rFonts w:hint="default" w:ascii="等线" w:hAnsi="等线" w:eastAsia="等线" w:cs="Times New Roman"/>
          <w:color w:val="000000"/>
          <w:kern w:val="2"/>
          <w:sz w:val="32"/>
          <w:szCs w:val="32"/>
        </w:rPr>
        <w:t xml:space="preserve">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（三）加强水库水源的保护和监测，保护和改善水质。</w:t>
      </w:r>
      <w:r>
        <w:rPr>
          <w:rFonts w:hint="default" w:ascii="等线" w:hAnsi="等线" w:eastAsia="等线" w:cs="Times New Roman"/>
          <w:color w:val="000000"/>
          <w:kern w:val="2"/>
          <w:sz w:val="32"/>
          <w:szCs w:val="32"/>
        </w:rPr>
        <w:t xml:space="preserve">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二、机构设置及决算单位构成</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（一）内设机构设置</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冷水滩区岭口水库管理所内设机构包括：本部门共有编制人数32人，实有人数32人。设2个大坝管理站和2个渠道管理站，即岭口大坝管理站、岭口渠道管理站、山口大坝管理站、山口渠道管理站。</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（二）决算单位构成</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冷水滩区岭口水库管理所为一级预算单位，无独立二级单位，因此本次决算公开单位为冷水滩区岭口水库管理所本级。</w:t>
      </w:r>
      <w:r>
        <w:rPr>
          <w:rFonts w:hint="default" w:ascii="等线" w:hAnsi="等线" w:eastAsia="等线" w:cs="Times New Roman"/>
          <w:color w:val="000000"/>
          <w:kern w:val="2"/>
          <w:sz w:val="27"/>
          <w:szCs w:val="27"/>
        </w:rPr>
        <w:t xml:space="preserve"> </w:t>
      </w:r>
    </w:p>
    <w:p>
      <w:pPr>
        <w:rPr>
          <w:rFonts w:hint="default" w:ascii="等线" w:hAnsi="等线" w:eastAsia="等线" w:cs="Times New Roman"/>
          <w:color w:val="000000"/>
          <w:kern w:val="2"/>
          <w:sz w:val="32"/>
          <w:szCs w:val="32"/>
        </w:rPr>
        <w:sectPr>
          <w:pgSz w:w="11906" w:h="16838" w:orient="landscape"/>
          <w:pgMar w:top="1440" w:right="1080" w:bottom="1440" w:left="1080" w:header="851" w:footer="992" w:gutter="0"/>
          <w:cols w:space="0" w:num="1"/>
          <w:docGrid w:type="lines" w:linePitch="160" w:charSpace="0"/>
        </w:sectPr>
      </w:pPr>
    </w:p>
    <w:p>
      <w:pPr>
        <w:spacing w:before="0" w:beforeAutospacing="0" w:after="2" w:afterAutospacing="0"/>
        <w:ind w:left="0" w:firstLine="721"/>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ind w:left="0" w:firstLine="721"/>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第二部分 2021年度部门决算表</w:t>
      </w:r>
      <w:r>
        <w:rPr>
          <w:rFonts w:hint="default" w:ascii="等线" w:hAnsi="等线" w:eastAsia="等线" w:cs="Times New Roman"/>
          <w:color w:val="000000"/>
          <w:kern w:val="2"/>
          <w:sz w:val="21"/>
          <w:szCs w:val="21"/>
        </w:rPr>
        <w:t xml:space="preserve"> </w:t>
      </w:r>
    </w:p>
    <w:p>
      <w:pPr>
        <w:pStyle w:val="25"/>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01"/>
        <w:gridCol w:w="647"/>
        <w:gridCol w:w="2568"/>
        <w:gridCol w:w="4801"/>
        <w:gridCol w:w="647"/>
        <w:gridCol w:w="2568"/>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6" w:type="dxa"/>
          <w:jc w:val="center"/>
        </w:trPr>
        <w:tc>
          <w:tcPr>
            <w:tcW w:w="5000" w:type="pct"/>
            <w:gridSpan w:val="6"/>
            <w:tcBorders>
              <w:top w:val="nil"/>
              <w:left w:val="nil"/>
              <w:bottom w:val="nil"/>
              <w:right w:val="nil"/>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97"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799"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002" w:type="pct"/>
            <w:gridSpan w:val="3"/>
            <w:tcBorders>
              <w:top w:val="nil"/>
              <w:left w:val="nil"/>
              <w:bottom w:val="nil"/>
              <w:right w:val="nil"/>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97" w:type="pct"/>
            <w:gridSpan w:val="4"/>
            <w:tcBorders>
              <w:top w:val="nil"/>
              <w:left w:val="nil"/>
              <w:bottom w:val="nil"/>
              <w:right w:val="nil"/>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部门：永州市冷水滩区岭口水库管理所</w:t>
            </w:r>
          </w:p>
        </w:tc>
        <w:tc>
          <w:tcPr>
            <w:tcW w:w="1002" w:type="pct"/>
            <w:gridSpan w:val="3"/>
            <w:tcBorders>
              <w:top w:val="nil"/>
              <w:left w:val="nil"/>
              <w:bottom w:val="single" w:color="666666" w:sz="6" w:space="0"/>
              <w:right w:val="nil"/>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50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收入</w:t>
            </w:r>
          </w:p>
        </w:tc>
        <w:tc>
          <w:tcPr>
            <w:tcW w:w="2500" w:type="pct"/>
            <w:gridSpan w:val="4"/>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行次</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金额</w:t>
            </w: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行次</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栏次</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w:t>
            </w: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栏次</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一、一般公共预算财政拨款收入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198.14</w:t>
            </w: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一、一般公共服务支出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32</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二、政府性基金预算财政拨款收入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二、外交支出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33</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三、国有资本经营预算财政拨款收入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三、国防支出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34</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四、上级补助收入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四、公共安全支出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35</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五、事业收入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五、教育支出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36</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六、经营收入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六、科学技术支出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37</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七、附属单位上缴收入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7</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七、文化旅游体育与传媒支出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38</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八、其他收入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8</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八、社会保障和就业支出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39</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9</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九、卫生健康支出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40</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10</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十、节能环保支出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41</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11</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十一、城乡社区支出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42</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12</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十二、农林水支出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43</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13</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十三、交通运输支出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44</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14</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十四、资源勘探工业信息等支出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45</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15</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十五、商业服务业等支出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46</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16</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十六、金融支出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47</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17</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十七、援助其他地区支出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48</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18</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十八、自然资源海洋气象等支出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49</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19</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十九、住房保障支出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50</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20</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二十、粮油物资储备支出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51</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21</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二十一、国有资本经营预算支出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52</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22</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二十二、灾害防治及应急管理支出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53</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23</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二十三、其他支出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54</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0"/>
                <w:szCs w:val="20"/>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0"/>
                <w:szCs w:val="20"/>
              </w:rPr>
              <w:t>24</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二十四、债务还本支出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55</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0"/>
                <w:szCs w:val="20"/>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0"/>
                <w:szCs w:val="20"/>
              </w:rPr>
              <w:t>25</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二十五、债务付息支出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56</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0"/>
                <w:szCs w:val="20"/>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0"/>
                <w:szCs w:val="20"/>
              </w:rPr>
              <w:t>26</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二十六、抗疫特别国债安排的支出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57</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本年收入合计</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27</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198.14</w:t>
            </w: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本年支出合计</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58</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198.14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使用非财政拨款结余</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28</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结余分配</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59</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年初结转和结余</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29</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年末结转和结余</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60</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30</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61</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总计</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31</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198.14</w:t>
            </w: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总计</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62</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198.14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6"/>
            <w:tcBorders>
              <w:top w:val="nil"/>
              <w:left w:val="nil"/>
              <w:bottom w:val="nil"/>
              <w:right w:val="nil"/>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注：本表反映部门本年度的总收支和年末结转结余情况。本表金额转换为万元时，因四舍五入可能存在尾数误差。</w:t>
            </w:r>
          </w:p>
        </w:tc>
        <w:tc>
          <w:tcPr>
            <w:tcW w:w="0" w:type="auto"/>
            <w:shd w:val="clear" w:color="auto" w:fill="auto"/>
            <w:vAlign w:val="center"/>
          </w:tcPr>
          <w:p>
            <w:pPr>
              <w:rPr>
                <w:rFonts w:hint="default" w:ascii="Times New Roman" w:hAnsi="Times New Roman" w:cs="Times New Roman"/>
                <w:sz w:val="20"/>
                <w:szCs w:val="20"/>
              </w:rPr>
            </w:pP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58"/>
        <w:gridCol w:w="358"/>
        <w:gridCol w:w="368"/>
        <w:gridCol w:w="3191"/>
        <w:gridCol w:w="2174"/>
        <w:gridCol w:w="1590"/>
        <w:gridCol w:w="1590"/>
        <w:gridCol w:w="1590"/>
        <w:gridCol w:w="1617"/>
        <w:gridCol w:w="1591"/>
        <w:gridCol w:w="1604"/>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7" w:type="dxa"/>
          <w:jc w:val="center"/>
        </w:trPr>
        <w:tc>
          <w:tcPr>
            <w:tcW w:w="5000" w:type="pct"/>
            <w:gridSpan w:val="11"/>
            <w:tcBorders>
              <w:top w:val="nil"/>
              <w:left w:val="nil"/>
              <w:bottom w:val="nil"/>
              <w:right w:val="nil"/>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12"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12"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12"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993"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678"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993" w:type="pct"/>
            <w:gridSpan w:val="3"/>
            <w:tcBorders>
              <w:top w:val="nil"/>
              <w:left w:val="nil"/>
              <w:bottom w:val="nil"/>
              <w:right w:val="nil"/>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4004" w:type="pct"/>
            <w:gridSpan w:val="9"/>
            <w:tcBorders>
              <w:top w:val="nil"/>
              <w:left w:val="nil"/>
              <w:bottom w:val="nil"/>
              <w:right w:val="nil"/>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部门：永州市冷水滩区岭口水库管理所</w:t>
            </w:r>
          </w:p>
        </w:tc>
        <w:tc>
          <w:tcPr>
            <w:tcW w:w="993" w:type="pct"/>
            <w:gridSpan w:val="3"/>
            <w:tcBorders>
              <w:top w:val="nil"/>
              <w:left w:val="nil"/>
              <w:bottom w:val="nil"/>
              <w:right w:val="nil"/>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本年收入合计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财政拨款收入</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上级补助收入</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事业收入</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经营收入</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附属单位上缴收入</w:t>
            </w:r>
          </w:p>
        </w:tc>
        <w:tc>
          <w:tcPr>
            <w:tcW w:w="0" w:type="pct"/>
            <w:gridSpan w:val="2"/>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39" w:type="pct"/>
            <w:gridSpan w:val="3"/>
            <w:vMerge w:val="restart"/>
            <w:tcBorders>
              <w:top w:val="nil"/>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功能分类科目编码</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科目名称</w:t>
            </w: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39"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39"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栏次</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w:t>
            </w:r>
          </w:p>
        </w:tc>
        <w:tc>
          <w:tcPr>
            <w:tcW w:w="496" w:type="pct"/>
            <w:gridSpan w:val="2"/>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合计</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198.14</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198.14</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496"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213</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农林水支出</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198.14</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198.14</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21303</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水利</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198.14</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198.14</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2130301</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行政运行</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0.83</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0.83</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2130311</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水资源节约管理与保护</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195.32</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195.32</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2130399</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其他水利支出</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2.00</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2.00</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99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67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99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67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99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67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1"/>
            <w:tcBorders>
              <w:top w:val="nil"/>
              <w:left w:val="nil"/>
              <w:bottom w:val="nil"/>
              <w:right w:val="nil"/>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注：本表反映部门本年度取得的各项收入情况。本表金额转换为万元时，因四舍五入可能存在尾数误差。</w:t>
            </w:r>
          </w:p>
        </w:tc>
        <w:tc>
          <w:tcPr>
            <w:tcW w:w="0" w:type="auto"/>
            <w:shd w:val="clear" w:color="auto" w:fill="auto"/>
            <w:vAlign w:val="center"/>
          </w:tcPr>
          <w:p>
            <w:pPr>
              <w:rPr>
                <w:rFonts w:hint="default" w:ascii="Times New Roman" w:hAnsi="Times New Roman" w:cs="Times New Roman"/>
                <w:sz w:val="20"/>
                <w:szCs w:val="20"/>
              </w:rPr>
            </w:pP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0"/>
        <w:gridCol w:w="400"/>
        <w:gridCol w:w="400"/>
        <w:gridCol w:w="3550"/>
        <w:gridCol w:w="2414"/>
        <w:gridCol w:w="1770"/>
        <w:gridCol w:w="1770"/>
        <w:gridCol w:w="1776"/>
        <w:gridCol w:w="1771"/>
        <w:gridCol w:w="1780"/>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7" w:type="dxa"/>
          <w:jc w:val="center"/>
        </w:trPr>
        <w:tc>
          <w:tcPr>
            <w:tcW w:w="5000" w:type="pct"/>
            <w:gridSpan w:val="10"/>
            <w:tcBorders>
              <w:top w:val="nil"/>
              <w:left w:val="nil"/>
              <w:bottom w:val="nil"/>
              <w:right w:val="nil"/>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25"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25"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25"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105"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753"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105" w:type="pct"/>
            <w:gridSpan w:val="3"/>
            <w:tcBorders>
              <w:top w:val="nil"/>
              <w:left w:val="nil"/>
              <w:bottom w:val="nil"/>
              <w:right w:val="nil"/>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893" w:type="pct"/>
            <w:gridSpan w:val="8"/>
            <w:tcBorders>
              <w:top w:val="nil"/>
              <w:left w:val="nil"/>
              <w:bottom w:val="nil"/>
              <w:right w:val="nil"/>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部门：永州市冷水滩区岭口水库管理所</w:t>
            </w:r>
          </w:p>
        </w:tc>
        <w:tc>
          <w:tcPr>
            <w:tcW w:w="1105" w:type="pct"/>
            <w:gridSpan w:val="3"/>
            <w:tcBorders>
              <w:top w:val="nil"/>
              <w:left w:val="nil"/>
              <w:bottom w:val="nil"/>
              <w:right w:val="nil"/>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本年支出合计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基本支出</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项目支出</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上缴上级支出</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经营支出</w:t>
            </w:r>
          </w:p>
        </w:tc>
        <w:tc>
          <w:tcPr>
            <w:tcW w:w="0" w:type="pct"/>
            <w:gridSpan w:val="2"/>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75" w:type="pct"/>
            <w:gridSpan w:val="3"/>
            <w:vMerge w:val="restart"/>
            <w:tcBorders>
              <w:top w:val="nil"/>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功能分类科目编码</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科目名称</w:t>
            </w: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75"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75"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栏次</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w:t>
            </w:r>
          </w:p>
        </w:tc>
        <w:tc>
          <w:tcPr>
            <w:tcW w:w="552" w:type="pct"/>
            <w:gridSpan w:val="2"/>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合计</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198.14</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198.14</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552"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213</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农林水支出</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198.14</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198.14</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21303</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水利</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198.14</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198.14</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2130301</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行政运行</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0.83</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0.83</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2130311</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水资源节约管理与保护</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195.32</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195.32</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2130399</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其他水利支出</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2.00</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2.00</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0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75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0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75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0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75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0"/>
            <w:tcBorders>
              <w:top w:val="nil"/>
              <w:left w:val="nil"/>
              <w:bottom w:val="nil"/>
              <w:right w:val="nil"/>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注：本表反映部门本年度各项支出情况。本表金额转换为万元时，因四舍五入可能存在尾数误差。</w:t>
            </w:r>
          </w:p>
        </w:tc>
        <w:tc>
          <w:tcPr>
            <w:tcW w:w="0" w:type="auto"/>
            <w:shd w:val="clear" w:color="auto" w:fill="auto"/>
            <w:vAlign w:val="center"/>
          </w:tcPr>
          <w:p>
            <w:pPr>
              <w:rPr>
                <w:rFonts w:hint="default" w:ascii="Times New Roman" w:hAnsi="Times New Roman" w:cs="Times New Roman"/>
                <w:sz w:val="20"/>
                <w:szCs w:val="20"/>
              </w:rPr>
            </w:pP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203"/>
        <w:gridCol w:w="528"/>
        <w:gridCol w:w="1558"/>
        <w:gridCol w:w="3691"/>
        <w:gridCol w:w="528"/>
        <w:gridCol w:w="2129"/>
        <w:gridCol w:w="1463"/>
        <w:gridCol w:w="1459"/>
        <w:gridCol w:w="1472"/>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7" w:type="dxa"/>
          <w:jc w:val="center"/>
        </w:trPr>
        <w:tc>
          <w:tcPr>
            <w:tcW w:w="5000" w:type="pct"/>
            <w:gridSpan w:val="9"/>
            <w:tcBorders>
              <w:top w:val="nil"/>
              <w:left w:val="nil"/>
              <w:bottom w:val="nil"/>
              <w:right w:val="nil"/>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99"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86"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664"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911" w:type="pct"/>
            <w:gridSpan w:val="3"/>
            <w:tcBorders>
              <w:top w:val="nil"/>
              <w:left w:val="nil"/>
              <w:bottom w:val="nil"/>
              <w:right w:val="nil"/>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4086" w:type="pct"/>
            <w:gridSpan w:val="7"/>
            <w:tcBorders>
              <w:top w:val="nil"/>
              <w:left w:val="nil"/>
              <w:bottom w:val="nil"/>
              <w:right w:val="nil"/>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部门：永州市冷水滩区岭口水库管理所</w:t>
            </w:r>
          </w:p>
        </w:tc>
        <w:tc>
          <w:tcPr>
            <w:tcW w:w="911" w:type="pct"/>
            <w:gridSpan w:val="3"/>
            <w:tcBorders>
              <w:top w:val="nil"/>
              <w:left w:val="nil"/>
              <w:bottom w:val="single" w:color="666666" w:sz="6" w:space="0"/>
              <w:right w:val="nil"/>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6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收 入</w:t>
            </w:r>
          </w:p>
        </w:tc>
        <w:tc>
          <w:tcPr>
            <w:tcW w:w="3349" w:type="pct"/>
            <w:gridSpan w:val="7"/>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行次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金额</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行次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合计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一般公共预算财政拨款</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政府性基金预算财政拨款</w:t>
            </w:r>
          </w:p>
        </w:tc>
        <w:tc>
          <w:tcPr>
            <w:tcW w:w="0" w:type="pct"/>
            <w:gridSpan w:val="2"/>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0" w:type="pct"/>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栏次</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w:t>
            </w: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栏次</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w:t>
            </w: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一、一般公共预算财政拨款</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198.14</w:t>
            </w: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一、一般公共服务支出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33</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二、政府性基金预算财政拨款</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二、外交支出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34</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三、国有资本经营财政拨款</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三、国防支出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35</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四、公共安全支出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36</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五、教育支出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37</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六、科学技术支出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38</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7</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七、文化旅游体育与传媒支出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39</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8</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八、社会保障和就业支出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40</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9</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九、卫生健康支出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41</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10</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十、节能环保支出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42</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11</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十一、城乡社区支出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43</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12</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十二、农林水支出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44</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198.14</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198.14</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13</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十三、交通运输支出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45</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14</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十四、资源勘探工业信息等支出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46</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15</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十五、商业服务业等支出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47</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16</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十六、金融支出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48</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17</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十七、援助其他地区支出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49</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18</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十八、自然资源海洋气象等支出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50</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19</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十九、住房保障支出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51</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20</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二十、粮油物资储备支出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52</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21</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二十一、国有资本经营预算支出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53</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22</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二十二、灾害防治及应急管理支出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54</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23</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二十三、其他支出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55</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24</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二十四、债务还本支出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56</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25</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二十五、债务付息支出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57</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26</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二十六、抗疫特别国债安排的支出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58</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本年收入合计</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27</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198.14</w:t>
            </w: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本年支出合计</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59</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198.14</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198.14</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年初财政拨款结转和结余</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28</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年末财政拨款结转和结余</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60</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一般公共预算财政拨款</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29</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61</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政府性基金预算财政拨款</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30</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62</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国有资本经营预算财政拨款</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31</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63</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总计</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32</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198.14</w:t>
            </w: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总计</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64</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198.14</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198.14</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9"/>
            <w:tcBorders>
              <w:top w:val="nil"/>
              <w:left w:val="nil"/>
              <w:bottom w:val="nil"/>
              <w:right w:val="nil"/>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注：本表反映部门本年度一般公共预算财政拨款、政府性基金预算财政拨款和国有资本经营预算财政拨款的总收支和年末结转结余情况。本表金额转换为万元时，因四舍五入可能存在尾数误差。</w:t>
            </w:r>
          </w:p>
        </w:tc>
        <w:tc>
          <w:tcPr>
            <w:tcW w:w="0" w:type="auto"/>
            <w:shd w:val="clear" w:color="auto" w:fill="auto"/>
            <w:vAlign w:val="center"/>
          </w:tcPr>
          <w:p>
            <w:pPr>
              <w:rPr>
                <w:rFonts w:hint="default" w:ascii="Times New Roman" w:hAnsi="Times New Roman" w:cs="Times New Roman"/>
                <w:sz w:val="20"/>
                <w:szCs w:val="20"/>
              </w:rPr>
            </w:pP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51"/>
        <w:gridCol w:w="451"/>
        <w:gridCol w:w="454"/>
        <w:gridCol w:w="5397"/>
        <w:gridCol w:w="3091"/>
        <w:gridCol w:w="3092"/>
        <w:gridCol w:w="3095"/>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7" w:type="dxa"/>
          <w:jc w:val="center"/>
        </w:trPr>
        <w:tc>
          <w:tcPr>
            <w:tcW w:w="5000" w:type="pct"/>
            <w:gridSpan w:val="7"/>
            <w:tcBorders>
              <w:top w:val="nil"/>
              <w:left w:val="nil"/>
              <w:bottom w:val="nil"/>
              <w:right w:val="nil"/>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1"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41"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41"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682"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964"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928" w:type="pct"/>
            <w:gridSpan w:val="3"/>
            <w:tcBorders>
              <w:top w:val="nil"/>
              <w:left w:val="nil"/>
              <w:bottom w:val="nil"/>
              <w:right w:val="nil"/>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071" w:type="pct"/>
            <w:gridSpan w:val="5"/>
            <w:tcBorders>
              <w:top w:val="nil"/>
              <w:left w:val="nil"/>
              <w:bottom w:val="nil"/>
              <w:right w:val="nil"/>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部门：永州市冷水滩区岭口水库管理所</w:t>
            </w:r>
          </w:p>
        </w:tc>
        <w:tc>
          <w:tcPr>
            <w:tcW w:w="1928" w:type="pct"/>
            <w:gridSpan w:val="3"/>
            <w:tcBorders>
              <w:top w:val="nil"/>
              <w:left w:val="nil"/>
              <w:bottom w:val="single" w:color="666666" w:sz="6" w:space="0"/>
              <w:right w:val="nil"/>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w:t>
            </w:r>
          </w:p>
        </w:tc>
        <w:tc>
          <w:tcPr>
            <w:tcW w:w="2892" w:type="pct"/>
            <w:gridSpan w:val="4"/>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424" w:type="pct"/>
            <w:gridSpan w:val="3"/>
            <w:vMerge w:val="restart"/>
            <w:tcBorders>
              <w:top w:val="nil"/>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功能分类科目编码</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科目名称</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小计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基本支出</w:t>
            </w:r>
          </w:p>
        </w:tc>
        <w:tc>
          <w:tcPr>
            <w:tcW w:w="0" w:type="pct"/>
            <w:gridSpan w:val="2"/>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424"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424"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栏次</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w:t>
            </w:r>
          </w:p>
        </w:tc>
        <w:tc>
          <w:tcPr>
            <w:tcW w:w="964" w:type="pct"/>
            <w:gridSpan w:val="2"/>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合计</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198.14</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198.14</w:t>
            </w:r>
          </w:p>
        </w:tc>
        <w:tc>
          <w:tcPr>
            <w:tcW w:w="964"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213</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农林水支出</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198.14</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198.14</w:t>
            </w:r>
          </w:p>
        </w:tc>
        <w:tc>
          <w:tcPr>
            <w:tcW w:w="964"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21303</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水利</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198.14</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198.14</w:t>
            </w:r>
          </w:p>
        </w:tc>
        <w:tc>
          <w:tcPr>
            <w:tcW w:w="964"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2130301</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行政运行</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0.83</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0.83</w:t>
            </w:r>
          </w:p>
        </w:tc>
        <w:tc>
          <w:tcPr>
            <w:tcW w:w="964"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2130311</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水资源节约管理与保护</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195.32</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195.32</w:t>
            </w:r>
          </w:p>
        </w:tc>
        <w:tc>
          <w:tcPr>
            <w:tcW w:w="964"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2130399</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其他水利支出</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2.00</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2.00</w:t>
            </w:r>
          </w:p>
        </w:tc>
        <w:tc>
          <w:tcPr>
            <w:tcW w:w="964"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8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964"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8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964"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8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964"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7"/>
            <w:tcBorders>
              <w:top w:val="nil"/>
              <w:left w:val="nil"/>
              <w:bottom w:val="nil"/>
              <w:right w:val="nil"/>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注：本表反映部门本年度一般公共预算财政拨款支出情况。本表金额转换为万元时，因四舍五入可能存在尾数误差。</w:t>
            </w:r>
          </w:p>
        </w:tc>
        <w:tc>
          <w:tcPr>
            <w:tcW w:w="0" w:type="auto"/>
            <w:shd w:val="clear" w:color="auto" w:fill="auto"/>
            <w:vAlign w:val="center"/>
          </w:tcPr>
          <w:p>
            <w:pPr>
              <w:rPr>
                <w:rFonts w:hint="default" w:ascii="Times New Roman" w:hAnsi="Times New Roman" w:cs="Times New Roman"/>
                <w:sz w:val="20"/>
                <w:szCs w:val="20"/>
              </w:rPr>
            </w:pP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8"/>
        <w:gridCol w:w="3380"/>
        <w:gridCol w:w="1725"/>
        <w:gridCol w:w="718"/>
        <w:gridCol w:w="2655"/>
        <w:gridCol w:w="1725"/>
        <w:gridCol w:w="724"/>
        <w:gridCol w:w="2658"/>
        <w:gridCol w:w="1728"/>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7" w:type="dxa"/>
          <w:jc w:val="center"/>
        </w:trPr>
        <w:tc>
          <w:tcPr>
            <w:tcW w:w="5000" w:type="pct"/>
            <w:gridSpan w:val="9"/>
            <w:tcBorders>
              <w:top w:val="nil"/>
              <w:left w:val="nil"/>
              <w:bottom w:val="nil"/>
              <w:right w:val="nil"/>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24"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053"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538"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828"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538"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366" w:type="pct"/>
            <w:gridSpan w:val="3"/>
            <w:tcBorders>
              <w:top w:val="nil"/>
              <w:left w:val="nil"/>
              <w:bottom w:val="nil"/>
              <w:right w:val="nil"/>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18"/>
                <w:szCs w:val="18"/>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632" w:type="pct"/>
            <w:gridSpan w:val="7"/>
            <w:tcBorders>
              <w:top w:val="nil"/>
              <w:left w:val="nil"/>
              <w:bottom w:val="nil"/>
              <w:right w:val="nil"/>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部门：永州市冷水滩区岭口水库管理所</w:t>
            </w:r>
          </w:p>
        </w:tc>
        <w:tc>
          <w:tcPr>
            <w:tcW w:w="1366" w:type="pct"/>
            <w:gridSpan w:val="3"/>
            <w:tcBorders>
              <w:top w:val="nil"/>
              <w:left w:val="nil"/>
              <w:bottom w:val="single" w:color="666666" w:sz="6" w:space="0"/>
              <w:right w:val="nil"/>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81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人员经费</w:t>
            </w:r>
          </w:p>
        </w:tc>
        <w:tc>
          <w:tcPr>
            <w:tcW w:w="3182" w:type="pct"/>
            <w:gridSpan w:val="7"/>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科目编码</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科目名称</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决算数</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科目编码</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科目名称</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决算数</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科目编码</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科目名称</w:t>
            </w:r>
          </w:p>
        </w:tc>
        <w:tc>
          <w:tcPr>
            <w:tcW w:w="0" w:type="pct"/>
            <w:gridSpan w:val="2"/>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0" w:type="pct"/>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301</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工资福利支出</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179.05</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302</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商品和服务支出</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8.99</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307</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债务利息及费用支出</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30101</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基本工资</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62.80</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30201</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办公费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1.20</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30701</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国内债务付息</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30102</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津贴补贴</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10.25</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30202</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印刷费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30702</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国外债务付息</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30103</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奖金</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28.44</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30203</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咨询费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310</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资本性支出</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30106</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伙食补助费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30204</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手续费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31001</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房屋建筑物购建</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30107</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绩效工资</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51.38</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30205</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水费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31002</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办公设备购置</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30108</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机关事业单位基本养老保险缴费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15.82</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30206</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电费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0.87</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31003</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专用设备购置</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30109</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职业年金缴费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30207</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邮电费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31005</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基础设施建设</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30110</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职工基本医疗保险缴费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10.36</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30208</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取暖费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31006</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大型修缮</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30111</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公务员医疗补助缴费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30209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物业管理费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31007</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信息网络及软件购置更新</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30112</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其他社会保障缴费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30211</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差旅费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31008</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物资储备</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30113</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住房公积金</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30212</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因公出国（境）费用</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31009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土地补偿</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30114</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医疗费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30213</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维修（护）费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3.60</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31010</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安置补助</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30199</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其他工资福利支出</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30214</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租赁费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31011</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地上附着物和青苗补偿</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303</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对个人和家庭的补助</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10.10</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30215</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会议费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31012</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拆迁补偿</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30301</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离休费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30216</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培训费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31013</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公务用车购置</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30302</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退休费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30217</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公务接待费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31019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其他交通工具购置</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30303</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退职（役）费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30218</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专用材料费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31021</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文物和陈列品购置</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30304</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抚恤金</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30224</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被装购置费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31022</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无形资产购置</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30305</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生活补助</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10.10</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30225</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专用燃料费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31099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其他资本性支出</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30306</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救济费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30226</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劳务费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1.82</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399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其他支出</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30307</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医疗费补助</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30227</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委托业务费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39906</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赠与</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30308</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助学金</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30228</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工会经费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39907</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国家赔偿费用支出</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30309</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奖励金</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30229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福利费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39908</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对民间非营利组织和群众性自治组织补贴</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30310</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个人农业生产补贴</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30231</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公务用车运行维护费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39999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其他支出</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30311</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代缴社会保险费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30239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其他交通费用</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2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30399</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其他对个人和家庭的补助</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30240</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税金及附加费用</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2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05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30299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其他商品和服务支出</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1.50</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2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78" w:type="pct"/>
            <w:gridSpan w:val="2"/>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人员经费合计</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189.15</w:t>
            </w:r>
          </w:p>
        </w:tc>
        <w:tc>
          <w:tcPr>
            <w:tcW w:w="2645" w:type="pct"/>
            <w:gridSpan w:val="5"/>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公用经费合计</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9"/>
            <w:tcBorders>
              <w:top w:val="nil"/>
              <w:left w:val="nil"/>
              <w:bottom w:val="nil"/>
              <w:right w:val="nil"/>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注：本表反映部门本年度一般公共预算财政拨款基本支出明细情况。本表金额转换为万元时，因四舍五入可能存在尾数误差。</w:t>
            </w:r>
          </w:p>
        </w:tc>
        <w:tc>
          <w:tcPr>
            <w:tcW w:w="0" w:type="auto"/>
            <w:shd w:val="clear" w:color="auto" w:fill="auto"/>
            <w:vAlign w:val="center"/>
          </w:tcPr>
          <w:p>
            <w:pPr>
              <w:rPr>
                <w:rFonts w:hint="default" w:ascii="Times New Roman" w:hAnsi="Times New Roman" w:cs="Times New Roman"/>
                <w:sz w:val="20"/>
                <w:szCs w:val="20"/>
              </w:rPr>
            </w:pP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33"/>
        <w:gridCol w:w="1333"/>
        <w:gridCol w:w="1333"/>
        <w:gridCol w:w="1333"/>
        <w:gridCol w:w="1341"/>
        <w:gridCol w:w="1347"/>
        <w:gridCol w:w="1334"/>
        <w:gridCol w:w="1334"/>
        <w:gridCol w:w="1334"/>
        <w:gridCol w:w="1341"/>
        <w:gridCol w:w="1334"/>
        <w:gridCol w:w="1334"/>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7" w:type="dxa"/>
          <w:jc w:val="center"/>
        </w:trPr>
        <w:tc>
          <w:tcPr>
            <w:tcW w:w="5000" w:type="pct"/>
            <w:gridSpan w:val="12"/>
            <w:tcBorders>
              <w:top w:val="nil"/>
              <w:left w:val="nil"/>
              <w:bottom w:val="nil"/>
              <w:right w:val="nil"/>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833" w:type="pct"/>
            <w:gridSpan w:val="3"/>
            <w:tcBorders>
              <w:top w:val="nil"/>
              <w:left w:val="nil"/>
              <w:bottom w:val="nil"/>
              <w:right w:val="nil"/>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6" w:type="pct"/>
            <w:gridSpan w:val="10"/>
            <w:tcBorders>
              <w:top w:val="nil"/>
              <w:left w:val="nil"/>
              <w:bottom w:val="nil"/>
              <w:right w:val="nil"/>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部门：永州市冷水滩区岭口水库管理所</w:t>
            </w:r>
          </w:p>
        </w:tc>
        <w:tc>
          <w:tcPr>
            <w:tcW w:w="833" w:type="pct"/>
            <w:gridSpan w:val="3"/>
            <w:tcBorders>
              <w:top w:val="nil"/>
              <w:left w:val="nil"/>
              <w:bottom w:val="single" w:color="666666" w:sz="6" w:space="0"/>
              <w:right w:val="nil"/>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500"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预算数</w:t>
            </w:r>
          </w:p>
        </w:tc>
        <w:tc>
          <w:tcPr>
            <w:tcW w:w="2500" w:type="pct"/>
            <w:gridSpan w:val="7"/>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合计</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因公出国（境）费</w:t>
            </w:r>
          </w:p>
        </w:tc>
        <w:tc>
          <w:tcPr>
            <w:tcW w:w="1250" w:type="pct"/>
            <w:gridSpan w:val="3"/>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公务用车购置及运行费</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公务接待费</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合计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因公出国（境）费</w:t>
            </w:r>
          </w:p>
        </w:tc>
        <w:tc>
          <w:tcPr>
            <w:tcW w:w="1250" w:type="pct"/>
            <w:gridSpan w:val="3"/>
            <w:tcBorders>
              <w:top w:val="single" w:color="666666" w:sz="6" w:space="0"/>
              <w:left w:val="nil"/>
              <w:bottom w:val="nil"/>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公务用车购置及运行费</w:t>
            </w:r>
          </w:p>
        </w:tc>
        <w:tc>
          <w:tcPr>
            <w:tcW w:w="0" w:type="pct"/>
            <w:gridSpan w:val="2"/>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小计</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公务用车购置费</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公务用车运行费</w:t>
            </w: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小计</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公务用车购置费</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公务用车运行费</w:t>
            </w: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7</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8</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9</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10</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11</w:t>
            </w:r>
          </w:p>
        </w:tc>
        <w:tc>
          <w:tcPr>
            <w:tcW w:w="416" w:type="pct"/>
            <w:gridSpan w:val="2"/>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16"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2"/>
            <w:tcBorders>
              <w:top w:val="nil"/>
              <w:left w:val="nil"/>
              <w:bottom w:val="nil"/>
              <w:right w:val="nil"/>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本单位没有一般公共预算财政拨款收入，也没有使用一般公共预算财政拨款安排的支出，故本表无数据。</w:t>
            </w:r>
          </w:p>
        </w:tc>
        <w:tc>
          <w:tcPr>
            <w:tcW w:w="0" w:type="auto"/>
            <w:shd w:val="clear" w:color="auto" w:fill="auto"/>
            <w:vAlign w:val="center"/>
          </w:tcPr>
          <w:p>
            <w:pPr>
              <w:rPr>
                <w:rFonts w:hint="default" w:ascii="Times New Roman" w:hAnsi="Times New Roman" w:cs="Times New Roman"/>
                <w:sz w:val="20"/>
                <w:szCs w:val="20"/>
              </w:rPr>
            </w:pP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3"/>
        <w:gridCol w:w="333"/>
        <w:gridCol w:w="333"/>
        <w:gridCol w:w="3457"/>
        <w:gridCol w:w="1179"/>
        <w:gridCol w:w="1968"/>
        <w:gridCol w:w="1074"/>
        <w:gridCol w:w="1523"/>
        <w:gridCol w:w="1517"/>
        <w:gridCol w:w="4314"/>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7" w:type="dxa"/>
          <w:jc w:val="center"/>
        </w:trPr>
        <w:tc>
          <w:tcPr>
            <w:tcW w:w="5000" w:type="pct"/>
            <w:gridSpan w:val="10"/>
            <w:tcBorders>
              <w:top w:val="nil"/>
              <w:left w:val="nil"/>
              <w:bottom w:val="nil"/>
              <w:right w:val="nil"/>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04"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04"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04"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078"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368"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614"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335"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73"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816" w:type="pct"/>
            <w:gridSpan w:val="3"/>
            <w:tcBorders>
              <w:top w:val="nil"/>
              <w:left w:val="nil"/>
              <w:bottom w:val="nil"/>
              <w:right w:val="nil"/>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82" w:type="pct"/>
            <w:gridSpan w:val="8"/>
            <w:tcBorders>
              <w:top w:val="nil"/>
              <w:left w:val="nil"/>
              <w:bottom w:val="nil"/>
              <w:right w:val="nil"/>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部门：永州市冷水滩区岭口水库管理所</w:t>
            </w:r>
          </w:p>
        </w:tc>
        <w:tc>
          <w:tcPr>
            <w:tcW w:w="1816" w:type="pct"/>
            <w:gridSpan w:val="3"/>
            <w:tcBorders>
              <w:top w:val="nil"/>
              <w:left w:val="nil"/>
              <w:bottom w:val="nil"/>
              <w:right w:val="nil"/>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年初结转和结余</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本年收入</w:t>
            </w:r>
          </w:p>
        </w:tc>
        <w:tc>
          <w:tcPr>
            <w:tcW w:w="1281" w:type="pct"/>
            <w:gridSpan w:val="3"/>
            <w:tcBorders>
              <w:top w:val="single" w:color="666666" w:sz="6" w:space="0"/>
              <w:left w:val="nil"/>
              <w:bottom w:val="nil"/>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本年支出</w:t>
            </w:r>
          </w:p>
        </w:tc>
        <w:tc>
          <w:tcPr>
            <w:tcW w:w="0" w:type="pct"/>
            <w:gridSpan w:val="2"/>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2" w:type="pct"/>
            <w:gridSpan w:val="3"/>
            <w:vMerge w:val="restart"/>
            <w:tcBorders>
              <w:top w:val="nil"/>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功能分类科目编码</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科目名称</w:t>
            </w: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restart"/>
            <w:tcBorders>
              <w:top w:val="nil"/>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小计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基本支出</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项目支出</w:t>
            </w: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栏次</w:t>
            </w:r>
          </w:p>
        </w:tc>
        <w:tc>
          <w:tcPr>
            <w:tcW w:w="368"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w:t>
            </w:r>
          </w:p>
        </w:tc>
        <w:tc>
          <w:tcPr>
            <w:tcW w:w="614"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w:t>
            </w:r>
          </w:p>
        </w:tc>
        <w:tc>
          <w:tcPr>
            <w:tcW w:w="335"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w:t>
            </w:r>
          </w:p>
        </w:tc>
        <w:tc>
          <w:tcPr>
            <w:tcW w:w="47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w:t>
            </w:r>
          </w:p>
        </w:tc>
        <w:tc>
          <w:tcPr>
            <w:tcW w:w="47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w:t>
            </w:r>
          </w:p>
        </w:tc>
        <w:tc>
          <w:tcPr>
            <w:tcW w:w="1343" w:type="pct"/>
            <w:gridSpan w:val="2"/>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合计</w:t>
            </w:r>
          </w:p>
        </w:tc>
        <w:tc>
          <w:tcPr>
            <w:tcW w:w="36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1343"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07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36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343"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07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36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343"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07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36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343"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07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36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343"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07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36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343"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07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36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343"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0"/>
            <w:tcBorders>
              <w:top w:val="nil"/>
              <w:left w:val="nil"/>
              <w:bottom w:val="nil"/>
              <w:right w:val="nil"/>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注：本表反映部门本年度政府性基金预算财政拨款收入、支出及结转和结余情况。本单位没有政府性基金收入，也没有使用政府性基金安排的支出，故本表无数据。</w:t>
            </w:r>
          </w:p>
        </w:tc>
        <w:tc>
          <w:tcPr>
            <w:tcW w:w="0" w:type="auto"/>
            <w:shd w:val="clear" w:color="auto" w:fill="auto"/>
            <w:vAlign w:val="center"/>
          </w:tcPr>
          <w:p>
            <w:pPr>
              <w:rPr>
                <w:rFonts w:hint="default" w:ascii="Times New Roman" w:hAnsi="Times New Roman" w:cs="Times New Roman"/>
                <w:sz w:val="20"/>
                <w:szCs w:val="20"/>
              </w:rPr>
            </w:pP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8"/>
        <w:gridCol w:w="528"/>
        <w:gridCol w:w="531"/>
        <w:gridCol w:w="6328"/>
        <w:gridCol w:w="2706"/>
        <w:gridCol w:w="2703"/>
        <w:gridCol w:w="2707"/>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7" w:type="dxa"/>
          <w:jc w:val="center"/>
        </w:trPr>
        <w:tc>
          <w:tcPr>
            <w:tcW w:w="5000" w:type="pct"/>
            <w:gridSpan w:val="7"/>
            <w:tcBorders>
              <w:top w:val="nil"/>
              <w:left w:val="nil"/>
              <w:bottom w:val="nil"/>
              <w:right w:val="nil"/>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65"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971"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843"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686" w:type="pct"/>
            <w:gridSpan w:val="3"/>
            <w:tcBorders>
              <w:top w:val="nil"/>
              <w:left w:val="nil"/>
              <w:bottom w:val="nil"/>
              <w:right w:val="nil"/>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313" w:type="pct"/>
            <w:gridSpan w:val="5"/>
            <w:tcBorders>
              <w:top w:val="nil"/>
              <w:left w:val="nil"/>
              <w:bottom w:val="nil"/>
              <w:right w:val="nil"/>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部门：永州市冷水滩区岭口水库管理所</w:t>
            </w:r>
          </w:p>
        </w:tc>
        <w:tc>
          <w:tcPr>
            <w:tcW w:w="1686" w:type="pct"/>
            <w:gridSpan w:val="3"/>
            <w:tcBorders>
              <w:top w:val="nil"/>
              <w:left w:val="nil"/>
              <w:bottom w:val="single" w:color="666666" w:sz="6" w:space="0"/>
              <w:right w:val="nil"/>
            </w:tcBorders>
            <w:shd w:val="clear" w:color="auto" w:fill="auto"/>
            <w:vAlign w:val="center"/>
          </w:tcPr>
          <w:p>
            <w:pPr>
              <w:pStyle w:val="25"/>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w:t>
            </w:r>
          </w:p>
        </w:tc>
        <w:tc>
          <w:tcPr>
            <w:tcW w:w="2530" w:type="pct"/>
            <w:gridSpan w:val="4"/>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496" w:type="pct"/>
            <w:gridSpan w:val="3"/>
            <w:vMerge w:val="restart"/>
            <w:tcBorders>
              <w:top w:val="nil"/>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功能分类科目编码</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科目名称</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合计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基本支出</w:t>
            </w:r>
          </w:p>
        </w:tc>
        <w:tc>
          <w:tcPr>
            <w:tcW w:w="0" w:type="pct"/>
            <w:gridSpan w:val="2"/>
            <w:vMerge w:val="restar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栏次</w:t>
            </w: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w:t>
            </w: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w:t>
            </w:r>
          </w:p>
        </w:tc>
        <w:tc>
          <w:tcPr>
            <w:tcW w:w="843" w:type="pct"/>
            <w:gridSpan w:val="2"/>
            <w:tcBorders>
              <w:top w:val="single" w:color="666666" w:sz="6" w:space="0"/>
              <w:left w:val="nil"/>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合计</w:t>
            </w: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843"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971"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971"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971"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971"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971"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971"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7"/>
            <w:tcBorders>
              <w:top w:val="nil"/>
              <w:left w:val="nil"/>
              <w:bottom w:val="nil"/>
              <w:right w:val="nil"/>
            </w:tcBorders>
            <w:shd w:val="clear" w:color="auto" w:fill="auto"/>
            <w:vAlign w:val="center"/>
          </w:tcPr>
          <w:p>
            <w:pPr>
              <w:pStyle w:val="25"/>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注：本表反映部门本年度国有资本经营预算财政拨款支出情况。本单位没有国有资本经营预算财政拨款收入，也没有使用国有资本经营预算财政拨款安排的支出，故本表无数据。</w:t>
            </w:r>
          </w:p>
        </w:tc>
        <w:tc>
          <w:tcPr>
            <w:tcW w:w="0" w:type="auto"/>
            <w:shd w:val="clear" w:color="auto" w:fill="auto"/>
            <w:vAlign w:val="center"/>
          </w:tcPr>
          <w:p>
            <w:pPr>
              <w:rPr>
                <w:rFonts w:hint="default" w:ascii="Times New Roman" w:hAnsi="Times New Roman" w:cs="Times New Roman"/>
                <w:sz w:val="20"/>
                <w:szCs w:val="20"/>
              </w:rPr>
            </w:pPr>
          </w:p>
        </w:tc>
      </w:tr>
    </w:tbl>
    <w:p>
      <w:pPr>
        <w:rPr>
          <w:rFonts w:hint="default" w:ascii="等线" w:hAnsi="等线" w:eastAsia="等线" w:cs="Times New Roman"/>
          <w:color w:val="000000"/>
          <w:kern w:val="2"/>
          <w:sz w:val="32"/>
          <w:szCs w:val="32"/>
        </w:rPr>
        <w:sectPr>
          <w:pgSz w:w="16838" w:h="11906"/>
          <w:pgMar w:top="1080" w:right="400" w:bottom="1080" w:left="400" w:header="851" w:footer="992" w:gutter="0"/>
          <w:cols w:space="0" w:num="1"/>
          <w:docGrid w:type="lines" w:linePitch="160" w:charSpace="0"/>
        </w:sectPr>
      </w:pPr>
    </w:p>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第三部分 2021年度部门决算情况说明</w:t>
      </w:r>
      <w:r>
        <w:rPr>
          <w:rFonts w:hint="default" w:ascii="等线" w:hAnsi="等线" w:eastAsia="等线" w:cs="Times New Roman"/>
          <w:color w:val="000000"/>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一、收入支出决算总体情况说明</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2021年度收、支总计198.14万元。与上一年度相比，收、支总计各减少9.44万元，下降4.55%。主要是因为人员变动，工资调整。</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二、收入决算情况说明</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2021年度收入合计198.14万元，其中：财政拨款收入198.14万元，占100%；上级补助收入0万元，占0%；事业收入0万元，占0%；经营收入0万元，占0%；附属单位上缴收入0万元，占0%；其他收入0万元，占0%。</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三、支出决算情况说明</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2021年度支出合计198.14万元，其中：基本支出198.14万元，占100%；项目支出0万元，占0%；上缴上级支出0万元，占0%；经营支出0万元，占0%；对附属单位补助支出0万元，占0%。</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四、财政拨款收入支出决算总体情况说明</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2021年度财政拨款收、支总计198.14万元。与上一年度相比，财政拨款收、支总计各减少9.44万元，下降4.55%。主要是因为人员变动，工资调整。</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五、一般公共预算财政拨款支出决算情况说明</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（一）财政拨款支出决算总体情况</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855"/>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2021年度财政拨款支出198.14万元，占本年支出合计的100%。与上一年度相比，财政拨款支出减少9.44万元，下降4.55%。主要是因为人员变动，工资调整。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（二）财政拨款支出决算结构情况</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2021年度财政拨款支出198.14万元，主要用于以下方面：农林水支出198.14万元，占100%。</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（三）财政拨款支出决算具体情况</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2021年度财政拨款支出年初预算数为285.49万元，支出决算数为198.14万元，完成年初预算的69.4%，其中：</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1"/>
        <w:rPr>
          <w:rFonts w:hint="default" w:ascii="等线" w:hAnsi="等线" w:eastAsia="等线" w:cs="Times New Roman"/>
          <w:kern w:val="2"/>
          <w:sz w:val="27"/>
          <w:szCs w:val="27"/>
        </w:rPr>
      </w:pPr>
      <w:r>
        <w:rPr>
          <w:rStyle w:val="18"/>
          <w:rFonts w:hint="eastAsia" w:ascii="宋体" w:hAnsi="宋体" w:eastAsia="宋体" w:cs="宋体"/>
          <w:b/>
          <w:bCs w:val="0"/>
          <w:color w:val="000000"/>
          <w:sz w:val="32"/>
          <w:szCs w:val="32"/>
        </w:rPr>
        <w:t>1、农林水支出（类）水利（款）行政运行（项）</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年初预算为0万元，支出决算为0.83万元，</w:t>
      </w:r>
      <w:r>
        <w:rPr>
          <w:rFonts w:hint="eastAsia" w:ascii="宋体" w:hAnsi="宋体" w:eastAsia="宋体" w:cs="宋体"/>
          <w:color w:val="000000"/>
          <w:kern w:val="2"/>
          <w:sz w:val="32"/>
          <w:szCs w:val="32"/>
          <w:lang w:eastAsia="zh-CN"/>
        </w:rPr>
        <w:t>由于预算数为0，无法计算百分比</w:t>
      </w:r>
      <w:r>
        <w:rPr>
          <w:rFonts w:hint="eastAsia" w:ascii="宋体" w:hAnsi="宋体" w:eastAsia="宋体" w:cs="宋体"/>
          <w:color w:val="000000"/>
          <w:kern w:val="2"/>
          <w:sz w:val="32"/>
          <w:szCs w:val="32"/>
        </w:rPr>
        <w:t>。决算数大于年初预算数的主要原因是：人员变动、单位部分预算由财政安排。</w:t>
      </w:r>
    </w:p>
    <w:p>
      <w:pPr>
        <w:pStyle w:val="28"/>
        <w:spacing w:before="0" w:beforeAutospacing="0" w:after="2" w:afterAutospacing="0"/>
        <w:ind w:left="0" w:firstLine="641"/>
        <w:rPr>
          <w:rFonts w:hint="default" w:ascii="等线" w:hAnsi="等线" w:eastAsia="等线" w:cs="Times New Roman"/>
          <w:kern w:val="2"/>
          <w:sz w:val="27"/>
          <w:szCs w:val="27"/>
        </w:rPr>
      </w:pPr>
      <w:r>
        <w:rPr>
          <w:rStyle w:val="18"/>
          <w:rFonts w:hint="eastAsia" w:ascii="宋体" w:hAnsi="宋体" w:eastAsia="宋体" w:cs="宋体"/>
          <w:b/>
          <w:bCs w:val="0"/>
          <w:color w:val="000000"/>
          <w:sz w:val="32"/>
          <w:szCs w:val="32"/>
        </w:rPr>
        <w:t>2、农林水支出（类）水利（款）水资源节约管理与保护（项）</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年初预算为273.94万元，支出决算为195.32万元，完成年初预算的71.3%。决算数小于年初预算数的主要原因是：人员变动。</w:t>
      </w:r>
    </w:p>
    <w:p>
      <w:pPr>
        <w:pStyle w:val="28"/>
        <w:spacing w:before="0" w:beforeAutospacing="0" w:after="2" w:afterAutospacing="0"/>
        <w:ind w:left="0" w:firstLine="641"/>
        <w:rPr>
          <w:rFonts w:hint="default" w:ascii="等线" w:hAnsi="等线" w:eastAsia="等线" w:cs="Times New Roman"/>
          <w:kern w:val="2"/>
          <w:sz w:val="27"/>
          <w:szCs w:val="27"/>
        </w:rPr>
      </w:pPr>
      <w:r>
        <w:rPr>
          <w:rStyle w:val="18"/>
          <w:rFonts w:hint="eastAsia" w:ascii="宋体" w:hAnsi="宋体" w:eastAsia="宋体" w:cs="宋体"/>
          <w:b/>
          <w:bCs w:val="0"/>
          <w:color w:val="000000"/>
          <w:sz w:val="32"/>
          <w:szCs w:val="32"/>
        </w:rPr>
        <w:t>3、农林水支出（类）水利（款）其他水利支出（项）</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年初预算为0万元，支出决算为2万元，</w:t>
      </w:r>
      <w:r>
        <w:rPr>
          <w:rFonts w:hint="eastAsia" w:ascii="宋体" w:hAnsi="宋体" w:eastAsia="宋体" w:cs="宋体"/>
          <w:color w:val="000000"/>
          <w:kern w:val="2"/>
          <w:sz w:val="32"/>
          <w:szCs w:val="32"/>
          <w:lang w:eastAsia="zh-CN"/>
        </w:rPr>
        <w:t>由于预算数为0，无法计算百分比</w:t>
      </w:r>
      <w:r>
        <w:rPr>
          <w:rFonts w:hint="eastAsia" w:ascii="宋体" w:hAnsi="宋体" w:eastAsia="宋体" w:cs="宋体"/>
          <w:color w:val="000000"/>
          <w:kern w:val="2"/>
          <w:sz w:val="32"/>
          <w:szCs w:val="32"/>
        </w:rPr>
        <w:t>。决算数大于年初预算数的主要原因是：人员变动。</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六、一般公共预算财政拨款基本支出决算情况说明</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基本支出198.14万元，其中：人员经费189.15万元，占基本支出的95.46%，主要包括：基本工资、津贴补贴、奖金、绩效工资、机关事业单位基本养老保险缴费、职工基本医疗保险缴费、生活补助。公用经费8.99万元，占基本支出的4.54%，主要包括：办公费、电费、维修（护）费、劳务费、其他商品和服务支出。</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七、一般公共预算财政拨款三公经费支出决算情况说明</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（一）“三公”经费财政拨款支出决算总体情况说明</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2021年度“三公”经费财政拨款支出预算为0万元，支出决算为0万元，完成预算的100%，</w:t>
      </w:r>
    </w:p>
    <w:p>
      <w:pPr>
        <w:pStyle w:val="2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其中：</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因公出国（境）费支出预算为0万元，支出决算为0万元，决算数与预算数一致，我单位严格按预算执行决算，因公出国（境）费支出与上年持平。</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公务接待费支出预算为0万元，支出决算为0万元，决算数与预算数一致，我单位严格按预算执行决算，公务接待费支出与上年持平。</w:t>
      </w:r>
    </w:p>
    <w:p>
      <w:pPr>
        <w:pStyle w:val="2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公务用车购置费支出预算为0万元，支出决算为0万元，决算数与预算数一致，我单位严格按预算执行决算，公务用车购置费支出与上年持平。</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公务用车运行维护费支出预算为0万元，支出决算为0万元，决算数与预算数一致，我单位严格按预算执行决算，公务用车运行维护费支出与上年持平。</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（二）“三公”经费财政拨款支出决算具体情况说明</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2021年度“三公”经费财政拨款支出决算中，公务接待费支出决算0万元，占0%，因公出国（境）费支出决算0万元，占0%，公务用车购置费及运行维护费支出决算0万元，占0%。其中：</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1、因公出国（境）费支出决算为0万元，全年安排因公出国（境）团组0个，累计0人次，我单位2021年度无因公出国（境）费支出。</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2、公务接待费支出决算为0万元，全年共接待来访团组0个、来宾0人次，我单位2021年度无公务接待费支出。</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3、公务用车购置费及运行维护费支出决算为0万元，其中：公务用车购置费0万元。公务用车运行维护费0万元，截至2021年12月31日，我单位开支财政拨款的公务用车保有量为0辆。我单位2021年度无公务用车购置费及运行维护费支出。</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八、政府性基金预算收入支出决算情况</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冷水滩区岭口水库管理所2021年度没有政府性基金收入，也没有使用政府性基金安排的支出，并已公开空表。 </w:t>
      </w:r>
    </w:p>
    <w:p>
      <w:pPr>
        <w:pStyle w:val="2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九、关于机关运行经费支出说明</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冷水滩区岭口水库管理所为财政补助事业单位，没有机关运行经费。 </w:t>
      </w:r>
    </w:p>
    <w:p>
      <w:pPr>
        <w:pStyle w:val="2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十、一般性支出情况</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2021年度冷水滩区岭口水库管理所开支会议费0万元，我单位2021年度无会议费支出；开支培训费0万元，我单位2021年度无培训费支出；举办0场节庆、晚会、论坛、赛事活动，开支0万元，无相关活动计划。</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十一、关于政府采购支出说明</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0"/>
        <w:jc w:val="both"/>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冷水滩区岭口水库管理所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货物采购授予中小企业合同金额占货物支出金额的0%，工程采购授予中小企业合同金额占工程支出金额的0%，服务采购授予中小企业合同金额占服务支出金额的0%。 </w:t>
      </w:r>
    </w:p>
    <w:p>
      <w:pPr>
        <w:pStyle w:val="2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十二、关于国有资产占用情况说明</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截至2021年12月31日，冷水滩区岭口水库管理所共有车辆0辆（台），其中：机要通信用车0辆、应急保障用车0辆、执法执勤用车0辆、特种专业技术用车0辆、其他用车0辆；单价50万元（含）以上通用设备0台（套），单价100万元（含）以上专用设备0台（套）。</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十三、关于2021年度预算绩效情况说明</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0"/>
        <w:rPr>
          <w:rFonts w:hint="default" w:ascii="等线" w:hAnsi="等线" w:eastAsia="等线" w:cs="Times New Roman"/>
          <w:kern w:val="2"/>
          <w:sz w:val="27"/>
          <w:szCs w:val="27"/>
        </w:rPr>
      </w:pPr>
      <w:r>
        <w:rPr>
          <w:rStyle w:val="18"/>
          <w:rFonts w:hint="eastAsia" w:ascii="宋体" w:hAnsi="宋体" w:eastAsia="宋体" w:cs="宋体"/>
          <w:b/>
          <w:bCs w:val="0"/>
          <w:color w:val="000000"/>
          <w:sz w:val="36"/>
          <w:szCs w:val="36"/>
        </w:rPr>
        <w:t>（1）绩效管理评价工作开展情况。</w:t>
      </w:r>
    </w:p>
    <w:p>
      <w:pPr>
        <w:pStyle w:val="28"/>
        <w:keepNext w:val="0"/>
        <w:keepLines w:val="0"/>
        <w:widowControl w:val="0"/>
        <w:suppressLineNumbers w:val="0"/>
        <w:autoSpaceDE w:val="0"/>
        <w:autoSpaceDN/>
        <w:spacing w:before="0" w:beforeAutospacing="0" w:after="2" w:afterAutospacing="0"/>
        <w:ind w:left="0" w:firstLine="640" w:firstLineChars="200"/>
        <w:jc w:val="left"/>
        <w:rPr>
          <w:rFonts w:hint="default" w:ascii="等线" w:hAnsi="等线" w:eastAsia="等线" w:cs="Times New Roman"/>
          <w:kern w:val="2"/>
          <w:sz w:val="27"/>
          <w:szCs w:val="27"/>
        </w:rPr>
      </w:pPr>
      <w:r>
        <w:rPr>
          <w:rFonts w:hint="eastAsia" w:ascii="宋体" w:hAnsi="宋体" w:eastAsia="宋体" w:cs="宋体"/>
          <w:color w:val="000000"/>
          <w:kern w:val="2"/>
          <w:sz w:val="32"/>
          <w:szCs w:val="32"/>
        </w:rPr>
        <w:t>今年收支预算内，确保完成以下整体目标：</w:t>
      </w:r>
      <w:r>
        <w:rPr>
          <w:rFonts w:hint="eastAsia" w:ascii="宋体" w:hAnsi="宋体" w:eastAsia="宋体" w:cs="宋体"/>
          <w:color w:val="000000"/>
          <w:kern w:val="2"/>
          <w:sz w:val="32"/>
          <w:szCs w:val="32"/>
        </w:rPr>
        <w:br w:type="textWrapping"/>
      </w:r>
      <w:r>
        <w:rPr>
          <w:rFonts w:hint="eastAsia" w:ascii="宋体" w:hAnsi="宋体" w:eastAsia="宋体" w:cs="宋体"/>
          <w:color w:val="000000"/>
          <w:kern w:val="2"/>
          <w:sz w:val="32"/>
          <w:szCs w:val="32"/>
        </w:rPr>
        <w:t xml:space="preserve">    1、保障单位正常运转，保障干部职工工资及福利发放。</w:t>
      </w:r>
      <w:r>
        <w:rPr>
          <w:rFonts w:hint="eastAsia" w:ascii="宋体" w:hAnsi="宋体" w:eastAsia="宋体" w:cs="宋体"/>
          <w:color w:val="000000"/>
          <w:kern w:val="2"/>
          <w:sz w:val="32"/>
          <w:szCs w:val="32"/>
        </w:rPr>
        <w:br w:type="textWrapping"/>
      </w:r>
      <w:r>
        <w:rPr>
          <w:rFonts w:hint="eastAsia" w:ascii="宋体" w:hAnsi="宋体" w:eastAsia="宋体" w:cs="宋体"/>
          <w:color w:val="000000"/>
          <w:kern w:val="2"/>
          <w:sz w:val="32"/>
          <w:szCs w:val="32"/>
        </w:rPr>
        <w:t xml:space="preserve">    2、水库大坝枢纽及供水渠道工程的运行管理，维修养护，更新改造。</w:t>
      </w:r>
      <w:r>
        <w:rPr>
          <w:rFonts w:hint="eastAsia" w:ascii="宋体" w:hAnsi="宋体" w:eastAsia="宋体" w:cs="宋体"/>
          <w:color w:val="000000"/>
          <w:kern w:val="2"/>
          <w:sz w:val="32"/>
          <w:szCs w:val="32"/>
        </w:rPr>
        <w:br w:type="textWrapping"/>
      </w:r>
      <w:r>
        <w:rPr>
          <w:rFonts w:hint="eastAsia" w:ascii="宋体" w:hAnsi="宋体" w:eastAsia="宋体" w:cs="宋体"/>
          <w:color w:val="000000"/>
          <w:kern w:val="2"/>
          <w:sz w:val="32"/>
          <w:szCs w:val="32"/>
        </w:rPr>
        <w:t xml:space="preserve">    3、做好水库蓄水、</w:t>
      </w:r>
      <w:r>
        <w:rPr>
          <w:rFonts w:hint="eastAsia" w:ascii="宋体" w:hAnsi="宋体" w:eastAsia="宋体" w:cs="宋体"/>
          <w:color w:val="000000"/>
          <w:kern w:val="2"/>
          <w:sz w:val="32"/>
          <w:szCs w:val="32"/>
          <w:lang w:eastAsia="zh-CN"/>
        </w:rPr>
        <w:t>防汛</w:t>
      </w:r>
      <w:r>
        <w:rPr>
          <w:rFonts w:hint="eastAsia" w:ascii="宋体" w:hAnsi="宋体" w:eastAsia="宋体" w:cs="宋体"/>
          <w:color w:val="000000"/>
          <w:kern w:val="2"/>
          <w:sz w:val="32"/>
          <w:szCs w:val="32"/>
        </w:rPr>
        <w:t>、供水及水量调度，加强水库水源的保护和监测，保护和改善水质。</w:t>
      </w:r>
      <w:r>
        <w:rPr>
          <w:rFonts w:hint="eastAsia" w:ascii="宋体" w:hAnsi="宋体" w:eastAsia="宋体" w:cs="宋体"/>
          <w:color w:val="000000"/>
          <w:kern w:val="2"/>
          <w:sz w:val="32"/>
          <w:szCs w:val="32"/>
        </w:rPr>
        <w:br w:type="textWrapping"/>
      </w:r>
      <w:r>
        <w:rPr>
          <w:rFonts w:hint="eastAsia" w:ascii="宋体" w:hAnsi="宋体" w:eastAsia="宋体" w:cs="宋体"/>
          <w:color w:val="000000"/>
          <w:kern w:val="2"/>
          <w:sz w:val="32"/>
          <w:szCs w:val="32"/>
        </w:rPr>
        <w:t xml:space="preserve">    4、各项指标值完成100%</w:t>
      </w:r>
    </w:p>
    <w:p>
      <w:pPr>
        <w:pStyle w:val="28"/>
        <w:spacing w:before="0" w:beforeAutospacing="0" w:after="2" w:afterAutospacing="0"/>
        <w:ind w:left="0" w:firstLine="640"/>
        <w:rPr>
          <w:rFonts w:hint="default" w:ascii="等线" w:hAnsi="等线" w:eastAsia="等线" w:cs="Times New Roman"/>
          <w:kern w:val="2"/>
          <w:sz w:val="27"/>
          <w:szCs w:val="27"/>
        </w:rPr>
      </w:pPr>
      <w:r>
        <w:rPr>
          <w:rStyle w:val="18"/>
          <w:rFonts w:hint="eastAsia" w:ascii="宋体" w:hAnsi="宋体" w:eastAsia="宋体" w:cs="宋体"/>
          <w:b/>
          <w:bCs w:val="0"/>
          <w:color w:val="000000"/>
          <w:sz w:val="36"/>
          <w:szCs w:val="36"/>
        </w:rPr>
        <w:t>（2）部门决算中项目绩效自评结果（如有）。</w:t>
      </w:r>
      <w:r>
        <w:rPr>
          <w:rFonts w:hint="default" w:ascii="等线" w:hAnsi="等线" w:eastAsia="等线" w:cs="Times New Roman"/>
          <w:color w:val="000000"/>
          <w:kern w:val="2"/>
          <w:sz w:val="27"/>
          <w:szCs w:val="27"/>
        </w:rPr>
        <w:t xml:space="preserve"> </w:t>
      </w:r>
    </w:p>
    <w:p>
      <w:pPr>
        <w:pStyle w:val="2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lang w:eastAsia="zh-CN"/>
        </w:rPr>
        <w:t>本单位无项目支出</w:t>
      </w:r>
      <w:r>
        <w:rPr>
          <w:rFonts w:hint="default" w:ascii="等线" w:hAnsi="等线" w:eastAsia="等线" w:cs="等线"/>
          <w:color w:val="000000"/>
          <w:kern w:val="2"/>
          <w:sz w:val="27"/>
          <w:szCs w:val="27"/>
        </w:rPr>
        <w:t>。</w:t>
      </w:r>
    </w:p>
    <w:p>
      <w:pPr>
        <w:pStyle w:val="28"/>
        <w:spacing w:before="0" w:beforeAutospacing="0" w:after="2" w:afterAutospacing="0"/>
        <w:ind w:left="0" w:firstLine="640"/>
        <w:rPr>
          <w:rFonts w:hint="default" w:ascii="等线" w:hAnsi="等线" w:eastAsia="等线" w:cs="Times New Roman"/>
          <w:kern w:val="2"/>
          <w:sz w:val="27"/>
          <w:szCs w:val="27"/>
        </w:rPr>
      </w:pPr>
      <w:r>
        <w:rPr>
          <w:rStyle w:val="18"/>
          <w:rFonts w:hint="eastAsia" w:ascii="宋体" w:hAnsi="宋体" w:eastAsia="宋体" w:cs="宋体"/>
          <w:b/>
          <w:bCs w:val="0"/>
          <w:color w:val="000000"/>
          <w:sz w:val="36"/>
          <w:szCs w:val="36"/>
        </w:rPr>
        <w:t>（3）部门评价项目绩效评价结果。</w:t>
      </w:r>
    </w:p>
    <w:p>
      <w:pPr>
        <w:pStyle w:val="2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部门评价项目数量3个以内的，至少将1个部门评价报告向社会公开；部门评价项目数量大于3个的，至少将2个部门评价报告向社会公开。报告框架可参考《项目支出绩效评价办法》（财预〔2020〕10 号）中《项目支出绩效评价报告（参考提纲）》、《湖南省预算支出绩效评价管理办法》（湘财绩〔2020〕7号）。</w:t>
      </w:r>
      <w:r>
        <w:rPr>
          <w:rFonts w:hint="default" w:ascii="等线" w:hAnsi="等线" w:eastAsia="等线" w:cs="Times New Roman"/>
          <w:color w:val="000000"/>
          <w:kern w:val="2"/>
          <w:sz w:val="27"/>
          <w:szCs w:val="27"/>
        </w:rPr>
        <w:t xml:space="preserve"> </w:t>
      </w:r>
    </w:p>
    <w:p>
      <w:pPr>
        <w:pStyle w:val="25"/>
        <w:keepNext w:val="0"/>
        <w:keepLines w:val="0"/>
        <w:widowControl/>
        <w:suppressLineNumbers w:val="0"/>
        <w:spacing w:before="0" w:beforeAutospacing="0" w:after="2" w:afterAutospacing="0"/>
        <w:jc w:val="both"/>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25"/>
        <w:keepNext w:val="0"/>
        <w:keepLines w:val="0"/>
        <w:widowControl/>
        <w:suppressLineNumbers w:val="0"/>
        <w:spacing w:before="0" w:beforeAutospacing="0" w:after="2" w:afterAutospacing="0"/>
        <w:jc w:val="both"/>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25"/>
        <w:keepNext w:val="0"/>
        <w:keepLines w:val="0"/>
        <w:widowControl/>
        <w:suppressLineNumbers w:val="0"/>
        <w:spacing w:before="0" w:beforeAutospacing="0" w:after="2" w:afterAutospacing="0"/>
        <w:jc w:val="both"/>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第四部分 名词解释</w:t>
      </w:r>
      <w:r>
        <w:rPr>
          <w:rFonts w:hint="default" w:ascii="等线" w:hAnsi="等线" w:eastAsia="等线" w:cs="Times New Roman"/>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财政拨款收入</w:t>
      </w:r>
      <w:r>
        <w:rPr>
          <w:rFonts w:hint="eastAsia" w:ascii="宋体" w:hAnsi="宋体" w:eastAsia="宋体" w:cs="宋体"/>
          <w:color w:val="000000"/>
          <w:kern w:val="2"/>
          <w:sz w:val="32"/>
          <w:szCs w:val="32"/>
        </w:rPr>
        <w:t>：指财政当年拨付的资金。包括一般公共预算财政拨款和政府性基金财政拨款。</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上级补助收入</w:t>
      </w:r>
      <w:r>
        <w:rPr>
          <w:rFonts w:hint="eastAsia" w:ascii="宋体" w:hAnsi="宋体" w:eastAsia="宋体" w:cs="宋体"/>
          <w:color w:val="000000"/>
          <w:kern w:val="2"/>
          <w:sz w:val="32"/>
          <w:szCs w:val="32"/>
        </w:rPr>
        <w:t>：指事业单位从主管部门和上级单位取得的非财政补助收入。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事业收入：</w:t>
      </w:r>
      <w:r>
        <w:rPr>
          <w:rFonts w:hint="eastAsia" w:ascii="宋体" w:hAnsi="宋体" w:eastAsia="宋体" w:cs="宋体"/>
          <w:color w:val="000000"/>
          <w:kern w:val="2"/>
          <w:sz w:val="32"/>
          <w:szCs w:val="32"/>
        </w:rPr>
        <w:t>指事业单位开展专业业务活动及辅助活动所取得的收入。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经营收入：</w:t>
      </w:r>
      <w:r>
        <w:rPr>
          <w:rFonts w:hint="eastAsia" w:ascii="宋体" w:hAnsi="宋体" w:eastAsia="宋体" w:cs="宋体"/>
          <w:color w:val="000000"/>
          <w:kern w:val="2"/>
          <w:sz w:val="32"/>
          <w:szCs w:val="32"/>
        </w:rPr>
        <w:t>指事业单位在专业业务活动及其辅助活动之外开展非独立核算经营活动取得的收入。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附属单位上缴收入</w:t>
      </w:r>
      <w:r>
        <w:rPr>
          <w:rFonts w:hint="eastAsia" w:ascii="宋体" w:hAnsi="宋体" w:eastAsia="宋体" w:cs="宋体"/>
          <w:color w:val="000000"/>
          <w:kern w:val="2"/>
          <w:sz w:val="32"/>
          <w:szCs w:val="32"/>
        </w:rPr>
        <w:t>：指事业单位附属独立核算单位按照有关规定上缴的收入。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其他收入</w:t>
      </w:r>
      <w:r>
        <w:rPr>
          <w:rFonts w:hint="eastAsia" w:ascii="宋体" w:hAnsi="宋体" w:eastAsia="宋体" w:cs="宋体"/>
          <w:color w:val="000000"/>
          <w:kern w:val="2"/>
          <w:sz w:val="32"/>
          <w:szCs w:val="32"/>
        </w:rPr>
        <w:t>：指除上述“财政拨款收入”、“事业收入”、“经营收入”等以外的收入。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用事业基金弥补收支差额</w:t>
      </w:r>
      <w:r>
        <w:rPr>
          <w:rFonts w:hint="eastAsia" w:ascii="宋体" w:hAnsi="宋体" w:eastAsia="宋体" w:cs="宋体"/>
          <w:color w:val="000000"/>
          <w:kern w:val="2"/>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年初结转和结余</w:t>
      </w:r>
      <w:r>
        <w:rPr>
          <w:rFonts w:hint="eastAsia" w:ascii="宋体" w:hAnsi="宋体" w:eastAsia="宋体" w:cs="宋体"/>
          <w:color w:val="000000"/>
          <w:kern w:val="2"/>
          <w:sz w:val="32"/>
          <w:szCs w:val="32"/>
        </w:rPr>
        <w:t>：指以前年度尚未完成、结转到本年按有关规定继续使用的资金。</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结余分配</w:t>
      </w:r>
      <w:r>
        <w:rPr>
          <w:rFonts w:hint="eastAsia" w:ascii="宋体" w:hAnsi="宋体" w:eastAsia="宋体" w:cs="宋体"/>
          <w:color w:val="000000"/>
          <w:kern w:val="2"/>
          <w:sz w:val="32"/>
          <w:szCs w:val="32"/>
        </w:rPr>
        <w:t>：指事业事位按规定从非财政补助结余中分配的事业基金和职工福利基金等。</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年末结转和结余</w:t>
      </w:r>
      <w:r>
        <w:rPr>
          <w:rFonts w:hint="eastAsia" w:ascii="宋体" w:hAnsi="宋体" w:eastAsia="宋体" w:cs="宋体"/>
          <w:color w:val="000000"/>
          <w:kern w:val="2"/>
          <w:sz w:val="32"/>
          <w:szCs w:val="32"/>
        </w:rPr>
        <w:t>：指本年度或以前年度预算安排、因客观条件发生变化无法按原计划实施，需要延迟到以后年度按有关规定继续使用的资金。</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基本支出</w:t>
      </w:r>
      <w:r>
        <w:rPr>
          <w:rFonts w:hint="eastAsia" w:ascii="宋体" w:hAnsi="宋体" w:eastAsia="宋体" w:cs="宋体"/>
          <w:color w:val="000000"/>
          <w:kern w:val="2"/>
          <w:sz w:val="32"/>
          <w:szCs w:val="32"/>
        </w:rPr>
        <w:t>：指为保障机构正常运转、完成日常工作任务而发生的人员支出和公用支出。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项目支出</w:t>
      </w:r>
      <w:r>
        <w:rPr>
          <w:rFonts w:hint="eastAsia" w:ascii="宋体" w:hAnsi="宋体" w:eastAsia="宋体" w:cs="宋体"/>
          <w:color w:val="000000"/>
          <w:kern w:val="2"/>
          <w:sz w:val="32"/>
          <w:szCs w:val="32"/>
        </w:rPr>
        <w:t>：指在基本支出之外为完成特定行政任务和事业发展目标所发生的支出。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经营支出</w:t>
      </w:r>
      <w:r>
        <w:rPr>
          <w:rFonts w:hint="eastAsia" w:ascii="宋体" w:hAnsi="宋体" w:eastAsia="宋体" w:cs="宋体"/>
          <w:color w:val="000000"/>
          <w:kern w:val="2"/>
          <w:sz w:val="32"/>
          <w:szCs w:val="32"/>
        </w:rPr>
        <w:t>：指事业单位在专业业务活动及其辅助活动之外开展非独立核算经营活动所发生的支出。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“三公”经费</w:t>
      </w:r>
      <w:r>
        <w:rPr>
          <w:rFonts w:hint="eastAsia" w:ascii="宋体" w:hAnsi="宋体" w:eastAsia="宋体" w:cs="宋体"/>
          <w:color w:val="000000"/>
          <w:kern w:val="2"/>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机关运行经费</w:t>
      </w:r>
      <w:r>
        <w:rPr>
          <w:rFonts w:hint="eastAsia" w:ascii="宋体" w:hAnsi="宋体" w:eastAsia="宋体" w:cs="宋体"/>
          <w:color w:val="000000"/>
          <w:kern w:val="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default" w:ascii="Calibri" w:hAnsi="Calibri" w:eastAsia="等线" w:cs="Calibri"/>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第五部分 附件</w:t>
      </w:r>
      <w:r>
        <w:rPr>
          <w:rFonts w:hint="default" w:ascii="等线" w:hAnsi="等线" w:eastAsia="等线" w:cs="Times New Roman"/>
          <w:color w:val="000000"/>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fldChar w:fldCharType="begin"/>
      </w:r>
      <w:r>
        <w:instrText xml:space="preserve"> HYPERLINK "冷水滩区岭口水库管理所2021年度部门整体支出绩效自评报告及绩效评价表.doc" </w:instrText>
      </w:r>
      <w:r>
        <w:fldChar w:fldCharType="separate"/>
      </w:r>
      <w:r>
        <w:rPr>
          <w:rStyle w:val="12"/>
          <w:rFonts w:hint="eastAsia" w:ascii="宋体" w:hAnsi="宋体" w:eastAsia="宋体" w:cs="宋体"/>
          <w:color w:val="800080"/>
          <w:sz w:val="28"/>
          <w:szCs w:val="28"/>
          <w:u w:val="single"/>
          <w:shd w:val="clear" w:fill="FFFFFF"/>
        </w:rPr>
        <w:t>冷水滩区岭口水库管理所2021年部门整体支出绩效自评报告及绩效评价表.doc</w:t>
      </w:r>
      <w:r>
        <w:fldChar w:fldCharType="end"/>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sectPr>
      <w:pgSz w:w="11906" w:h="16838" w:orient="landscape"/>
      <w:pgMar w:top="1440" w:right="1080" w:bottom="1440" w:left="1080" w:header="851" w:footer="992" w:gutter="0"/>
      <w:cols w:space="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80"/>
  <w:bordersDoNotSurroundHeader w:val="1"/>
  <w:bordersDoNotSurroundFooter w:val="1"/>
  <w:documentProtection w:enforcement="0"/>
  <w:defaultTabStop w:val="420"/>
  <w:drawingGridVerticalSpacing w:val="157"/>
  <w:displayHorizontalDrawingGridEvery w:val="0"/>
  <w:displayVerticalDrawingGridEvery w:val="2"/>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00000000"/>
    <w:rsid w:val="18323617"/>
    <w:rsid w:val="336151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qFormat/>
    <w:uiPriority w:val="99"/>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1"/>
      <w:lang w:val="en-US" w:eastAsia="zh-CN" w:bidi="ar"/>
    </w:rPr>
  </w:style>
  <w:style w:type="paragraph" w:styleId="2">
    <w:name w:val="heading 1"/>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99"/>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12">
    <w:name w:val="Hyperlink"/>
    <w:basedOn w:val="11"/>
    <w:uiPriority w:val="0"/>
    <w:rPr>
      <w:color w:val="0000FF"/>
      <w:u w:val="single"/>
    </w:rPr>
  </w:style>
  <w:style w:type="character" w:customStyle="1" w:styleId="13">
    <w:name w:val="15"/>
    <w:basedOn w:val="11"/>
    <w:uiPriority w:val="0"/>
    <w:rPr>
      <w:rFonts w:hint="default" w:ascii="Times New Roman" w:hAnsi="Times New Roman" w:cs="Times New Roman"/>
      <w:color w:val="0000FF"/>
      <w:u w:val="single"/>
    </w:rPr>
  </w:style>
  <w:style w:type="character" w:customStyle="1" w:styleId="14">
    <w:name w:val="24"/>
    <w:basedOn w:val="11"/>
    <w:uiPriority w:val="0"/>
    <w:rPr>
      <w:rFonts w:hint="default" w:ascii="Times New Roman" w:hAnsi="Times New Roman" w:cs="Times New Roman"/>
      <w:color w:val="800080"/>
      <w:u w:val="single"/>
    </w:rPr>
  </w:style>
  <w:style w:type="character" w:customStyle="1" w:styleId="15">
    <w:name w:val="10"/>
    <w:basedOn w:val="11"/>
    <w:uiPriority w:val="0"/>
    <w:rPr>
      <w:rFonts w:hint="default" w:ascii="Times New Roman" w:hAnsi="Times New Roman" w:cs="Times New Roman"/>
    </w:rPr>
  </w:style>
  <w:style w:type="character" w:customStyle="1" w:styleId="16">
    <w:name w:val="16"/>
    <w:basedOn w:val="11"/>
    <w:uiPriority w:val="0"/>
    <w:rPr>
      <w:rFonts w:hint="default" w:ascii="Times New Roman" w:hAnsi="Times New Roman" w:cs="Times New Roman"/>
    </w:rPr>
  </w:style>
  <w:style w:type="paragraph" w:customStyle="1" w:styleId="17">
    <w:name w:val="HTML 预设格式 Char"/>
    <w:basedOn w:val="1"/>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18">
    <w:name w:val="17"/>
    <w:basedOn w:val="11"/>
    <w:uiPriority w:val="0"/>
    <w:rPr>
      <w:rFonts w:hint="default" w:ascii="Times New Roman" w:hAnsi="Times New Roman" w:cs="Times New Roman"/>
      <w:b/>
    </w:rPr>
  </w:style>
  <w:style w:type="character" w:customStyle="1" w:styleId="19">
    <w:name w:val="18"/>
    <w:basedOn w:val="11"/>
    <w:uiPriority w:val="0"/>
    <w:rPr>
      <w:rFonts w:hint="default" w:ascii="Times New Roman" w:hAnsi="Times New Roman" w:cs="Times New Roman"/>
      <w:color w:val="0000FF"/>
      <w:u w:val="single"/>
    </w:rPr>
  </w:style>
  <w:style w:type="character" w:customStyle="1" w:styleId="20">
    <w:name w:val="21"/>
    <w:basedOn w:val="11"/>
    <w:uiPriority w:val="0"/>
    <w:rPr>
      <w:rFonts w:hint="default" w:ascii="Times New Roman" w:hAnsi="Times New Roman" w:cs="Times New Roman"/>
      <w:color w:val="800080"/>
      <w:u w:val="single"/>
    </w:rPr>
  </w:style>
  <w:style w:type="character" w:customStyle="1" w:styleId="21">
    <w:name w:val="19"/>
    <w:basedOn w:val="11"/>
    <w:uiPriority w:val="0"/>
    <w:rPr>
      <w:rFonts w:hint="default" w:ascii="Times New Roman" w:hAnsi="Times New Roman" w:cs="Times New Roman"/>
    </w:rPr>
  </w:style>
  <w:style w:type="character" w:customStyle="1" w:styleId="22">
    <w:name w:val="20"/>
    <w:basedOn w:val="11"/>
    <w:uiPriority w:val="0"/>
    <w:rPr>
      <w:rFonts w:hint="default" w:ascii="Times New Roman" w:hAnsi="Times New Roman" w:cs="Times New Roman"/>
      <w:color w:val="0000FF"/>
      <w:u w:val="single"/>
    </w:rPr>
  </w:style>
  <w:style w:type="paragraph" w:customStyle="1" w:styleId="23">
    <w:name w:val="HTML 预设格式 Char Char"/>
    <w:basedOn w:val="1"/>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24">
    <w:name w:val="22"/>
    <w:basedOn w:val="11"/>
    <w:uiPriority w:val="0"/>
    <w:rPr>
      <w:rFonts w:hint="default" w:ascii="Times New Roman" w:hAnsi="Times New Roman" w:cs="Times New Roman"/>
      <w:color w:val="0000FF"/>
      <w:u w:val="single"/>
    </w:rPr>
  </w:style>
  <w:style w:type="paragraph" w:customStyle="1" w:styleId="25">
    <w:name w:val="普通(网站) Char"/>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26">
    <w:name w:val="23"/>
    <w:basedOn w:val="11"/>
    <w:uiPriority w:val="0"/>
    <w:rPr>
      <w:rFonts w:hint="default" w:ascii="Times New Roman" w:hAnsi="Times New Roman" w:cs="Times New Roman"/>
    </w:rPr>
  </w:style>
  <w:style w:type="paragraph" w:customStyle="1" w:styleId="27">
    <w:name w:val="普通(网站) Char Char"/>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28">
    <w:name w:val="181"/>
    <w:basedOn w:val="1"/>
    <w:uiPriority w:val="0"/>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7227</Words>
  <Characters>8278</Characters>
  <Lines>1</Lines>
  <Paragraphs>1</Paragraphs>
  <TotalTime>1</TotalTime>
  <ScaleCrop>false</ScaleCrop>
  <LinksUpToDate>false</LinksUpToDate>
  <CharactersWithSpaces>8442</CharactersWithSpaces>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2023-09-22T15:07:00Z</dcterms:created>
  <dc:creator>Administrator</dc:creator>
  <cp:lastModifiedBy>东来</cp:lastModifiedBy>
  <dcterms:modified xsi:type="dcterms:W3CDTF">2023-11-08T03:30:58Z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70846CFCE20D4DFA8544F4C70B409E94</vt:lpwstr>
  </property>
</Properties>
</file>