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
        <w:jc w:val="center"/>
        <w:rPr>
          <w:color w:val="000000"/>
        </w:rPr>
      </w:pPr>
      <w:r>
        <w:rPr>
          <w:rFonts w:hint="eastAsia" w:ascii="宋体" w:hAnsi="宋体" w:eastAsia="宋体"/>
          <w:color w:val="000000"/>
          <w:sz w:val="44"/>
          <w:szCs w:val="44"/>
        </w:rPr>
        <w:t>2021年度冷水滩区网络安全和信息化领导小组办公室部门决算</w:t>
      </w:r>
      <w:r>
        <w:rPr>
          <w:rFonts w:hint="eastAsia"/>
          <w:color w:val="000000"/>
        </w:rPr>
        <w:t xml:space="preserve"> </w:t>
      </w:r>
    </w:p>
    <w:p>
      <w:pPr>
        <w:spacing w:after="2"/>
        <w:jc w:val="center"/>
        <w:rPr>
          <w:rFonts w:hint="eastAsia"/>
          <w:color w:val="000000"/>
          <w:szCs w:val="21"/>
        </w:rPr>
      </w:pPr>
      <w:r>
        <w:rPr>
          <w:rFonts w:hint="eastAsia"/>
          <w:color w:val="000000"/>
          <w:sz w:val="32"/>
          <w:szCs w:val="32"/>
        </w:rPr>
        <w:t> </w:t>
      </w:r>
      <w:r>
        <w:rPr>
          <w:rFonts w:hint="eastAsia"/>
          <w:color w:val="000000"/>
          <w:szCs w:val="21"/>
        </w:rPr>
        <w:t xml:space="preserve"> </w:t>
      </w:r>
    </w:p>
    <w:p>
      <w:pPr>
        <w:spacing w:after="2"/>
        <w:jc w:val="center"/>
        <w:rPr>
          <w:rFonts w:hint="eastAsia" w:ascii="宋体" w:hAnsi="宋体" w:eastAsia="宋体"/>
          <w:color w:val="000000"/>
          <w:szCs w:val="21"/>
        </w:rPr>
      </w:pPr>
      <w:r>
        <w:rPr>
          <w:rFonts w:hint="eastAsia" w:ascii="宋体" w:hAnsi="宋体" w:eastAsia="宋体"/>
          <w:color w:val="000000"/>
          <w:sz w:val="32"/>
          <w:szCs w:val="32"/>
        </w:rPr>
        <w:t>目 录</w:t>
      </w:r>
      <w:r>
        <w:rPr>
          <w:rFonts w:hint="eastAsia" w:ascii="宋体" w:hAnsi="宋体" w:eastAsia="宋体"/>
          <w:color w:val="000000"/>
          <w:szCs w:val="21"/>
        </w:rPr>
        <w:t xml:space="preserve"> </w:t>
      </w:r>
    </w:p>
    <w:p>
      <w:pPr>
        <w:spacing w:after="2"/>
        <w:jc w:val="center"/>
        <w:rPr>
          <w:rFonts w:hint="eastAsia"/>
          <w:color w:val="000000"/>
          <w:szCs w:val="21"/>
        </w:rPr>
      </w:pPr>
    </w:p>
    <w:p>
      <w:pPr>
        <w:pStyle w:val="8"/>
        <w:spacing w:after="2"/>
        <w:ind w:firstLine="641"/>
        <w:rPr>
          <w:rFonts w:hint="eastAsia"/>
          <w:color w:val="000000"/>
          <w:sz w:val="27"/>
          <w:szCs w:val="27"/>
        </w:rPr>
      </w:pPr>
      <w:r>
        <w:rPr>
          <w:rFonts w:hint="eastAsia" w:ascii="宋体" w:hAnsi="宋体" w:eastAsia="宋体"/>
          <w:b/>
          <w:bCs/>
          <w:color w:val="000000"/>
          <w:sz w:val="32"/>
          <w:szCs w:val="32"/>
        </w:rPr>
        <w:t>第一部分 冷水滩区网络安全和信息化领导小组办公室概况</w:t>
      </w:r>
      <w:r>
        <w:rPr>
          <w:rFonts w:hint="eastAsia"/>
          <w:color w:val="000000"/>
          <w:sz w:val="27"/>
          <w:szCs w:val="27"/>
        </w:rPr>
        <w:t xml:space="preserve"> </w:t>
      </w:r>
    </w:p>
    <w:p>
      <w:pPr>
        <w:pStyle w:val="8"/>
        <w:spacing w:after="2"/>
        <w:ind w:firstLine="700"/>
        <w:rPr>
          <w:rFonts w:hint="eastAsia"/>
          <w:color w:val="000000"/>
        </w:rPr>
      </w:pPr>
      <w:r>
        <w:rPr>
          <w:rFonts w:hint="eastAsia" w:ascii="宋体" w:hAnsi="宋体" w:eastAsia="宋体"/>
          <w:color w:val="000000"/>
          <w:sz w:val="28"/>
          <w:szCs w:val="28"/>
        </w:rPr>
        <w:t>一、部门职责</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二、机构设置</w:t>
      </w:r>
      <w:r>
        <w:rPr>
          <w:rFonts w:hint="eastAsia"/>
          <w:color w:val="000000"/>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第二部分 2021年度部门决算表</w:t>
      </w:r>
      <w:r>
        <w:rPr>
          <w:rFonts w:hint="eastAsia"/>
          <w:color w:val="000000"/>
          <w:sz w:val="27"/>
          <w:szCs w:val="27"/>
        </w:rPr>
        <w:t xml:space="preserve"> </w:t>
      </w:r>
    </w:p>
    <w:p>
      <w:pPr>
        <w:pStyle w:val="8"/>
        <w:spacing w:after="2"/>
        <w:ind w:firstLine="700"/>
        <w:rPr>
          <w:rFonts w:hint="eastAsia"/>
          <w:color w:val="000000"/>
        </w:rPr>
      </w:pPr>
      <w:r>
        <w:rPr>
          <w:rFonts w:hint="eastAsia" w:ascii="宋体" w:hAnsi="宋体" w:eastAsia="宋体"/>
          <w:color w:val="000000"/>
          <w:sz w:val="28"/>
          <w:szCs w:val="28"/>
        </w:rPr>
        <w:t>一、收入支出决算总表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二、收入决算表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三、支出决算表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四、财政拨款收入支出决算总表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五、一般公共预算财政拨款支出决算表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六、一般公共预算财政拨款基本支出决算明细表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七、一般公共预算财政拨款“三公”经费支出决算表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八、政府性基金预算财政拨款收入支出决算表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九、国有资本经营预算财政拨款支出决算表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b/>
          <w:bCs/>
          <w:color w:val="000000"/>
          <w:sz w:val="32"/>
          <w:szCs w:val="32"/>
        </w:rPr>
        <w:t>第三部分 2021年度部门决算情况说明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一、收入支出决算总体情况说明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二、收入决算情况说明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三、支出决算情况说明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四、财政拨款收入支出决算总体情况说明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五、一般公共预算财政拨款支出决算情况说明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六、一般公共预算财政拨款基本支出决算情况说明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七、一般公共预算财政拨款三公经费支出决算情况说明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八、政府性基金预算收入支出决算情况</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九、关于机关运行经费支出说明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十、一般性支出情况</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十一、关于政府采购支出说明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十二、关于国有资产占用情况说明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十三、关于2021年度预算绩效情况的说明</w:t>
      </w:r>
      <w:r>
        <w:rPr>
          <w:rFonts w:hint="eastAsia"/>
          <w:color w:val="000000"/>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第四部分 名词解释</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第五部分 附件</w:t>
      </w:r>
      <w:r>
        <w:rPr>
          <w:rFonts w:hint="eastAsia"/>
          <w:color w:val="000000"/>
          <w:sz w:val="27"/>
          <w:szCs w:val="27"/>
        </w:rPr>
        <w:t xml:space="preserve"> </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spacing w:after="2" w:line="600" w:lineRule="atLeast"/>
        <w:jc w:val="center"/>
        <w:rPr>
          <w:rFonts w:hint="eastAsia"/>
          <w:color w:val="000000"/>
          <w:szCs w:val="21"/>
        </w:rPr>
      </w:pPr>
      <w:r>
        <w:rPr>
          <w:rFonts w:hint="eastAsia" w:ascii="宋体" w:hAnsi="宋体" w:eastAsia="宋体"/>
          <w:b/>
          <w:bCs/>
          <w:color w:val="000000"/>
          <w:sz w:val="36"/>
          <w:szCs w:val="36"/>
        </w:rPr>
        <w:t>第一部分 冷水滩区网络安全和信息化领导小组办公室概况</w:t>
      </w:r>
      <w:r>
        <w:rPr>
          <w:rFonts w:hint="eastAsia"/>
          <w:b/>
          <w:bCs/>
          <w:color w:val="000000"/>
          <w:szCs w:val="21"/>
        </w:rPr>
        <w:t xml:space="preserve"> </w:t>
      </w:r>
    </w:p>
    <w:p>
      <w:pPr>
        <w:pStyle w:val="2"/>
        <w:spacing w:before="0" w:beforeAutospacing="0" w:after="2" w:afterAutospacing="0"/>
        <w:rPr>
          <w:rFonts w:hint="eastAsia"/>
          <w:color w:val="000000"/>
        </w:rPr>
      </w:pPr>
    </w:p>
    <w:p>
      <w:pPr>
        <w:pStyle w:val="9"/>
        <w:spacing w:before="0" w:beforeAutospacing="0" w:after="2" w:afterAutospacing="0"/>
        <w:rPr>
          <w:color w:val="000000"/>
        </w:rPr>
      </w:pPr>
      <w:r>
        <w:rPr>
          <w:rFonts w:ascii="Calibri" w:hAnsi="Calibri" w:eastAsia="黑体" w:cs="Calibri"/>
          <w:color w:val="000000"/>
          <w:sz w:val="32"/>
          <w:szCs w:val="32"/>
        </w:rPr>
        <w:t> </w:t>
      </w:r>
      <w:r>
        <w:rPr>
          <w:color w:val="000000"/>
        </w:rPr>
        <w:t xml:space="preserve"> </w:t>
      </w:r>
    </w:p>
    <w:p>
      <w:pPr>
        <w:pStyle w:val="8"/>
        <w:spacing w:after="2"/>
        <w:ind w:firstLine="641"/>
        <w:rPr>
          <w:color w:val="000000"/>
          <w:sz w:val="27"/>
          <w:szCs w:val="27"/>
        </w:rPr>
      </w:pPr>
      <w:r>
        <w:rPr>
          <w:rFonts w:hint="eastAsia" w:ascii="宋体" w:hAnsi="宋体" w:eastAsia="宋体"/>
          <w:b/>
          <w:bCs/>
          <w:color w:val="000000"/>
          <w:sz w:val="32"/>
          <w:szCs w:val="32"/>
        </w:rPr>
        <w:t>一、部门职责</w:t>
      </w:r>
      <w:r>
        <w:rPr>
          <w:rFonts w:hint="eastAsia"/>
          <w:color w:val="000000"/>
          <w:sz w:val="27"/>
          <w:szCs w:val="27"/>
        </w:rPr>
        <w:t xml:space="preserve"> </w:t>
      </w:r>
    </w:p>
    <w:p>
      <w:pPr>
        <w:pStyle w:val="8"/>
        <w:spacing w:after="2"/>
        <w:ind w:firstLine="641"/>
        <w:rPr>
          <w:rFonts w:hint="eastAsia"/>
          <w:color w:val="000000"/>
          <w:sz w:val="32"/>
          <w:szCs w:val="32"/>
        </w:rPr>
      </w:pPr>
      <w:r>
        <w:rPr>
          <w:rFonts w:hint="eastAsia" w:ascii="宋体" w:hAnsi="宋体" w:eastAsia="宋体"/>
          <w:color w:val="000000"/>
          <w:sz w:val="32"/>
          <w:szCs w:val="32"/>
        </w:rPr>
        <w:t>（一）区委网信办是主管网络意识形态的职能部门，主要职责是负责处理网信委日常事务工作，协调督促有关方面落实网信委的决定事项、工作部署和要求；督促落实全区网络安全和信息化有关重大事项；负责全区互联网信息内容管理，统筹协调组织互联网宣传管理和舆论引导工作，维护互联网意识形态安全；负责指导协调全区网络舆情信息工作，组织开展网络舆情信息收集分析研判工作，跟踪了解和掌握网络舆情动态；推动全区网络阵地建设，指导重点新闻网站规划建设；组织拟定全区网络安全和信息化干部人才队伍发展规划，组织开展网络安全和信息化干部教育培训和人才队伍建设等。</w:t>
      </w:r>
      <w:r>
        <w:rPr>
          <w:rFonts w:hint="eastAsia"/>
          <w:color w:val="000000"/>
          <w:sz w:val="32"/>
          <w:szCs w:val="32"/>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二、机构设置及决算单位构成</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（一）内设机构设置</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冷水滩区网络安全和信息化领导小组办公室内设机构包括：机构设置：内设综合股、网络宣传评论股、网络应急与网络舆情股（网络管理与执法股）、网络安全和信息化股、网络社会工作股，下设1个事业单位——舆情信息研究中心。 人员编制情况：在职人数10名，其中正科级1人，二级主任科员1人，三级主任科员1人，副科级2人，科员（事业编制）6人。无退休人员。</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（二）决算单位构成</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冷水滩区网络安全和信息化领导小组办公室为一级预算单位，无独立二级单位，因此本次决算公开单位为冷水滩区网络安全和信息化领导小组办公室本级。</w:t>
      </w:r>
      <w:r>
        <w:rPr>
          <w:rFonts w:hint="eastAsia"/>
          <w:color w:val="000000"/>
          <w:sz w:val="27"/>
          <w:szCs w:val="27"/>
        </w:rPr>
        <w:t xml:space="preserve"> </w:t>
      </w:r>
    </w:p>
    <w:p>
      <w:pPr>
        <w:widowControl/>
        <w:jc w:val="left"/>
        <w:rPr>
          <w:rFonts w:ascii="宋体" w:hAnsi="宋体" w:eastAsia="宋体" w:cs="宋体"/>
          <w:color w:val="000000"/>
          <w:kern w:val="0"/>
          <w:sz w:val="32"/>
          <w:szCs w:val="32"/>
        </w:rPr>
        <w:sectPr>
          <w:pgSz w:w="11906" w:h="16838" w:orient="landscape"/>
          <w:pgMar w:top="1440" w:right="1080" w:bottom="1440" w:left="1080" w:header="851" w:footer="992" w:gutter="0"/>
          <w:cols w:space="425" w:num="1"/>
          <w:docGrid w:type="lines" w:linePitch="160" w:charSpace="0"/>
        </w:sectPr>
      </w:pPr>
    </w:p>
    <w:p>
      <w:pPr>
        <w:spacing w:after="2"/>
        <w:ind w:firstLine="721"/>
        <w:jc w:val="center"/>
        <w:rPr>
          <w:rFonts w:hint="eastAsia"/>
          <w:color w:val="000000"/>
          <w:szCs w:val="21"/>
        </w:rPr>
      </w:pPr>
    </w:p>
    <w:p>
      <w:pPr>
        <w:spacing w:after="2"/>
        <w:ind w:firstLine="721"/>
        <w:jc w:val="center"/>
        <w:rPr>
          <w:rFonts w:hint="eastAsia"/>
          <w:color w:val="000000"/>
          <w:szCs w:val="21"/>
        </w:rPr>
      </w:pPr>
      <w:r>
        <w:rPr>
          <w:rFonts w:hint="eastAsia" w:ascii="宋体" w:hAnsi="宋体" w:eastAsia="宋体"/>
          <w:b/>
          <w:bCs/>
          <w:color w:val="000000"/>
          <w:sz w:val="36"/>
          <w:szCs w:val="36"/>
        </w:rPr>
        <w:t>第二部分 2021年度部门决算表</w:t>
      </w:r>
      <w:r>
        <w:rPr>
          <w:rFonts w:hint="eastAsia"/>
          <w:color w:val="000000"/>
          <w:szCs w:val="21"/>
        </w:rPr>
        <w:t xml:space="preserve"> </w:t>
      </w:r>
    </w:p>
    <w:p>
      <w:pPr>
        <w:pStyle w:val="2"/>
        <w:spacing w:before="0" w:beforeAutospacing="0" w:after="2" w:afterAutospacing="0"/>
        <w:rPr>
          <w:rFonts w:hint="eastAsia"/>
          <w:color w:val="000000"/>
          <w:sz w:val="32"/>
          <w:szCs w:val="32"/>
        </w:rPr>
      </w:pPr>
    </w:p>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4802"/>
        <w:gridCol w:w="648"/>
        <w:gridCol w:w="2569"/>
        <w:gridCol w:w="4802"/>
        <w:gridCol w:w="648"/>
        <w:gridCol w:w="2569"/>
      </w:tblGrid>
      <w:tr>
        <w:tblPrEx>
          <w:tblCellMar>
            <w:top w:w="0" w:type="dxa"/>
            <w:left w:w="0" w:type="dxa"/>
            <w:bottom w:w="0" w:type="dxa"/>
            <w:right w:w="0" w:type="dxa"/>
          </w:tblCellMar>
        </w:tblPrEx>
        <w:trPr>
          <w:tblCellSpacing w:w="0" w:type="dxa"/>
          <w:jc w:val="center"/>
        </w:trPr>
        <w:tc>
          <w:tcPr>
            <w:tcW w:w="5000" w:type="pct"/>
            <w:gridSpan w:val="6"/>
            <w:vAlign w:val="center"/>
          </w:tcPr>
          <w:p>
            <w:pPr>
              <w:pStyle w:val="2"/>
              <w:jc w:val="center"/>
              <w:rPr>
                <w:rFonts w:hint="eastAsia"/>
                <w:sz w:val="40"/>
                <w:szCs w:val="40"/>
              </w:rPr>
            </w:pPr>
            <w:r>
              <w:rPr>
                <w:sz w:val="40"/>
                <w:szCs w:val="40"/>
              </w:rPr>
              <w:t>收入支出决算总表</w:t>
            </w:r>
          </w:p>
        </w:tc>
      </w:tr>
      <w:tr>
        <w:tblPrEx>
          <w:tblCellMar>
            <w:top w:w="0" w:type="dxa"/>
            <w:left w:w="0" w:type="dxa"/>
            <w:bottom w:w="0" w:type="dxa"/>
            <w:right w:w="0" w:type="dxa"/>
          </w:tblCellMar>
        </w:tblPrEx>
        <w:trPr>
          <w:tblCellSpacing w:w="0" w:type="dxa"/>
          <w:jc w:val="center"/>
        </w:trPr>
        <w:tc>
          <w:tcPr>
            <w:tcW w:w="1497" w:type="pct"/>
            <w:vAlign w:val="center"/>
          </w:tcPr>
          <w:p>
            <w:pPr>
              <w:rPr>
                <w:sz w:val="40"/>
                <w:szCs w:val="40"/>
              </w:rPr>
            </w:pPr>
          </w:p>
        </w:tc>
        <w:tc>
          <w:tcPr>
            <w:tcW w:w="202" w:type="pct"/>
            <w:vAlign w:val="center"/>
          </w:tcPr>
          <w:p>
            <w:pPr>
              <w:rPr>
                <w:rFonts w:ascii="Times New Roman" w:hAnsi="Times New Roman" w:eastAsia="Times New Roman" w:cs="Times New Roman"/>
                <w:kern w:val="0"/>
                <w:sz w:val="20"/>
                <w:szCs w:val="20"/>
              </w:rPr>
            </w:pPr>
          </w:p>
        </w:tc>
        <w:tc>
          <w:tcPr>
            <w:tcW w:w="799" w:type="pct"/>
            <w:vAlign w:val="center"/>
          </w:tcPr>
          <w:p>
            <w:pPr>
              <w:rPr>
                <w:rFonts w:ascii="Times New Roman" w:hAnsi="Times New Roman" w:eastAsia="Times New Roman" w:cs="Times New Roman"/>
                <w:kern w:val="0"/>
                <w:sz w:val="20"/>
                <w:szCs w:val="20"/>
              </w:rPr>
            </w:pPr>
          </w:p>
        </w:tc>
        <w:tc>
          <w:tcPr>
            <w:tcW w:w="1497" w:type="pct"/>
            <w:vAlign w:val="center"/>
          </w:tcPr>
          <w:p>
            <w:pPr>
              <w:rPr>
                <w:rFonts w:ascii="Times New Roman" w:hAnsi="Times New Roman" w:eastAsia="Times New Roman" w:cs="Times New Roman"/>
                <w:kern w:val="0"/>
                <w:sz w:val="20"/>
                <w:szCs w:val="20"/>
              </w:rPr>
            </w:pPr>
          </w:p>
        </w:tc>
        <w:tc>
          <w:tcPr>
            <w:tcW w:w="1002" w:type="pct"/>
            <w:gridSpan w:val="2"/>
            <w:vAlign w:val="center"/>
          </w:tcPr>
          <w:p>
            <w:pPr>
              <w:pStyle w:val="2"/>
              <w:jc w:val="right"/>
              <w:rPr>
                <w:sz w:val="20"/>
                <w:szCs w:val="20"/>
              </w:rPr>
            </w:pPr>
            <w:r>
              <w:rPr>
                <w:sz w:val="20"/>
                <w:szCs w:val="20"/>
              </w:rPr>
              <w:t>公开01表</w:t>
            </w:r>
          </w:p>
        </w:tc>
      </w:tr>
      <w:tr>
        <w:tblPrEx>
          <w:tblCellMar>
            <w:top w:w="0" w:type="dxa"/>
            <w:left w:w="0" w:type="dxa"/>
            <w:bottom w:w="0" w:type="dxa"/>
            <w:right w:w="0" w:type="dxa"/>
          </w:tblCellMar>
        </w:tblPrEx>
        <w:trPr>
          <w:tblCellSpacing w:w="0" w:type="dxa"/>
          <w:jc w:val="center"/>
        </w:trPr>
        <w:tc>
          <w:tcPr>
            <w:tcW w:w="3997" w:type="pct"/>
            <w:gridSpan w:val="4"/>
            <w:vAlign w:val="center"/>
          </w:tcPr>
          <w:p>
            <w:pPr>
              <w:pStyle w:val="2"/>
              <w:rPr>
                <w:sz w:val="22"/>
                <w:szCs w:val="22"/>
              </w:rPr>
            </w:pPr>
            <w:r>
              <w:rPr>
                <w:sz w:val="22"/>
                <w:szCs w:val="22"/>
              </w:rPr>
              <w:t>部门：永州市冷水滩区委网信办</w:t>
            </w:r>
          </w:p>
        </w:tc>
        <w:tc>
          <w:tcPr>
            <w:tcW w:w="1002"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支出</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行次</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金额</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行次</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金额</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20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20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32</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0"/>
                <w:szCs w:val="20"/>
              </w:rPr>
            </w:pPr>
            <w:r>
              <w:rPr>
                <w:sz w:val="20"/>
                <w:szCs w:val="20"/>
              </w:rPr>
              <w:t>24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0"/>
                <w:szCs w:val="20"/>
              </w:rPr>
            </w:pPr>
            <w:r>
              <w:rPr>
                <w:sz w:val="20"/>
                <w:szCs w:val="20"/>
              </w:rPr>
              <w:t>25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0"/>
                <w:szCs w:val="20"/>
              </w:rPr>
            </w:pPr>
            <w:r>
              <w:rPr>
                <w:sz w:val="20"/>
                <w:szCs w:val="20"/>
              </w:rPr>
              <w:t>26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27</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58</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31</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62</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r>
      <w:tr>
        <w:tblPrEx>
          <w:tblCellMar>
            <w:top w:w="0" w:type="dxa"/>
            <w:left w:w="0" w:type="dxa"/>
            <w:bottom w:w="0" w:type="dxa"/>
            <w:right w:w="0" w:type="dxa"/>
          </w:tblCellMar>
        </w:tblPrEx>
        <w:trPr>
          <w:tblCellSpacing w:w="0" w:type="dxa"/>
          <w:jc w:val="center"/>
        </w:trPr>
        <w:tc>
          <w:tcPr>
            <w:tcW w:w="5000" w:type="pct"/>
            <w:gridSpan w:val="6"/>
            <w:vAlign w:val="center"/>
          </w:tcPr>
          <w:p>
            <w:pPr>
              <w:pStyle w:val="2"/>
              <w:rPr>
                <w:sz w:val="22"/>
                <w:szCs w:val="22"/>
              </w:rPr>
            </w:pPr>
            <w:r>
              <w:rPr>
                <w:sz w:val="22"/>
                <w:szCs w:val="22"/>
              </w:rPr>
              <w:t>注：本表反映部门本年度的总收支和年末结转结余情况。本表金额转换为万元时，因四舍五入可能存在尾数误差。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CellMar>
            <w:top w:w="0" w:type="dxa"/>
            <w:left w:w="0" w:type="dxa"/>
            <w:bottom w:w="0" w:type="dxa"/>
            <w:right w:w="0" w:type="dxa"/>
          </w:tblCellMar>
        </w:tblPrEx>
        <w:trPr>
          <w:tblCellSpacing w:w="0" w:type="dxa"/>
          <w:jc w:val="center"/>
        </w:trPr>
        <w:tc>
          <w:tcPr>
            <w:tcW w:w="5000" w:type="pct"/>
            <w:gridSpan w:val="11"/>
            <w:vAlign w:val="center"/>
          </w:tcPr>
          <w:p>
            <w:pPr>
              <w:pStyle w:val="2"/>
              <w:jc w:val="center"/>
              <w:rPr>
                <w:rFonts w:hint="eastAsia"/>
                <w:sz w:val="40"/>
                <w:szCs w:val="40"/>
              </w:rPr>
            </w:pPr>
            <w:r>
              <w:rPr>
                <w:sz w:val="40"/>
                <w:szCs w:val="40"/>
              </w:rPr>
              <w:t>收入决算表</w:t>
            </w:r>
          </w:p>
        </w:tc>
      </w:tr>
      <w:tr>
        <w:tblPrEx>
          <w:tblCellMar>
            <w:top w:w="0" w:type="dxa"/>
            <w:left w:w="0" w:type="dxa"/>
            <w:bottom w:w="0" w:type="dxa"/>
            <w:right w:w="0" w:type="dxa"/>
          </w:tblCellMar>
        </w:tblPrEx>
        <w:trPr>
          <w:tblCellSpacing w:w="0" w:type="dxa"/>
          <w:jc w:val="center"/>
        </w:trPr>
        <w:tc>
          <w:tcPr>
            <w:tcW w:w="113" w:type="pct"/>
            <w:vAlign w:val="center"/>
          </w:tcPr>
          <w:p>
            <w:pPr>
              <w:rPr>
                <w:sz w:val="40"/>
                <w:szCs w:val="40"/>
              </w:rPr>
            </w:pPr>
          </w:p>
        </w:tc>
        <w:tc>
          <w:tcPr>
            <w:tcW w:w="113" w:type="pct"/>
            <w:vAlign w:val="center"/>
          </w:tcPr>
          <w:p>
            <w:pPr>
              <w:rPr>
                <w:rFonts w:ascii="Times New Roman" w:hAnsi="Times New Roman" w:eastAsia="Times New Roman" w:cs="Times New Roman"/>
                <w:kern w:val="0"/>
                <w:sz w:val="20"/>
                <w:szCs w:val="20"/>
              </w:rPr>
            </w:pPr>
          </w:p>
        </w:tc>
        <w:tc>
          <w:tcPr>
            <w:tcW w:w="113" w:type="pct"/>
            <w:vAlign w:val="center"/>
          </w:tcPr>
          <w:p>
            <w:pPr>
              <w:rPr>
                <w:rFonts w:ascii="Times New Roman" w:hAnsi="Times New Roman" w:eastAsia="Times New Roman" w:cs="Times New Roman"/>
                <w:kern w:val="0"/>
                <w:sz w:val="20"/>
                <w:szCs w:val="20"/>
              </w:rPr>
            </w:pPr>
          </w:p>
        </w:tc>
        <w:tc>
          <w:tcPr>
            <w:tcW w:w="995" w:type="pct"/>
            <w:vAlign w:val="center"/>
          </w:tcPr>
          <w:p>
            <w:pPr>
              <w:rPr>
                <w:rFonts w:ascii="Times New Roman" w:hAnsi="Times New Roman" w:eastAsia="Times New Roman" w:cs="Times New Roman"/>
                <w:kern w:val="0"/>
                <w:sz w:val="20"/>
                <w:szCs w:val="20"/>
              </w:rPr>
            </w:pPr>
          </w:p>
        </w:tc>
        <w:tc>
          <w:tcPr>
            <w:tcW w:w="678"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995" w:type="pct"/>
            <w:gridSpan w:val="2"/>
            <w:vAlign w:val="center"/>
          </w:tcPr>
          <w:p>
            <w:pPr>
              <w:pStyle w:val="2"/>
              <w:jc w:val="right"/>
              <w:rPr>
                <w:sz w:val="20"/>
                <w:szCs w:val="20"/>
              </w:rPr>
            </w:pPr>
            <w:r>
              <w:rPr>
                <w:sz w:val="20"/>
                <w:szCs w:val="20"/>
              </w:rPr>
              <w:t>公开02表</w:t>
            </w:r>
          </w:p>
        </w:tc>
      </w:tr>
      <w:tr>
        <w:tblPrEx>
          <w:tblCellMar>
            <w:top w:w="0" w:type="dxa"/>
            <w:left w:w="0" w:type="dxa"/>
            <w:bottom w:w="0" w:type="dxa"/>
            <w:right w:w="0" w:type="dxa"/>
          </w:tblCellMar>
        </w:tblPrEx>
        <w:trPr>
          <w:tblCellSpacing w:w="0" w:type="dxa"/>
          <w:jc w:val="center"/>
        </w:trPr>
        <w:tc>
          <w:tcPr>
            <w:tcW w:w="4004" w:type="pct"/>
            <w:gridSpan w:val="9"/>
            <w:vAlign w:val="center"/>
          </w:tcPr>
          <w:p>
            <w:pPr>
              <w:pStyle w:val="2"/>
              <w:rPr>
                <w:sz w:val="22"/>
                <w:szCs w:val="22"/>
              </w:rPr>
            </w:pPr>
            <w:r>
              <w:rPr>
                <w:sz w:val="22"/>
                <w:szCs w:val="22"/>
              </w:rPr>
              <w:t>部门：永州市冷水滩区委网信办</w:t>
            </w:r>
          </w:p>
        </w:tc>
        <w:tc>
          <w:tcPr>
            <w:tcW w:w="995"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其他收入</w:t>
            </w:r>
          </w:p>
        </w:tc>
      </w:tr>
      <w:tr>
        <w:tblPrEx>
          <w:tblCellMar>
            <w:top w:w="0" w:type="dxa"/>
            <w:left w:w="0" w:type="dxa"/>
            <w:bottom w:w="0" w:type="dxa"/>
            <w:right w:w="0" w:type="dxa"/>
          </w:tblCellMar>
        </w:tblPrEx>
        <w:trPr>
          <w:trHeight w:val="285" w:hRule="atLeast"/>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7</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497"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一般公共服务支出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20137</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网信事务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2013701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86.12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86.12</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2013702</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44.53</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44.53</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9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9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9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9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1"/>
            <w:vAlign w:val="center"/>
          </w:tcPr>
          <w:p>
            <w:pPr>
              <w:pStyle w:val="2"/>
              <w:rPr>
                <w:sz w:val="22"/>
                <w:szCs w:val="22"/>
              </w:rPr>
            </w:pPr>
            <w:r>
              <w:rPr>
                <w:sz w:val="22"/>
                <w:szCs w:val="22"/>
              </w:rPr>
              <w:t>注：本表反映部门本年度取得的各项收入情况。本表金额转换为万元时，因四舍五入可能存在尾数误差。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CellMar>
            <w:top w:w="0" w:type="dxa"/>
            <w:left w:w="0" w:type="dxa"/>
            <w:bottom w:w="0" w:type="dxa"/>
            <w:right w:w="0" w:type="dxa"/>
          </w:tblCellMar>
        </w:tblPrEx>
        <w:trPr>
          <w:tblCellSpacing w:w="0" w:type="dxa"/>
          <w:jc w:val="center"/>
        </w:trPr>
        <w:tc>
          <w:tcPr>
            <w:tcW w:w="5000" w:type="pct"/>
            <w:gridSpan w:val="10"/>
            <w:vAlign w:val="center"/>
          </w:tcPr>
          <w:p>
            <w:pPr>
              <w:pStyle w:val="2"/>
              <w:jc w:val="center"/>
              <w:rPr>
                <w:rFonts w:hint="eastAsia"/>
                <w:sz w:val="40"/>
                <w:szCs w:val="40"/>
              </w:rPr>
            </w:pPr>
            <w:r>
              <w:rPr>
                <w:sz w:val="40"/>
                <w:szCs w:val="40"/>
              </w:rPr>
              <w:t>支出决算表</w:t>
            </w:r>
          </w:p>
        </w:tc>
      </w:tr>
      <w:tr>
        <w:tblPrEx>
          <w:tblCellMar>
            <w:top w:w="0" w:type="dxa"/>
            <w:left w:w="0" w:type="dxa"/>
            <w:bottom w:w="0" w:type="dxa"/>
            <w:right w:w="0" w:type="dxa"/>
          </w:tblCellMar>
        </w:tblPrEx>
        <w:trPr>
          <w:tblCellSpacing w:w="0" w:type="dxa"/>
          <w:jc w:val="center"/>
        </w:trPr>
        <w:tc>
          <w:tcPr>
            <w:tcW w:w="125" w:type="pct"/>
            <w:vAlign w:val="center"/>
          </w:tcPr>
          <w:p>
            <w:pPr>
              <w:rPr>
                <w:sz w:val="40"/>
                <w:szCs w:val="40"/>
              </w:rPr>
            </w:pPr>
          </w:p>
        </w:tc>
        <w:tc>
          <w:tcPr>
            <w:tcW w:w="125" w:type="pct"/>
            <w:vAlign w:val="center"/>
          </w:tcPr>
          <w:p>
            <w:pPr>
              <w:rPr>
                <w:rFonts w:ascii="Times New Roman" w:hAnsi="Times New Roman" w:eastAsia="Times New Roman" w:cs="Times New Roman"/>
                <w:kern w:val="0"/>
                <w:sz w:val="20"/>
                <w:szCs w:val="20"/>
              </w:rPr>
            </w:pPr>
          </w:p>
        </w:tc>
        <w:tc>
          <w:tcPr>
            <w:tcW w:w="125" w:type="pct"/>
            <w:vAlign w:val="center"/>
          </w:tcPr>
          <w:p>
            <w:pPr>
              <w:rPr>
                <w:rFonts w:ascii="Times New Roman" w:hAnsi="Times New Roman" w:eastAsia="Times New Roman" w:cs="Times New Roman"/>
                <w:kern w:val="0"/>
                <w:sz w:val="20"/>
                <w:szCs w:val="20"/>
              </w:rPr>
            </w:pPr>
          </w:p>
        </w:tc>
        <w:tc>
          <w:tcPr>
            <w:tcW w:w="1105" w:type="pct"/>
            <w:vAlign w:val="center"/>
          </w:tcPr>
          <w:p>
            <w:pPr>
              <w:rPr>
                <w:rFonts w:ascii="Times New Roman" w:hAnsi="Times New Roman" w:eastAsia="Times New Roman" w:cs="Times New Roman"/>
                <w:kern w:val="0"/>
                <w:sz w:val="20"/>
                <w:szCs w:val="20"/>
              </w:rPr>
            </w:pPr>
          </w:p>
        </w:tc>
        <w:tc>
          <w:tcPr>
            <w:tcW w:w="753"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1105" w:type="pct"/>
            <w:gridSpan w:val="2"/>
            <w:vAlign w:val="center"/>
          </w:tcPr>
          <w:p>
            <w:pPr>
              <w:pStyle w:val="2"/>
              <w:jc w:val="right"/>
              <w:rPr>
                <w:sz w:val="20"/>
                <w:szCs w:val="20"/>
              </w:rPr>
            </w:pPr>
            <w:r>
              <w:rPr>
                <w:sz w:val="20"/>
                <w:szCs w:val="20"/>
              </w:rPr>
              <w:t>公开03表</w:t>
            </w:r>
          </w:p>
        </w:tc>
      </w:tr>
      <w:tr>
        <w:tblPrEx>
          <w:tblCellMar>
            <w:top w:w="0" w:type="dxa"/>
            <w:left w:w="0" w:type="dxa"/>
            <w:bottom w:w="0" w:type="dxa"/>
            <w:right w:w="0" w:type="dxa"/>
          </w:tblCellMar>
        </w:tblPrEx>
        <w:trPr>
          <w:tblCellSpacing w:w="0" w:type="dxa"/>
          <w:jc w:val="center"/>
        </w:trPr>
        <w:tc>
          <w:tcPr>
            <w:tcW w:w="3894" w:type="pct"/>
            <w:gridSpan w:val="8"/>
            <w:vAlign w:val="center"/>
          </w:tcPr>
          <w:p>
            <w:pPr>
              <w:pStyle w:val="2"/>
              <w:rPr>
                <w:sz w:val="22"/>
                <w:szCs w:val="22"/>
              </w:rPr>
            </w:pPr>
            <w:r>
              <w:rPr>
                <w:sz w:val="22"/>
                <w:szCs w:val="22"/>
              </w:rPr>
              <w:t>部门：永州市冷水滩区委网信办</w:t>
            </w:r>
          </w:p>
        </w:tc>
        <w:tc>
          <w:tcPr>
            <w:tcW w:w="1105"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对附属单位补助支出</w:t>
            </w:r>
          </w:p>
        </w:tc>
      </w:tr>
      <w:tr>
        <w:tblPrEx>
          <w:tblCellMar>
            <w:top w:w="0" w:type="dxa"/>
            <w:left w:w="0" w:type="dxa"/>
            <w:bottom w:w="0" w:type="dxa"/>
            <w:right w:w="0" w:type="dxa"/>
          </w:tblCellMar>
        </w:tblPrEx>
        <w:trPr>
          <w:trHeight w:val="285" w:hRule="atLeast"/>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86.12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44.53</w:t>
            </w:r>
          </w:p>
        </w:tc>
        <w:tc>
          <w:tcPr>
            <w:tcW w:w="552"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一般公共服务支出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86.12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44.53</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20137</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网信事务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86.12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44.53</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2013701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86.12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86.12</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2013702</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44.53</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44.53</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10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7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10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7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10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7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10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7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0"/>
            <w:vAlign w:val="center"/>
          </w:tcPr>
          <w:p>
            <w:pPr>
              <w:pStyle w:val="2"/>
              <w:rPr>
                <w:sz w:val="22"/>
                <w:szCs w:val="22"/>
              </w:rPr>
            </w:pPr>
            <w:r>
              <w:rPr>
                <w:sz w:val="22"/>
                <w:szCs w:val="22"/>
              </w:rPr>
              <w:t>注：本表反映部门本年度各项支出情况。本表金额转换为万元时，因四舍五入可能存在尾数误差。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CellMar>
            <w:top w:w="0" w:type="dxa"/>
            <w:left w:w="0" w:type="dxa"/>
            <w:bottom w:w="0" w:type="dxa"/>
            <w:right w:w="0" w:type="dxa"/>
          </w:tblCellMar>
        </w:tblPrEx>
        <w:trPr>
          <w:tblCellSpacing w:w="0" w:type="dxa"/>
          <w:jc w:val="center"/>
        </w:trPr>
        <w:tc>
          <w:tcPr>
            <w:tcW w:w="5000" w:type="pct"/>
            <w:gridSpan w:val="9"/>
            <w:vAlign w:val="center"/>
          </w:tcPr>
          <w:p>
            <w:pPr>
              <w:pStyle w:val="2"/>
              <w:jc w:val="center"/>
              <w:rPr>
                <w:rFonts w:hint="eastAsia"/>
                <w:sz w:val="40"/>
                <w:szCs w:val="40"/>
              </w:rPr>
            </w:pPr>
            <w:r>
              <w:rPr>
                <w:sz w:val="40"/>
                <w:szCs w:val="40"/>
              </w:rPr>
              <w:t>财政拨款收入支出决算总表</w:t>
            </w:r>
          </w:p>
        </w:tc>
      </w:tr>
      <w:tr>
        <w:tblPrEx>
          <w:tblCellMar>
            <w:top w:w="0" w:type="dxa"/>
            <w:left w:w="0" w:type="dxa"/>
            <w:bottom w:w="0" w:type="dxa"/>
            <w:right w:w="0" w:type="dxa"/>
          </w:tblCellMar>
        </w:tblPrEx>
        <w:trPr>
          <w:tblCellSpacing w:w="0" w:type="dxa"/>
          <w:jc w:val="center"/>
        </w:trPr>
        <w:tc>
          <w:tcPr>
            <w:tcW w:w="999" w:type="pct"/>
            <w:vAlign w:val="center"/>
          </w:tcPr>
          <w:p>
            <w:pPr>
              <w:rPr>
                <w:sz w:val="40"/>
                <w:szCs w:val="40"/>
              </w:rPr>
            </w:pPr>
          </w:p>
        </w:tc>
        <w:tc>
          <w:tcPr>
            <w:tcW w:w="165" w:type="pct"/>
            <w:vAlign w:val="center"/>
          </w:tcPr>
          <w:p>
            <w:pPr>
              <w:rPr>
                <w:rFonts w:ascii="Times New Roman" w:hAnsi="Times New Roman" w:eastAsia="Times New Roman" w:cs="Times New Roman"/>
                <w:kern w:val="0"/>
                <w:sz w:val="20"/>
                <w:szCs w:val="20"/>
              </w:rPr>
            </w:pPr>
          </w:p>
        </w:tc>
        <w:tc>
          <w:tcPr>
            <w:tcW w:w="486" w:type="pct"/>
            <w:vAlign w:val="center"/>
          </w:tcPr>
          <w:p>
            <w:pPr>
              <w:rPr>
                <w:rFonts w:ascii="Times New Roman" w:hAnsi="Times New Roman" w:eastAsia="Times New Roman" w:cs="Times New Roman"/>
                <w:kern w:val="0"/>
                <w:sz w:val="20"/>
                <w:szCs w:val="20"/>
              </w:rPr>
            </w:pPr>
          </w:p>
        </w:tc>
        <w:tc>
          <w:tcPr>
            <w:tcW w:w="1151" w:type="pct"/>
            <w:vAlign w:val="center"/>
          </w:tcPr>
          <w:p>
            <w:pPr>
              <w:rPr>
                <w:rFonts w:ascii="Times New Roman" w:hAnsi="Times New Roman" w:eastAsia="Times New Roman" w:cs="Times New Roman"/>
                <w:kern w:val="0"/>
                <w:sz w:val="20"/>
                <w:szCs w:val="20"/>
              </w:rPr>
            </w:pPr>
          </w:p>
        </w:tc>
        <w:tc>
          <w:tcPr>
            <w:tcW w:w="165" w:type="pct"/>
            <w:vAlign w:val="center"/>
          </w:tcPr>
          <w:p>
            <w:pPr>
              <w:rPr>
                <w:rFonts w:ascii="Times New Roman" w:hAnsi="Times New Roman" w:eastAsia="Times New Roman" w:cs="Times New Roman"/>
                <w:kern w:val="0"/>
                <w:sz w:val="20"/>
                <w:szCs w:val="20"/>
              </w:rPr>
            </w:pPr>
          </w:p>
        </w:tc>
        <w:tc>
          <w:tcPr>
            <w:tcW w:w="664" w:type="pct"/>
            <w:vAlign w:val="center"/>
          </w:tcPr>
          <w:p>
            <w:pPr>
              <w:rPr>
                <w:rFonts w:ascii="Times New Roman" w:hAnsi="Times New Roman" w:eastAsia="Times New Roman" w:cs="Times New Roman"/>
                <w:kern w:val="0"/>
                <w:sz w:val="20"/>
                <w:szCs w:val="20"/>
              </w:rPr>
            </w:pPr>
          </w:p>
        </w:tc>
        <w:tc>
          <w:tcPr>
            <w:tcW w:w="456" w:type="pct"/>
            <w:vAlign w:val="center"/>
          </w:tcPr>
          <w:p>
            <w:pPr>
              <w:rPr>
                <w:rFonts w:ascii="Times New Roman" w:hAnsi="Times New Roman" w:eastAsia="Times New Roman" w:cs="Times New Roman"/>
                <w:kern w:val="0"/>
                <w:sz w:val="20"/>
                <w:szCs w:val="20"/>
              </w:rPr>
            </w:pPr>
          </w:p>
        </w:tc>
        <w:tc>
          <w:tcPr>
            <w:tcW w:w="912" w:type="pct"/>
            <w:gridSpan w:val="2"/>
            <w:vAlign w:val="center"/>
          </w:tcPr>
          <w:p>
            <w:pPr>
              <w:pStyle w:val="2"/>
              <w:jc w:val="right"/>
              <w:rPr>
                <w:sz w:val="20"/>
                <w:szCs w:val="20"/>
              </w:rPr>
            </w:pPr>
            <w:r>
              <w:rPr>
                <w:sz w:val="20"/>
                <w:szCs w:val="20"/>
              </w:rPr>
              <w:t>公开04表</w:t>
            </w:r>
          </w:p>
        </w:tc>
      </w:tr>
      <w:tr>
        <w:tblPrEx>
          <w:tblCellMar>
            <w:top w:w="0" w:type="dxa"/>
            <w:left w:w="0" w:type="dxa"/>
            <w:bottom w:w="0" w:type="dxa"/>
            <w:right w:w="0" w:type="dxa"/>
          </w:tblCellMar>
        </w:tblPrEx>
        <w:trPr>
          <w:tblCellSpacing w:w="0" w:type="dxa"/>
          <w:jc w:val="center"/>
        </w:trPr>
        <w:tc>
          <w:tcPr>
            <w:tcW w:w="4087" w:type="pct"/>
            <w:gridSpan w:val="7"/>
            <w:vAlign w:val="center"/>
          </w:tcPr>
          <w:p>
            <w:pPr>
              <w:pStyle w:val="2"/>
              <w:rPr>
                <w:sz w:val="22"/>
                <w:szCs w:val="22"/>
              </w:rPr>
            </w:pPr>
            <w:r>
              <w:rPr>
                <w:sz w:val="22"/>
                <w:szCs w:val="22"/>
              </w:rPr>
              <w:t>部门：永州市冷水滩区委网信办</w:t>
            </w:r>
          </w:p>
        </w:tc>
        <w:tc>
          <w:tcPr>
            <w:tcW w:w="912"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支 出</w:t>
            </w:r>
          </w:p>
        </w:tc>
      </w:tr>
      <w:tr>
        <w:tblPrEx>
          <w:tblCellMar>
            <w:top w:w="0" w:type="dxa"/>
            <w:left w:w="0" w:type="dxa"/>
            <w:bottom w:w="0" w:type="dxa"/>
            <w:right w:w="0" w:type="dxa"/>
          </w:tblCellMar>
        </w:tblPrEx>
        <w:trPr>
          <w:trHeight w:val="285"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国有资本经营预算财政拨款</w:t>
            </w:r>
          </w:p>
        </w:tc>
      </w:tr>
      <w:tr>
        <w:tblPrEx>
          <w:tblCellMar>
            <w:top w:w="0" w:type="dxa"/>
            <w:left w:w="0" w:type="dxa"/>
            <w:bottom w:w="0" w:type="dxa"/>
            <w:right w:w="0" w:type="dxa"/>
          </w:tblCellMar>
        </w:tblPrEx>
        <w:trPr>
          <w:trHeight w:val="285" w:hRule="atLeast"/>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165"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165"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33</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34</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7</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39</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41</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44</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17</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49</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51</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54</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27</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59</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456"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61</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32</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64</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456"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9"/>
            <w:vAlign w:val="center"/>
          </w:tcPr>
          <w:p>
            <w:pPr>
              <w:pStyle w:val="2"/>
              <w:rPr>
                <w:sz w:val="22"/>
                <w:szCs w:val="22"/>
              </w:rPr>
            </w:pPr>
            <w:r>
              <w:rPr>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452"/>
        <w:gridCol w:w="452"/>
        <w:gridCol w:w="455"/>
        <w:gridCol w:w="5398"/>
        <w:gridCol w:w="3092"/>
        <w:gridCol w:w="3093"/>
        <w:gridCol w:w="3096"/>
      </w:tblGrid>
      <w:tr>
        <w:tblPrEx>
          <w:tblCellMar>
            <w:top w:w="0" w:type="dxa"/>
            <w:left w:w="0" w:type="dxa"/>
            <w:bottom w:w="0" w:type="dxa"/>
            <w:right w:w="0" w:type="dxa"/>
          </w:tblCellMar>
        </w:tblPrEx>
        <w:trPr>
          <w:tblCellSpacing w:w="0" w:type="dxa"/>
          <w:jc w:val="center"/>
        </w:trPr>
        <w:tc>
          <w:tcPr>
            <w:tcW w:w="5000" w:type="pct"/>
            <w:gridSpan w:val="7"/>
            <w:vAlign w:val="center"/>
          </w:tcPr>
          <w:p>
            <w:pPr>
              <w:pStyle w:val="2"/>
              <w:jc w:val="center"/>
              <w:rPr>
                <w:rFonts w:hint="eastAsia"/>
                <w:sz w:val="40"/>
                <w:szCs w:val="40"/>
              </w:rPr>
            </w:pPr>
            <w:r>
              <w:rPr>
                <w:sz w:val="40"/>
                <w:szCs w:val="40"/>
              </w:rPr>
              <w:t>一般公共预算财政拨款支出决算表</w:t>
            </w:r>
          </w:p>
        </w:tc>
      </w:tr>
      <w:tr>
        <w:tblPrEx>
          <w:tblCellMar>
            <w:top w:w="0" w:type="dxa"/>
            <w:left w:w="0" w:type="dxa"/>
            <w:bottom w:w="0" w:type="dxa"/>
            <w:right w:w="0" w:type="dxa"/>
          </w:tblCellMar>
        </w:tblPrEx>
        <w:trPr>
          <w:tblCellSpacing w:w="0" w:type="dxa"/>
          <w:jc w:val="center"/>
        </w:trPr>
        <w:tc>
          <w:tcPr>
            <w:tcW w:w="141" w:type="pct"/>
            <w:vAlign w:val="center"/>
          </w:tcPr>
          <w:p>
            <w:pPr>
              <w:rPr>
                <w:sz w:val="40"/>
                <w:szCs w:val="40"/>
              </w:rPr>
            </w:pPr>
          </w:p>
        </w:tc>
        <w:tc>
          <w:tcPr>
            <w:tcW w:w="141" w:type="pct"/>
            <w:vAlign w:val="center"/>
          </w:tcPr>
          <w:p>
            <w:pPr>
              <w:rPr>
                <w:rFonts w:ascii="Times New Roman" w:hAnsi="Times New Roman" w:eastAsia="Times New Roman" w:cs="Times New Roman"/>
                <w:kern w:val="0"/>
                <w:sz w:val="20"/>
                <w:szCs w:val="20"/>
              </w:rPr>
            </w:pPr>
          </w:p>
        </w:tc>
        <w:tc>
          <w:tcPr>
            <w:tcW w:w="141" w:type="pct"/>
            <w:vAlign w:val="center"/>
          </w:tcPr>
          <w:p>
            <w:pPr>
              <w:rPr>
                <w:rFonts w:ascii="Times New Roman" w:hAnsi="Times New Roman" w:eastAsia="Times New Roman" w:cs="Times New Roman"/>
                <w:kern w:val="0"/>
                <w:sz w:val="20"/>
                <w:szCs w:val="20"/>
              </w:rPr>
            </w:pPr>
          </w:p>
        </w:tc>
        <w:tc>
          <w:tcPr>
            <w:tcW w:w="1683" w:type="pct"/>
            <w:vAlign w:val="center"/>
          </w:tcPr>
          <w:p>
            <w:pPr>
              <w:rPr>
                <w:rFonts w:ascii="Times New Roman" w:hAnsi="Times New Roman" w:eastAsia="Times New Roman" w:cs="Times New Roman"/>
                <w:kern w:val="0"/>
                <w:sz w:val="20"/>
                <w:szCs w:val="20"/>
              </w:rPr>
            </w:pPr>
          </w:p>
        </w:tc>
        <w:tc>
          <w:tcPr>
            <w:tcW w:w="964" w:type="pct"/>
            <w:vAlign w:val="center"/>
          </w:tcPr>
          <w:p>
            <w:pPr>
              <w:rPr>
                <w:rFonts w:ascii="Times New Roman" w:hAnsi="Times New Roman" w:eastAsia="Times New Roman" w:cs="Times New Roman"/>
                <w:kern w:val="0"/>
                <w:sz w:val="20"/>
                <w:szCs w:val="20"/>
              </w:rPr>
            </w:pPr>
          </w:p>
        </w:tc>
        <w:tc>
          <w:tcPr>
            <w:tcW w:w="1928" w:type="pct"/>
            <w:gridSpan w:val="2"/>
            <w:vAlign w:val="center"/>
          </w:tcPr>
          <w:p>
            <w:pPr>
              <w:pStyle w:val="2"/>
              <w:jc w:val="right"/>
              <w:rPr>
                <w:sz w:val="20"/>
                <w:szCs w:val="20"/>
              </w:rPr>
            </w:pPr>
            <w:r>
              <w:rPr>
                <w:sz w:val="20"/>
                <w:szCs w:val="20"/>
              </w:rPr>
              <w:t>公开05表</w:t>
            </w:r>
          </w:p>
        </w:tc>
      </w:tr>
      <w:tr>
        <w:tblPrEx>
          <w:tblCellMar>
            <w:top w:w="0" w:type="dxa"/>
            <w:left w:w="0" w:type="dxa"/>
            <w:bottom w:w="0" w:type="dxa"/>
            <w:right w:w="0" w:type="dxa"/>
          </w:tblCellMar>
        </w:tblPrEx>
        <w:trPr>
          <w:tblCellSpacing w:w="0" w:type="dxa"/>
          <w:jc w:val="center"/>
        </w:trPr>
        <w:tc>
          <w:tcPr>
            <w:tcW w:w="3071" w:type="pct"/>
            <w:gridSpan w:val="5"/>
            <w:vAlign w:val="center"/>
          </w:tcPr>
          <w:p>
            <w:pPr>
              <w:pStyle w:val="2"/>
              <w:rPr>
                <w:sz w:val="22"/>
                <w:szCs w:val="22"/>
              </w:rPr>
            </w:pPr>
            <w:r>
              <w:rPr>
                <w:sz w:val="22"/>
                <w:szCs w:val="22"/>
              </w:rPr>
              <w:t>部门：永州市冷水滩区委网信办</w:t>
            </w:r>
          </w:p>
        </w:tc>
        <w:tc>
          <w:tcPr>
            <w:tcW w:w="1928"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本年支出</w:t>
            </w:r>
          </w:p>
        </w:tc>
      </w:tr>
      <w:tr>
        <w:tblPrEx>
          <w:tblCellMar>
            <w:top w:w="0" w:type="dxa"/>
            <w:left w:w="0" w:type="dxa"/>
            <w:bottom w:w="0" w:type="dxa"/>
            <w:right w:w="0" w:type="dxa"/>
          </w:tblCellMar>
        </w:tblPrEx>
        <w:trPr>
          <w:trHeight w:val="285" w:hRule="atLeast"/>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项目支出</w:t>
            </w: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130.65</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86.12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44.53</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一般公共服务支出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86.12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44.53</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20137</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网信事务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130.65</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86.12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44.53</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2013701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86.12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86.12</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2013702</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44.53</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44.53</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68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8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8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8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7"/>
            <w:vAlign w:val="center"/>
          </w:tcPr>
          <w:p>
            <w:pPr>
              <w:pStyle w:val="2"/>
              <w:rPr>
                <w:sz w:val="22"/>
                <w:szCs w:val="22"/>
              </w:rPr>
            </w:pPr>
            <w:r>
              <w:rPr>
                <w:sz w:val="22"/>
                <w:szCs w:val="22"/>
              </w:rPr>
              <w:t>注：本表反映部门本年度一般公共预算财政拨款支出情况。本表金额转换为万元时，因四舍五入可能存在尾数误差。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CellMar>
            <w:top w:w="0" w:type="dxa"/>
            <w:left w:w="0" w:type="dxa"/>
            <w:bottom w:w="0" w:type="dxa"/>
            <w:right w:w="0" w:type="dxa"/>
          </w:tblCellMar>
        </w:tblPrEx>
        <w:trPr>
          <w:tblCellSpacing w:w="0" w:type="dxa"/>
          <w:jc w:val="center"/>
        </w:trPr>
        <w:tc>
          <w:tcPr>
            <w:tcW w:w="5000" w:type="pct"/>
            <w:gridSpan w:val="9"/>
            <w:vAlign w:val="center"/>
          </w:tcPr>
          <w:p>
            <w:pPr>
              <w:pStyle w:val="2"/>
              <w:jc w:val="center"/>
              <w:rPr>
                <w:rFonts w:hint="eastAsia"/>
                <w:sz w:val="40"/>
                <w:szCs w:val="40"/>
              </w:rPr>
            </w:pPr>
            <w:r>
              <w:rPr>
                <w:sz w:val="40"/>
                <w:szCs w:val="40"/>
              </w:rPr>
              <w:t>一般公共预算财政拨款基本支出决算明细表</w:t>
            </w:r>
          </w:p>
        </w:tc>
      </w:tr>
      <w:tr>
        <w:tblPrEx>
          <w:tblCellMar>
            <w:top w:w="0" w:type="dxa"/>
            <w:left w:w="0" w:type="dxa"/>
            <w:bottom w:w="0" w:type="dxa"/>
            <w:right w:w="0" w:type="dxa"/>
          </w:tblCellMar>
        </w:tblPrEx>
        <w:trPr>
          <w:tblCellSpacing w:w="0" w:type="dxa"/>
          <w:jc w:val="center"/>
        </w:trPr>
        <w:tc>
          <w:tcPr>
            <w:tcW w:w="224" w:type="pct"/>
            <w:vAlign w:val="center"/>
          </w:tcPr>
          <w:p>
            <w:pPr>
              <w:rPr>
                <w:sz w:val="40"/>
                <w:szCs w:val="40"/>
              </w:rPr>
            </w:pPr>
          </w:p>
        </w:tc>
        <w:tc>
          <w:tcPr>
            <w:tcW w:w="1053" w:type="pct"/>
            <w:vAlign w:val="center"/>
          </w:tcPr>
          <w:p>
            <w:pPr>
              <w:rPr>
                <w:rFonts w:ascii="Times New Roman" w:hAnsi="Times New Roman" w:eastAsia="Times New Roman" w:cs="Times New Roman"/>
                <w:kern w:val="0"/>
                <w:sz w:val="20"/>
                <w:szCs w:val="20"/>
              </w:rPr>
            </w:pPr>
          </w:p>
        </w:tc>
        <w:tc>
          <w:tcPr>
            <w:tcW w:w="538" w:type="pct"/>
            <w:vAlign w:val="center"/>
          </w:tcPr>
          <w:p>
            <w:pPr>
              <w:rPr>
                <w:rFonts w:ascii="Times New Roman" w:hAnsi="Times New Roman" w:eastAsia="Times New Roman" w:cs="Times New Roman"/>
                <w:kern w:val="0"/>
                <w:sz w:val="20"/>
                <w:szCs w:val="20"/>
              </w:rPr>
            </w:pPr>
          </w:p>
        </w:tc>
        <w:tc>
          <w:tcPr>
            <w:tcW w:w="224" w:type="pct"/>
            <w:vAlign w:val="center"/>
          </w:tcPr>
          <w:p>
            <w:pPr>
              <w:rPr>
                <w:rFonts w:ascii="Times New Roman" w:hAnsi="Times New Roman" w:eastAsia="Times New Roman" w:cs="Times New Roman"/>
                <w:kern w:val="0"/>
                <w:sz w:val="20"/>
                <w:szCs w:val="20"/>
              </w:rPr>
            </w:pPr>
          </w:p>
        </w:tc>
        <w:tc>
          <w:tcPr>
            <w:tcW w:w="829" w:type="pct"/>
            <w:vAlign w:val="center"/>
          </w:tcPr>
          <w:p>
            <w:pPr>
              <w:rPr>
                <w:rFonts w:ascii="Times New Roman" w:hAnsi="Times New Roman" w:eastAsia="Times New Roman" w:cs="Times New Roman"/>
                <w:kern w:val="0"/>
                <w:sz w:val="20"/>
                <w:szCs w:val="20"/>
              </w:rPr>
            </w:pPr>
          </w:p>
        </w:tc>
        <w:tc>
          <w:tcPr>
            <w:tcW w:w="538" w:type="pct"/>
            <w:vAlign w:val="center"/>
          </w:tcPr>
          <w:p>
            <w:pPr>
              <w:rPr>
                <w:rFonts w:ascii="Times New Roman" w:hAnsi="Times New Roman" w:eastAsia="Times New Roman" w:cs="Times New Roman"/>
                <w:kern w:val="0"/>
                <w:sz w:val="20"/>
                <w:szCs w:val="20"/>
              </w:rPr>
            </w:pPr>
          </w:p>
        </w:tc>
        <w:tc>
          <w:tcPr>
            <w:tcW w:w="224" w:type="pct"/>
            <w:vAlign w:val="center"/>
          </w:tcPr>
          <w:p>
            <w:pPr>
              <w:rPr>
                <w:rFonts w:ascii="Times New Roman" w:hAnsi="Times New Roman" w:eastAsia="Times New Roman" w:cs="Times New Roman"/>
                <w:kern w:val="0"/>
                <w:sz w:val="20"/>
                <w:szCs w:val="20"/>
              </w:rPr>
            </w:pPr>
          </w:p>
        </w:tc>
        <w:tc>
          <w:tcPr>
            <w:tcW w:w="1367" w:type="pct"/>
            <w:gridSpan w:val="2"/>
            <w:vAlign w:val="center"/>
          </w:tcPr>
          <w:p>
            <w:pPr>
              <w:pStyle w:val="2"/>
              <w:jc w:val="right"/>
              <w:rPr>
                <w:sz w:val="18"/>
                <w:szCs w:val="18"/>
              </w:rPr>
            </w:pPr>
            <w:r>
              <w:rPr>
                <w:sz w:val="18"/>
                <w:szCs w:val="18"/>
              </w:rPr>
              <w:t>公开06表</w:t>
            </w:r>
          </w:p>
        </w:tc>
      </w:tr>
      <w:tr>
        <w:tblPrEx>
          <w:tblCellMar>
            <w:top w:w="0" w:type="dxa"/>
            <w:left w:w="0" w:type="dxa"/>
            <w:bottom w:w="0" w:type="dxa"/>
            <w:right w:w="0" w:type="dxa"/>
          </w:tblCellMar>
        </w:tblPrEx>
        <w:trPr>
          <w:tblCellSpacing w:w="0" w:type="dxa"/>
          <w:jc w:val="center"/>
        </w:trPr>
        <w:tc>
          <w:tcPr>
            <w:tcW w:w="3632" w:type="pct"/>
            <w:gridSpan w:val="7"/>
            <w:vAlign w:val="center"/>
          </w:tcPr>
          <w:p>
            <w:pPr>
              <w:pStyle w:val="2"/>
              <w:rPr>
                <w:sz w:val="22"/>
                <w:szCs w:val="22"/>
              </w:rPr>
            </w:pPr>
            <w:r>
              <w:rPr>
                <w:sz w:val="22"/>
                <w:szCs w:val="22"/>
              </w:rPr>
              <w:t>部门：永州市冷水滩区委网信办</w:t>
            </w:r>
          </w:p>
        </w:tc>
        <w:tc>
          <w:tcPr>
            <w:tcW w:w="1367" w:type="pct"/>
            <w:gridSpan w:val="2"/>
            <w:vAlign w:val="center"/>
          </w:tcPr>
          <w:p>
            <w:pPr>
              <w:pStyle w:val="2"/>
              <w:jc w:val="right"/>
              <w:rPr>
                <w:sz w:val="18"/>
                <w:szCs w:val="18"/>
              </w:rPr>
            </w:pPr>
            <w:r>
              <w:rPr>
                <w:sz w:val="18"/>
                <w:szCs w:val="18"/>
              </w:rPr>
              <w:t>金额单位：万元</w:t>
            </w:r>
          </w:p>
        </w:tc>
      </w:tr>
      <w:tr>
        <w:tblPrEx>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公用经费</w:t>
            </w:r>
          </w:p>
        </w:tc>
      </w:tr>
      <w:tr>
        <w:tblPrEx>
          <w:tblCellMar>
            <w:top w:w="0" w:type="dxa"/>
            <w:left w:w="0" w:type="dxa"/>
            <w:bottom w:w="0" w:type="dxa"/>
            <w:right w:w="0" w:type="dxa"/>
          </w:tblCellMar>
        </w:tblPrEx>
        <w:trPr>
          <w:trHeight w:val="285"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决算数</w:t>
            </w:r>
          </w:p>
        </w:tc>
      </w:tr>
      <w:tr>
        <w:tblPrEx>
          <w:tblCellMar>
            <w:top w:w="0" w:type="dxa"/>
            <w:left w:w="0" w:type="dxa"/>
            <w:bottom w:w="0" w:type="dxa"/>
            <w:right w:w="0" w:type="dxa"/>
          </w:tblCellMar>
        </w:tblPrEx>
        <w:trPr>
          <w:trHeight w:val="285" w:hRule="atLeast"/>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80.75</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5.38</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28.46</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0.65</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30701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27.13</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0.67</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30702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奖金</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9.15</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30106</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3.25</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30107</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30108</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8.17</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电费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30110</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30111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30112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0.49</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30113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30114</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0.10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31010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30199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0.19</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0.30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31011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31012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31013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0.17</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31019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31021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30304</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31022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30305</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30306</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30307</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39906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赠与</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30308</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2.70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39907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39908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30310</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30231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39999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30311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30239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30399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30240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0.29</w:t>
            </w:r>
          </w:p>
        </w:tc>
        <w:tc>
          <w:tcPr>
            <w:tcW w:w="22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80.75</w:t>
            </w:r>
          </w:p>
        </w:tc>
        <w:tc>
          <w:tcPr>
            <w:tcW w:w="2645" w:type="pct"/>
            <w:gridSpan w:val="5"/>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5.38</w:t>
            </w:r>
          </w:p>
        </w:tc>
      </w:tr>
      <w:tr>
        <w:tblPrEx>
          <w:tblCellMar>
            <w:top w:w="0" w:type="dxa"/>
            <w:left w:w="0" w:type="dxa"/>
            <w:bottom w:w="0" w:type="dxa"/>
            <w:right w:w="0" w:type="dxa"/>
          </w:tblCellMar>
        </w:tblPrEx>
        <w:trPr>
          <w:tblCellSpacing w:w="0" w:type="dxa"/>
          <w:jc w:val="center"/>
        </w:trPr>
        <w:tc>
          <w:tcPr>
            <w:tcW w:w="5000" w:type="pct"/>
            <w:gridSpan w:val="9"/>
            <w:vAlign w:val="center"/>
          </w:tcPr>
          <w:p>
            <w:pPr>
              <w:pStyle w:val="2"/>
              <w:rPr>
                <w:sz w:val="22"/>
                <w:szCs w:val="22"/>
              </w:rPr>
            </w:pPr>
            <w:r>
              <w:rPr>
                <w:sz w:val="22"/>
                <w:szCs w:val="22"/>
              </w:rPr>
              <w:t>注：本表反映部门本年度一般公共预算财政拨款基本支出明细情况。本表金额转换为万元时，因四舍五入可能存在尾数误差。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CellMar>
            <w:top w:w="0" w:type="dxa"/>
            <w:left w:w="0" w:type="dxa"/>
            <w:bottom w:w="0" w:type="dxa"/>
            <w:right w:w="0" w:type="dxa"/>
          </w:tblCellMar>
        </w:tblPrEx>
        <w:trPr>
          <w:tblCellSpacing w:w="0" w:type="dxa"/>
          <w:jc w:val="center"/>
        </w:trPr>
        <w:tc>
          <w:tcPr>
            <w:tcW w:w="5000" w:type="pct"/>
            <w:gridSpan w:val="12"/>
            <w:vAlign w:val="center"/>
          </w:tcPr>
          <w:p>
            <w:pPr>
              <w:pStyle w:val="2"/>
              <w:jc w:val="center"/>
              <w:rPr>
                <w:rFonts w:hint="eastAsia"/>
                <w:sz w:val="40"/>
                <w:szCs w:val="40"/>
              </w:rPr>
            </w:pPr>
            <w:r>
              <w:rPr>
                <w:sz w:val="40"/>
                <w:szCs w:val="40"/>
              </w:rPr>
              <w:t>一般公共预算财政拨款“三公”经费支出决算表</w:t>
            </w:r>
          </w:p>
        </w:tc>
      </w:tr>
      <w:tr>
        <w:tblPrEx>
          <w:tblCellMar>
            <w:top w:w="0" w:type="dxa"/>
            <w:left w:w="0" w:type="dxa"/>
            <w:bottom w:w="0" w:type="dxa"/>
            <w:right w:w="0" w:type="dxa"/>
          </w:tblCellMar>
        </w:tblPrEx>
        <w:trPr>
          <w:tblCellSpacing w:w="0" w:type="dxa"/>
          <w:jc w:val="center"/>
        </w:trPr>
        <w:tc>
          <w:tcPr>
            <w:tcW w:w="416" w:type="pct"/>
            <w:vAlign w:val="center"/>
          </w:tcPr>
          <w:p>
            <w:pPr>
              <w:rPr>
                <w:sz w:val="40"/>
                <w:szCs w:val="4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833" w:type="pct"/>
            <w:gridSpan w:val="2"/>
            <w:vAlign w:val="center"/>
          </w:tcPr>
          <w:p>
            <w:pPr>
              <w:pStyle w:val="2"/>
              <w:jc w:val="right"/>
              <w:rPr>
                <w:sz w:val="20"/>
                <w:szCs w:val="20"/>
              </w:rPr>
            </w:pPr>
            <w:r>
              <w:rPr>
                <w:sz w:val="20"/>
                <w:szCs w:val="20"/>
              </w:rPr>
              <w:t>公开07表</w:t>
            </w:r>
          </w:p>
        </w:tc>
      </w:tr>
      <w:tr>
        <w:tblPrEx>
          <w:tblCellMar>
            <w:top w:w="0" w:type="dxa"/>
            <w:left w:w="0" w:type="dxa"/>
            <w:bottom w:w="0" w:type="dxa"/>
            <w:right w:w="0" w:type="dxa"/>
          </w:tblCellMar>
        </w:tblPrEx>
        <w:trPr>
          <w:tblCellSpacing w:w="0" w:type="dxa"/>
          <w:jc w:val="center"/>
        </w:trPr>
        <w:tc>
          <w:tcPr>
            <w:tcW w:w="4166" w:type="pct"/>
            <w:gridSpan w:val="10"/>
            <w:vAlign w:val="center"/>
          </w:tcPr>
          <w:p>
            <w:pPr>
              <w:pStyle w:val="2"/>
              <w:rPr>
                <w:sz w:val="22"/>
                <w:szCs w:val="22"/>
              </w:rPr>
            </w:pPr>
            <w:r>
              <w:rPr>
                <w:sz w:val="22"/>
                <w:szCs w:val="22"/>
              </w:rPr>
              <w:t>部门：永州市冷水滩区委网信办</w:t>
            </w:r>
          </w:p>
        </w:tc>
        <w:tc>
          <w:tcPr>
            <w:tcW w:w="833"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决算数</w:t>
            </w:r>
          </w:p>
        </w:tc>
      </w:tr>
      <w:tr>
        <w:tblPrEx>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公务接待费</w:t>
            </w:r>
          </w:p>
        </w:tc>
      </w:tr>
      <w:tr>
        <w:tblPrEx>
          <w:tblCellMar>
            <w:top w:w="0" w:type="dxa"/>
            <w:left w:w="0" w:type="dxa"/>
            <w:bottom w:w="0" w:type="dxa"/>
            <w:right w:w="0" w:type="dxa"/>
          </w:tblCellMar>
        </w:tblPrEx>
        <w:trPr>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小计</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公务用车运行费</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小计</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公务用车运行费</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7</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8</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9</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10</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11</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12</w:t>
            </w: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w:t>
            </w:r>
          </w:p>
        </w:tc>
        <w:tc>
          <w:tcPr>
            <w:tcW w:w="41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1.00</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0.17</w:t>
            </w:r>
          </w:p>
        </w:tc>
        <w:tc>
          <w:tcPr>
            <w:tcW w:w="41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0.17</w:t>
            </w:r>
          </w:p>
        </w:tc>
      </w:tr>
      <w:tr>
        <w:tblPrEx>
          <w:tblCellMar>
            <w:top w:w="0" w:type="dxa"/>
            <w:left w:w="0" w:type="dxa"/>
            <w:bottom w:w="0" w:type="dxa"/>
            <w:right w:w="0" w:type="dxa"/>
          </w:tblCellMar>
        </w:tblPrEx>
        <w:trPr>
          <w:tblCellSpacing w:w="0" w:type="dxa"/>
          <w:jc w:val="center"/>
        </w:trPr>
        <w:tc>
          <w:tcPr>
            <w:tcW w:w="5000" w:type="pct"/>
            <w:gridSpan w:val="12"/>
            <w:vAlign w:val="center"/>
          </w:tcPr>
          <w:p>
            <w:pPr>
              <w:pStyle w:val="2"/>
              <w:rPr>
                <w:sz w:val="22"/>
                <w:szCs w:val="22"/>
              </w:rPr>
            </w:pPr>
            <w:r>
              <w:rPr>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CellMar>
            <w:top w:w="0" w:type="dxa"/>
            <w:left w:w="0" w:type="dxa"/>
            <w:bottom w:w="0" w:type="dxa"/>
            <w:right w:w="0" w:type="dxa"/>
          </w:tblCellMar>
        </w:tblPrEx>
        <w:trPr>
          <w:tblCellSpacing w:w="0" w:type="dxa"/>
          <w:jc w:val="center"/>
        </w:trPr>
        <w:tc>
          <w:tcPr>
            <w:tcW w:w="5000" w:type="pct"/>
            <w:gridSpan w:val="10"/>
            <w:vAlign w:val="center"/>
          </w:tcPr>
          <w:p>
            <w:pPr>
              <w:pStyle w:val="2"/>
              <w:jc w:val="center"/>
              <w:rPr>
                <w:rFonts w:hint="eastAsia"/>
                <w:sz w:val="40"/>
                <w:szCs w:val="40"/>
              </w:rPr>
            </w:pPr>
            <w:r>
              <w:rPr>
                <w:sz w:val="40"/>
                <w:szCs w:val="40"/>
              </w:rPr>
              <w:t>政府性基金预算财政拨款收入支出决算表</w:t>
            </w:r>
          </w:p>
        </w:tc>
      </w:tr>
      <w:tr>
        <w:tblPrEx>
          <w:tblCellMar>
            <w:top w:w="0" w:type="dxa"/>
            <w:left w:w="0" w:type="dxa"/>
            <w:bottom w:w="0" w:type="dxa"/>
            <w:right w:w="0" w:type="dxa"/>
          </w:tblCellMar>
        </w:tblPrEx>
        <w:trPr>
          <w:tblCellSpacing w:w="0" w:type="dxa"/>
          <w:jc w:val="center"/>
        </w:trPr>
        <w:tc>
          <w:tcPr>
            <w:tcW w:w="104" w:type="pct"/>
            <w:vAlign w:val="center"/>
          </w:tcPr>
          <w:p>
            <w:pPr>
              <w:rPr>
                <w:sz w:val="40"/>
                <w:szCs w:val="40"/>
              </w:rPr>
            </w:pPr>
          </w:p>
        </w:tc>
        <w:tc>
          <w:tcPr>
            <w:tcW w:w="104" w:type="pct"/>
            <w:vAlign w:val="center"/>
          </w:tcPr>
          <w:p>
            <w:pPr>
              <w:rPr>
                <w:rFonts w:ascii="Times New Roman" w:hAnsi="Times New Roman" w:eastAsia="Times New Roman" w:cs="Times New Roman"/>
                <w:kern w:val="0"/>
                <w:sz w:val="20"/>
                <w:szCs w:val="20"/>
              </w:rPr>
            </w:pPr>
          </w:p>
        </w:tc>
        <w:tc>
          <w:tcPr>
            <w:tcW w:w="104" w:type="pct"/>
            <w:vAlign w:val="center"/>
          </w:tcPr>
          <w:p>
            <w:pPr>
              <w:rPr>
                <w:rFonts w:ascii="Times New Roman" w:hAnsi="Times New Roman" w:eastAsia="Times New Roman" w:cs="Times New Roman"/>
                <w:kern w:val="0"/>
                <w:sz w:val="20"/>
                <w:szCs w:val="20"/>
              </w:rPr>
            </w:pPr>
          </w:p>
        </w:tc>
        <w:tc>
          <w:tcPr>
            <w:tcW w:w="1078" w:type="pct"/>
            <w:vAlign w:val="center"/>
          </w:tcPr>
          <w:p>
            <w:pPr>
              <w:rPr>
                <w:rFonts w:ascii="Times New Roman" w:hAnsi="Times New Roman" w:eastAsia="Times New Roman" w:cs="Times New Roman"/>
                <w:kern w:val="0"/>
                <w:sz w:val="20"/>
                <w:szCs w:val="20"/>
              </w:rPr>
            </w:pPr>
          </w:p>
        </w:tc>
        <w:tc>
          <w:tcPr>
            <w:tcW w:w="368" w:type="pct"/>
            <w:vAlign w:val="center"/>
          </w:tcPr>
          <w:p>
            <w:pPr>
              <w:rPr>
                <w:rFonts w:ascii="Times New Roman" w:hAnsi="Times New Roman" w:eastAsia="Times New Roman" w:cs="Times New Roman"/>
                <w:kern w:val="0"/>
                <w:sz w:val="20"/>
                <w:szCs w:val="20"/>
              </w:rPr>
            </w:pPr>
          </w:p>
        </w:tc>
        <w:tc>
          <w:tcPr>
            <w:tcW w:w="614" w:type="pct"/>
            <w:vAlign w:val="center"/>
          </w:tcPr>
          <w:p>
            <w:pPr>
              <w:rPr>
                <w:rFonts w:ascii="Times New Roman" w:hAnsi="Times New Roman" w:eastAsia="Times New Roman" w:cs="Times New Roman"/>
                <w:kern w:val="0"/>
                <w:sz w:val="20"/>
                <w:szCs w:val="20"/>
              </w:rPr>
            </w:pPr>
          </w:p>
        </w:tc>
        <w:tc>
          <w:tcPr>
            <w:tcW w:w="335" w:type="pct"/>
            <w:vAlign w:val="center"/>
          </w:tcPr>
          <w:p>
            <w:pPr>
              <w:rPr>
                <w:rFonts w:ascii="Times New Roman" w:hAnsi="Times New Roman" w:eastAsia="Times New Roman" w:cs="Times New Roman"/>
                <w:kern w:val="0"/>
                <w:sz w:val="20"/>
                <w:szCs w:val="20"/>
              </w:rPr>
            </w:pPr>
          </w:p>
        </w:tc>
        <w:tc>
          <w:tcPr>
            <w:tcW w:w="473" w:type="pct"/>
            <w:vAlign w:val="center"/>
          </w:tcPr>
          <w:p>
            <w:pPr>
              <w:rPr>
                <w:rFonts w:ascii="Times New Roman" w:hAnsi="Times New Roman" w:eastAsia="Times New Roman" w:cs="Times New Roman"/>
                <w:kern w:val="0"/>
                <w:sz w:val="20"/>
                <w:szCs w:val="20"/>
              </w:rPr>
            </w:pPr>
          </w:p>
        </w:tc>
        <w:tc>
          <w:tcPr>
            <w:tcW w:w="1816" w:type="pct"/>
            <w:gridSpan w:val="2"/>
            <w:vAlign w:val="center"/>
          </w:tcPr>
          <w:p>
            <w:pPr>
              <w:pStyle w:val="2"/>
              <w:jc w:val="right"/>
              <w:rPr>
                <w:sz w:val="20"/>
                <w:szCs w:val="20"/>
              </w:rPr>
            </w:pPr>
            <w:r>
              <w:rPr>
                <w:sz w:val="20"/>
                <w:szCs w:val="20"/>
              </w:rPr>
              <w:t>公开08表</w:t>
            </w:r>
          </w:p>
        </w:tc>
      </w:tr>
      <w:tr>
        <w:tblPrEx>
          <w:tblCellMar>
            <w:top w:w="0" w:type="dxa"/>
            <w:left w:w="0" w:type="dxa"/>
            <w:bottom w:w="0" w:type="dxa"/>
            <w:right w:w="0" w:type="dxa"/>
          </w:tblCellMar>
        </w:tblPrEx>
        <w:trPr>
          <w:tblCellSpacing w:w="0" w:type="dxa"/>
          <w:jc w:val="center"/>
        </w:trPr>
        <w:tc>
          <w:tcPr>
            <w:tcW w:w="3183" w:type="pct"/>
            <w:gridSpan w:val="8"/>
            <w:vAlign w:val="center"/>
          </w:tcPr>
          <w:p>
            <w:pPr>
              <w:pStyle w:val="2"/>
              <w:rPr>
                <w:sz w:val="22"/>
                <w:szCs w:val="22"/>
              </w:rPr>
            </w:pPr>
            <w:r>
              <w:rPr>
                <w:sz w:val="22"/>
                <w:szCs w:val="22"/>
              </w:rPr>
              <w:t>部门：永州市冷水滩区委网信办</w:t>
            </w:r>
          </w:p>
        </w:tc>
        <w:tc>
          <w:tcPr>
            <w:tcW w:w="1816"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年末结转和结余</w:t>
            </w:r>
          </w:p>
        </w:tc>
      </w:tr>
      <w:tr>
        <w:tblPrEx>
          <w:tblCellMar>
            <w:top w:w="0" w:type="dxa"/>
            <w:left w:w="0" w:type="dxa"/>
            <w:bottom w:w="0" w:type="dxa"/>
            <w:right w:w="0" w:type="dxa"/>
          </w:tblCellMar>
        </w:tblPrEx>
        <w:trPr>
          <w:trHeight w:val="285" w:hRule="atLeast"/>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项目支出</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368"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614"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33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47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47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134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36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0"/>
            <w:vAlign w:val="center"/>
          </w:tcPr>
          <w:p>
            <w:pPr>
              <w:pStyle w:val="2"/>
              <w:rPr>
                <w:sz w:val="22"/>
                <w:szCs w:val="22"/>
              </w:rPr>
            </w:pPr>
            <w:r>
              <w:rPr>
                <w:sz w:val="22"/>
                <w:szCs w:val="22"/>
              </w:rPr>
              <w:t>注：本表反映部门本年度政府性基金预算财政拨款收入、支出及结转和结余情况。本单位没有政府性基金收入，也没有使用政府性基金安排的支出，故本表无数据。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529"/>
        <w:gridCol w:w="529"/>
        <w:gridCol w:w="532"/>
        <w:gridCol w:w="6329"/>
        <w:gridCol w:w="2707"/>
        <w:gridCol w:w="2704"/>
        <w:gridCol w:w="2708"/>
      </w:tblGrid>
      <w:tr>
        <w:tblPrEx>
          <w:tblCellMar>
            <w:top w:w="0" w:type="dxa"/>
            <w:left w:w="0" w:type="dxa"/>
            <w:bottom w:w="0" w:type="dxa"/>
            <w:right w:w="0" w:type="dxa"/>
          </w:tblCellMar>
        </w:tblPrEx>
        <w:trPr>
          <w:tblCellSpacing w:w="0" w:type="dxa"/>
          <w:jc w:val="center"/>
        </w:trPr>
        <w:tc>
          <w:tcPr>
            <w:tcW w:w="5000" w:type="pct"/>
            <w:gridSpan w:val="7"/>
            <w:vAlign w:val="center"/>
          </w:tcPr>
          <w:p>
            <w:pPr>
              <w:pStyle w:val="2"/>
              <w:jc w:val="center"/>
              <w:rPr>
                <w:rFonts w:hint="eastAsia"/>
                <w:sz w:val="40"/>
                <w:szCs w:val="40"/>
              </w:rPr>
            </w:pPr>
            <w:r>
              <w:rPr>
                <w:sz w:val="40"/>
                <w:szCs w:val="40"/>
              </w:rPr>
              <w:t>国有资本经营预算财政拨款支出决算表</w:t>
            </w:r>
          </w:p>
        </w:tc>
      </w:tr>
      <w:tr>
        <w:tblPrEx>
          <w:tblCellMar>
            <w:top w:w="0" w:type="dxa"/>
            <w:left w:w="0" w:type="dxa"/>
            <w:bottom w:w="0" w:type="dxa"/>
            <w:right w:w="0" w:type="dxa"/>
          </w:tblCellMar>
        </w:tblPrEx>
        <w:trPr>
          <w:tblCellSpacing w:w="0" w:type="dxa"/>
          <w:jc w:val="center"/>
        </w:trPr>
        <w:tc>
          <w:tcPr>
            <w:tcW w:w="165" w:type="pct"/>
            <w:vAlign w:val="center"/>
          </w:tcPr>
          <w:p>
            <w:pPr>
              <w:rPr>
                <w:sz w:val="40"/>
                <w:szCs w:val="40"/>
              </w:rPr>
            </w:pPr>
          </w:p>
        </w:tc>
        <w:tc>
          <w:tcPr>
            <w:tcW w:w="165" w:type="pct"/>
            <w:vAlign w:val="center"/>
          </w:tcPr>
          <w:p>
            <w:pPr>
              <w:rPr>
                <w:rFonts w:ascii="Times New Roman" w:hAnsi="Times New Roman" w:eastAsia="Times New Roman" w:cs="Times New Roman"/>
                <w:kern w:val="0"/>
                <w:sz w:val="20"/>
                <w:szCs w:val="20"/>
              </w:rPr>
            </w:pPr>
          </w:p>
        </w:tc>
        <w:tc>
          <w:tcPr>
            <w:tcW w:w="165" w:type="pct"/>
            <w:vAlign w:val="center"/>
          </w:tcPr>
          <w:p>
            <w:pPr>
              <w:rPr>
                <w:rFonts w:ascii="Times New Roman" w:hAnsi="Times New Roman" w:eastAsia="Times New Roman" w:cs="Times New Roman"/>
                <w:kern w:val="0"/>
                <w:sz w:val="20"/>
                <w:szCs w:val="20"/>
              </w:rPr>
            </w:pPr>
          </w:p>
        </w:tc>
        <w:tc>
          <w:tcPr>
            <w:tcW w:w="1972" w:type="pct"/>
            <w:vAlign w:val="center"/>
          </w:tcPr>
          <w:p>
            <w:pPr>
              <w:rPr>
                <w:rFonts w:ascii="Times New Roman" w:hAnsi="Times New Roman" w:eastAsia="Times New Roman" w:cs="Times New Roman"/>
                <w:kern w:val="0"/>
                <w:sz w:val="20"/>
                <w:szCs w:val="20"/>
              </w:rPr>
            </w:pPr>
          </w:p>
        </w:tc>
        <w:tc>
          <w:tcPr>
            <w:tcW w:w="843" w:type="pct"/>
            <w:vAlign w:val="center"/>
          </w:tcPr>
          <w:p>
            <w:pPr>
              <w:rPr>
                <w:rFonts w:ascii="Times New Roman" w:hAnsi="Times New Roman" w:eastAsia="Times New Roman" w:cs="Times New Roman"/>
                <w:kern w:val="0"/>
                <w:sz w:val="20"/>
                <w:szCs w:val="20"/>
              </w:rPr>
            </w:pPr>
          </w:p>
        </w:tc>
        <w:tc>
          <w:tcPr>
            <w:tcW w:w="1686" w:type="pct"/>
            <w:gridSpan w:val="2"/>
            <w:vAlign w:val="center"/>
          </w:tcPr>
          <w:p>
            <w:pPr>
              <w:pStyle w:val="2"/>
              <w:jc w:val="right"/>
              <w:rPr>
                <w:sz w:val="20"/>
                <w:szCs w:val="20"/>
              </w:rPr>
            </w:pPr>
            <w:r>
              <w:rPr>
                <w:sz w:val="20"/>
                <w:szCs w:val="20"/>
              </w:rPr>
              <w:t>公开09表</w:t>
            </w:r>
          </w:p>
        </w:tc>
      </w:tr>
      <w:tr>
        <w:tblPrEx>
          <w:tblCellMar>
            <w:top w:w="0" w:type="dxa"/>
            <w:left w:w="0" w:type="dxa"/>
            <w:bottom w:w="0" w:type="dxa"/>
            <w:right w:w="0" w:type="dxa"/>
          </w:tblCellMar>
        </w:tblPrEx>
        <w:trPr>
          <w:tblCellSpacing w:w="0" w:type="dxa"/>
          <w:jc w:val="center"/>
        </w:trPr>
        <w:tc>
          <w:tcPr>
            <w:tcW w:w="3313" w:type="pct"/>
            <w:gridSpan w:val="5"/>
            <w:vAlign w:val="center"/>
          </w:tcPr>
          <w:p>
            <w:pPr>
              <w:pStyle w:val="2"/>
              <w:rPr>
                <w:sz w:val="22"/>
                <w:szCs w:val="22"/>
              </w:rPr>
            </w:pPr>
            <w:r>
              <w:rPr>
                <w:sz w:val="22"/>
                <w:szCs w:val="22"/>
              </w:rPr>
              <w:t>部门：永州市冷水滩区委网信办</w:t>
            </w:r>
          </w:p>
        </w:tc>
        <w:tc>
          <w:tcPr>
            <w:tcW w:w="1686"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本年支出</w:t>
            </w:r>
          </w:p>
        </w:tc>
      </w:tr>
      <w:tr>
        <w:tblPrEx>
          <w:tblCellMar>
            <w:top w:w="0" w:type="dxa"/>
            <w:left w:w="0" w:type="dxa"/>
            <w:bottom w:w="0" w:type="dxa"/>
            <w:right w:w="0" w:type="dxa"/>
          </w:tblCellMar>
        </w:tblPrEx>
        <w:trPr>
          <w:trHeight w:val="285" w:hRule="atLeast"/>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项目支出</w:t>
            </w: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843"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7"/>
            <w:vAlign w:val="center"/>
          </w:tcPr>
          <w:p>
            <w:pPr>
              <w:pStyle w:val="2"/>
              <w:rPr>
                <w:sz w:val="22"/>
                <w:szCs w:val="22"/>
              </w:rPr>
            </w:pPr>
            <w:r>
              <w:rPr>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widowControl/>
        <w:jc w:val="left"/>
        <w:rPr>
          <w:rFonts w:ascii="宋体" w:hAnsi="宋体" w:eastAsia="宋体" w:cs="宋体"/>
          <w:color w:val="000000"/>
          <w:kern w:val="0"/>
          <w:sz w:val="32"/>
          <w:szCs w:val="32"/>
        </w:rPr>
        <w:sectPr>
          <w:pgSz w:w="16838" w:h="11906"/>
          <w:pgMar w:top="1080" w:right="400" w:bottom="1080" w:left="400" w:header="851" w:footer="992" w:gutter="0"/>
          <w:cols w:space="720" w:num="1"/>
          <w:docGrid w:type="lines" w:linePitch="160" w:charSpace="0"/>
        </w:sectPr>
      </w:pPr>
    </w:p>
    <w:p>
      <w:pPr>
        <w:spacing w:after="2"/>
        <w:jc w:val="center"/>
        <w:rPr>
          <w:color w:val="000000"/>
          <w:szCs w:val="21"/>
        </w:rPr>
      </w:pPr>
      <w:r>
        <w:rPr>
          <w:rFonts w:hint="eastAsia" w:ascii="宋体" w:hAnsi="宋体" w:eastAsia="宋体"/>
          <w:b/>
          <w:bCs/>
          <w:color w:val="000000"/>
          <w:sz w:val="36"/>
          <w:szCs w:val="36"/>
        </w:rPr>
        <w:t>第三部分 2021年度部门决算情况说明</w:t>
      </w:r>
      <w:r>
        <w:rPr>
          <w:rFonts w:hint="eastAsia"/>
          <w:color w:val="000000"/>
          <w:szCs w:val="21"/>
        </w:rPr>
        <w:t xml:space="preserve"> </w:t>
      </w:r>
    </w:p>
    <w:p>
      <w:pPr>
        <w:rPr>
          <w:rFonts w:hint="eastAsia"/>
          <w:color w:val="000000"/>
        </w:rPr>
      </w:pPr>
    </w:p>
    <w:p>
      <w:pPr>
        <w:pStyle w:val="8"/>
        <w:spacing w:after="2"/>
        <w:ind w:firstLine="641"/>
        <w:rPr>
          <w:rFonts w:hint="eastAsia"/>
          <w:color w:val="000000"/>
          <w:sz w:val="27"/>
          <w:szCs w:val="27"/>
        </w:rPr>
      </w:pPr>
      <w:r>
        <w:rPr>
          <w:rFonts w:hint="eastAsia" w:ascii="宋体" w:hAnsi="宋体" w:eastAsia="宋体"/>
          <w:b/>
          <w:bCs/>
          <w:color w:val="000000"/>
          <w:sz w:val="32"/>
          <w:szCs w:val="32"/>
        </w:rPr>
        <w:t>一、收入支出决算总体情况说明</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2021年度收、支总计130.65万元。与上一年度相比，收、支总计各增加57.98万元，增长79.79%。主要是因为</w:t>
      </w:r>
      <w:r>
        <w:rPr>
          <w:rStyle w:val="10"/>
          <w:rFonts w:hint="eastAsia" w:ascii="宋体" w:hAnsi="宋体" w:eastAsia="宋体"/>
          <w:color w:val="000000"/>
          <w:sz w:val="32"/>
          <w:szCs w:val="32"/>
        </w:rPr>
        <w:t>本单位为新成立单位，人员增多，工资及津贴增多，网络舆情投入经费增加。</w:t>
      </w:r>
      <w:r>
        <w:rPr>
          <w:rFonts w:hint="eastAsia" w:ascii="宋体" w:hAnsi="宋体" w:eastAsia="宋体"/>
          <w:color w:val="000000"/>
          <w:sz w:val="32"/>
          <w:szCs w:val="32"/>
        </w:rPr>
        <w:t>。</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二、收入决算情况说明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2021年度收入合计130.65万元，其中：财政拨款收入130.65万元，占100%；上级补助收入0万元，占0%；事业收入0万元，占0%；经营收入0万元，占0%；附属单位上缴收入0万元，占0%；其他收入0万元，占0%。</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三、支出决算情况说明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2021年度支出合计130.65万元，其中：基本支出86.12万元，占65.92%；项目支出44.53万元，占34.08%；上缴上级支出0万元，占0%；经营支出0万元，占0%；对附属单位补助支出0万元，占0%。</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四、财政拨款收入支出决算总体情况说明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2021年度财政拨款收、支总计130.65万元。与上一年度相比，财政拨款收、支总计各增加57.98万元，增长79.79%。主要是因为</w:t>
      </w:r>
      <w:r>
        <w:rPr>
          <w:rStyle w:val="10"/>
          <w:rFonts w:hint="eastAsia" w:ascii="宋体" w:hAnsi="宋体" w:eastAsia="宋体"/>
          <w:color w:val="000000"/>
          <w:sz w:val="32"/>
          <w:szCs w:val="32"/>
        </w:rPr>
        <w:t>本单位为新成立单位，人员增多，工资及津贴增多，网络舆情投入经费增加。</w:t>
      </w:r>
      <w:r>
        <w:rPr>
          <w:rFonts w:hint="eastAsia" w:ascii="宋体" w:hAnsi="宋体" w:eastAsia="宋体"/>
          <w:color w:val="000000"/>
          <w:sz w:val="32"/>
          <w:szCs w:val="32"/>
        </w:rPr>
        <w:t>。</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五、一般公共预算财政拨款支出决算情况说明</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（一）财政拨款支出决算总体情况</w:t>
      </w:r>
      <w:r>
        <w:rPr>
          <w:rFonts w:hint="eastAsia"/>
          <w:color w:val="000000"/>
          <w:sz w:val="27"/>
          <w:szCs w:val="27"/>
        </w:rPr>
        <w:t xml:space="preserve"> </w:t>
      </w:r>
    </w:p>
    <w:p>
      <w:pPr>
        <w:pStyle w:val="8"/>
        <w:spacing w:after="2"/>
        <w:ind w:firstLine="855"/>
        <w:rPr>
          <w:rFonts w:hint="eastAsia" w:ascii="宋体" w:hAnsi="宋体" w:eastAsia="宋体"/>
          <w:color w:val="000000"/>
          <w:sz w:val="32"/>
          <w:szCs w:val="32"/>
        </w:rPr>
      </w:pPr>
      <w:r>
        <w:rPr>
          <w:rFonts w:hint="eastAsia" w:ascii="宋体" w:hAnsi="宋体" w:eastAsia="宋体"/>
          <w:color w:val="000000"/>
          <w:sz w:val="32"/>
          <w:szCs w:val="32"/>
        </w:rPr>
        <w:t>2021年度财政拨款支出130.65万元，占本年支出合计的100%。与上一年度相比，财政拨款支出增加57.98万元，增长79.79%。主要是因为</w:t>
      </w:r>
      <w:r>
        <w:rPr>
          <w:rStyle w:val="10"/>
          <w:rFonts w:hint="eastAsia" w:ascii="宋体" w:hAnsi="宋体" w:eastAsia="宋体"/>
          <w:color w:val="000000"/>
          <w:sz w:val="32"/>
          <w:szCs w:val="32"/>
        </w:rPr>
        <w:t>本单位为新成立单位，人员增多，工资及津贴增多，网络舆情投入经费增加。</w:t>
      </w:r>
      <w:r>
        <w:rPr>
          <w:rFonts w:hint="eastAsia" w:ascii="宋体" w:hAnsi="宋体" w:eastAsia="宋体"/>
          <w:color w:val="000000"/>
          <w:sz w:val="32"/>
          <w:szCs w:val="32"/>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（二）财政拨款支出决算结构情况</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2021年度财政拨款支出130.65万元，主要用于以下方面：一般公共服务支出130.65万元，占100%。</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b/>
          <w:bCs/>
          <w:color w:val="000000"/>
          <w:sz w:val="32"/>
          <w:szCs w:val="32"/>
        </w:rPr>
        <w:t>（三）财政拨款支出决算具体情况</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2021年度财政拨款支出年初预算数为116.2万元，支出决算数为130.65万元，完成年初预算的112.43%，其中：</w:t>
      </w:r>
      <w:r>
        <w:rPr>
          <w:rFonts w:hint="eastAsia"/>
          <w:color w:val="000000"/>
          <w:sz w:val="27"/>
          <w:szCs w:val="27"/>
        </w:rPr>
        <w:t xml:space="preserve"> </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1、一般公共服务支出（类）网信事务（款）行政运行（项）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年初预算为62.54万元，支出决算为86.12万元，完成年初预算的137.7%。决算数大于年初预算数的主要原因是：</w:t>
      </w:r>
      <w:r>
        <w:rPr>
          <w:rStyle w:val="10"/>
          <w:rFonts w:hint="eastAsia" w:ascii="宋体" w:hAnsi="宋体" w:eastAsia="宋体"/>
          <w:color w:val="000000"/>
          <w:sz w:val="32"/>
          <w:szCs w:val="32"/>
        </w:rPr>
        <w:t>本单位为新成立单位，人员增多，工资及津贴增加</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2、一般公共服务支出（类）网信事务（款）一般行政管理事务（项）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年初预算为50万元，支出决算为44.53万元，完成年初预算的89.06%。决算数小于年初预算数的主要原因是：</w:t>
      </w:r>
      <w:r>
        <w:rPr>
          <w:rStyle w:val="10"/>
          <w:rFonts w:hint="eastAsia" w:ascii="宋体" w:hAnsi="宋体" w:eastAsia="宋体"/>
          <w:color w:val="000000"/>
          <w:sz w:val="32"/>
          <w:szCs w:val="32"/>
        </w:rPr>
        <w:t>节约开支，减少支出经费</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Fonts w:hint="eastAsia" w:ascii="宋体" w:hAnsi="宋体" w:eastAsia="宋体"/>
          <w:b/>
          <w:bCs/>
          <w:color w:val="000000"/>
          <w:sz w:val="32"/>
          <w:szCs w:val="32"/>
        </w:rPr>
        <w:t>六、一般公共预算财政拨款基本支出决算情况说明</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2021年度财政拨款基本支出86.12万元，其中：人员经费80.75万元，占基本支出的93.75%，主要包括：基本工资、津贴补贴、奖金、伙食补助费、机关事业单位基本养老保险缴费、职工基本医疗保险缴费、其他工资福利支出。公用经费5.38万元，占基本支出的6.25%，主要包括：办公费、印刷费、差旅费、维修（护）费、租赁费、公务接待费、工会经费、其他商品和服务支出。</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七、一般公共预算财政拨款三公经费支出决算情况说明</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（一）“三公”经费财政拨款支出决算总体情况说明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2021年度“三公”经费财政拨款支出预算为1万元，支出决算为0.17万元，完成预算的17%，其中：</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因公出国（境）费支出预算为0万元，支出决算为0万元，决算数与预算数一致，我单位严格按预算执行决算，因公出国（境）费支出与上年持平。</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公务接待费支出预算为1万元，支出决算为0.17万元，完成预算的17%，决算数小于预算数的主要原因是</w:t>
      </w:r>
      <w:r>
        <w:rPr>
          <w:rStyle w:val="10"/>
          <w:rFonts w:hint="eastAsia" w:ascii="宋体" w:hAnsi="宋体" w:eastAsia="宋体"/>
          <w:color w:val="000000"/>
          <w:sz w:val="32"/>
          <w:szCs w:val="32"/>
        </w:rPr>
        <w:t>厉行节约，减少三公开支。</w:t>
      </w:r>
      <w:r>
        <w:rPr>
          <w:rFonts w:hint="eastAsia" w:ascii="宋体" w:hAnsi="宋体" w:eastAsia="宋体"/>
          <w:color w:val="000000"/>
          <w:sz w:val="32"/>
          <w:szCs w:val="32"/>
        </w:rPr>
        <w:t xml:space="preserve"> ，与上年相比增加0.16万元，增长1,600%，增长的主要原因是</w:t>
      </w:r>
      <w:r>
        <w:rPr>
          <w:rStyle w:val="10"/>
          <w:rFonts w:hint="eastAsia" w:ascii="宋体" w:hAnsi="宋体" w:eastAsia="宋体"/>
          <w:color w:val="000000"/>
          <w:sz w:val="32"/>
          <w:szCs w:val="32"/>
        </w:rPr>
        <w:t>对外业务量增加</w:t>
      </w:r>
      <w:r>
        <w:rPr>
          <w:rFonts w:hint="eastAsia" w:ascii="宋体" w:hAnsi="宋体" w:eastAsia="宋体"/>
          <w:color w:val="000000"/>
          <w:sz w:val="32"/>
          <w:szCs w:val="32"/>
        </w:rPr>
        <w:t>。</w:t>
      </w:r>
    </w:p>
    <w:p>
      <w:pPr>
        <w:pStyle w:val="8"/>
        <w:spacing w:after="2"/>
        <w:ind w:firstLine="640"/>
        <w:rPr>
          <w:rFonts w:hint="eastAsia"/>
          <w:color w:val="000000"/>
          <w:sz w:val="27"/>
          <w:szCs w:val="27"/>
        </w:rPr>
      </w:pPr>
      <w:r>
        <w:rPr>
          <w:rFonts w:hint="eastAsia" w:ascii="宋体" w:hAnsi="宋体" w:eastAsia="宋体"/>
          <w:color w:val="000000"/>
          <w:sz w:val="32"/>
          <w:szCs w:val="32"/>
        </w:rPr>
        <w:t>公务用车购置费支出预算为0万元，支出决算为0万元，决算数与预算数一致，我单位严格按预算执行决算，公务用车购置费支出与上年持平。</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公务用车运行维护费支出预算为0万元，支出决算为0万元，决算数与预算数一致，我单位严格按预算执行决算，公务用车运行维护费支出与上年持平。</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（二）“三公”经费财政拨款支出决算具体情况说明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2021年度“三公”经费财政拨款支出决算中，公务接待费支出决算0.17万元，占100%，因公出国（境）费支出决算0万元，占0%，公务用车购置费及运行维护费支出决算0万元，占0%。其中：</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1、因公出国（境）费支出决算为0万元，全年安排因公出国（境）团组0个，累计0人次，我单位2021年度无因公出国（境）费支出。</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2、公务接待费支出决算为0.17万元，全年共接待来访团组3个、来宾21人次，主要是</w:t>
      </w:r>
      <w:r>
        <w:rPr>
          <w:rStyle w:val="10"/>
          <w:rFonts w:hint="eastAsia" w:ascii="宋体" w:hAnsi="宋体" w:eastAsia="宋体"/>
          <w:color w:val="000000"/>
          <w:sz w:val="32"/>
          <w:szCs w:val="32"/>
        </w:rPr>
        <w:t>接待社会网络大V及网友</w:t>
      </w:r>
      <w:r>
        <w:rPr>
          <w:rFonts w:hint="eastAsia" w:ascii="宋体" w:hAnsi="宋体" w:eastAsia="宋体"/>
          <w:color w:val="000000"/>
          <w:sz w:val="32"/>
          <w:szCs w:val="32"/>
        </w:rPr>
        <w:t>发生的接待支出。</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八、政府性基金预算收入支出决算情况</w:t>
      </w:r>
      <w:r>
        <w:rPr>
          <w:rFonts w:hint="eastAsia"/>
          <w:color w:val="000000"/>
          <w:sz w:val="27"/>
          <w:szCs w:val="27"/>
        </w:rPr>
        <w:t xml:space="preserve"> </w:t>
      </w:r>
    </w:p>
    <w:p>
      <w:pPr>
        <w:pStyle w:val="8"/>
        <w:spacing w:after="2"/>
        <w:ind w:firstLine="641"/>
        <w:rPr>
          <w:rFonts w:hint="eastAsia" w:ascii="宋体" w:hAnsi="宋体" w:eastAsia="宋体"/>
          <w:color w:val="000000"/>
          <w:sz w:val="32"/>
          <w:szCs w:val="32"/>
        </w:rPr>
      </w:pPr>
      <w:r>
        <w:rPr>
          <w:rFonts w:hint="eastAsia" w:ascii="宋体" w:hAnsi="宋体" w:eastAsia="宋体"/>
          <w:color w:val="000000"/>
          <w:sz w:val="32"/>
          <w:szCs w:val="32"/>
        </w:rPr>
        <w:t xml:space="preserve">冷水滩区网络安全和信息化领导小组办公室2021年度没有政府性基金收入，也没有使用政府性基金安排的支出，并已公开空表。 </w:t>
      </w:r>
    </w:p>
    <w:p>
      <w:pPr>
        <w:pStyle w:val="8"/>
        <w:spacing w:after="2"/>
        <w:ind w:firstLine="641"/>
        <w:rPr>
          <w:rFonts w:hint="eastAsia"/>
          <w:color w:val="000000"/>
          <w:sz w:val="27"/>
          <w:szCs w:val="27"/>
        </w:rPr>
      </w:pPr>
      <w:r>
        <w:rPr>
          <w:rFonts w:hint="eastAsia" w:ascii="宋体" w:hAnsi="宋体" w:eastAsia="宋体"/>
          <w:b/>
          <w:bCs/>
          <w:color w:val="000000"/>
          <w:sz w:val="32"/>
          <w:szCs w:val="32"/>
        </w:rPr>
        <w:t>九、关于机关运行经费支出说明</w:t>
      </w:r>
      <w:r>
        <w:rPr>
          <w:rFonts w:hint="eastAsia"/>
          <w:color w:val="000000"/>
          <w:sz w:val="27"/>
          <w:szCs w:val="27"/>
        </w:rPr>
        <w:t xml:space="preserve"> </w:t>
      </w:r>
    </w:p>
    <w:p>
      <w:pPr>
        <w:pStyle w:val="8"/>
        <w:spacing w:after="2"/>
        <w:ind w:firstLine="640"/>
        <w:rPr>
          <w:rFonts w:hint="eastAsia" w:ascii="宋体" w:hAnsi="宋体" w:eastAsia="宋体"/>
          <w:color w:val="000000"/>
          <w:sz w:val="32"/>
          <w:szCs w:val="32"/>
        </w:rPr>
      </w:pPr>
      <w:r>
        <w:rPr>
          <w:rFonts w:hint="eastAsia" w:ascii="宋体" w:hAnsi="宋体" w:eastAsia="宋体"/>
          <w:color w:val="000000"/>
          <w:sz w:val="32"/>
          <w:szCs w:val="32"/>
        </w:rPr>
        <w:t>冷水滩区网络安全和信息化领导小组办公室2021年度机关运行经费支出5.38万元，比年初预算数减少2.5万元，下降31.71%。主要原因是：</w:t>
      </w:r>
      <w:r>
        <w:rPr>
          <w:rStyle w:val="10"/>
          <w:rFonts w:hint="eastAsia" w:ascii="宋体" w:hAnsi="宋体" w:eastAsia="宋体"/>
          <w:color w:val="000000"/>
          <w:sz w:val="32"/>
          <w:szCs w:val="32"/>
        </w:rPr>
        <w:t>厉行节约，减少开支</w:t>
      </w:r>
      <w:r>
        <w:rPr>
          <w:rFonts w:hint="eastAsia" w:ascii="宋体" w:hAnsi="宋体" w:eastAsia="宋体"/>
          <w:color w:val="000000"/>
          <w:sz w:val="32"/>
          <w:szCs w:val="32"/>
        </w:rPr>
        <w:t xml:space="preserve">。 </w:t>
      </w:r>
    </w:p>
    <w:p>
      <w:pPr>
        <w:pStyle w:val="8"/>
        <w:spacing w:after="2"/>
        <w:ind w:firstLine="640"/>
        <w:rPr>
          <w:rFonts w:hint="eastAsia"/>
          <w:color w:val="000000"/>
          <w:sz w:val="27"/>
          <w:szCs w:val="27"/>
        </w:rPr>
      </w:pPr>
      <w:r>
        <w:rPr>
          <w:rFonts w:hint="eastAsia" w:ascii="宋体" w:hAnsi="宋体" w:eastAsia="宋体"/>
          <w:b/>
          <w:bCs/>
          <w:color w:val="000000"/>
          <w:sz w:val="32"/>
          <w:szCs w:val="32"/>
        </w:rPr>
        <w:t>十、一般性支出情况</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2021年度冷水滩区网络安全和信息化领导小组办公室开支会议费0万元，我单位2021年度无会议费支出；开支培训费0万元，我单位2021年度无培训费支出；举办</w:t>
      </w:r>
      <w:r>
        <w:rPr>
          <w:rStyle w:val="10"/>
          <w:rFonts w:hint="eastAsia" w:ascii="宋体" w:hAnsi="宋体" w:eastAsia="宋体"/>
          <w:color w:val="000000"/>
          <w:sz w:val="32"/>
          <w:szCs w:val="32"/>
        </w:rPr>
        <w:t>0</w:t>
      </w:r>
      <w:r>
        <w:rPr>
          <w:rFonts w:hint="eastAsia" w:ascii="宋体" w:hAnsi="宋体" w:eastAsia="宋体"/>
          <w:color w:val="000000"/>
          <w:sz w:val="32"/>
          <w:szCs w:val="32"/>
        </w:rPr>
        <w:t>场节庆、晚会、论坛、赛事活动，开支</w:t>
      </w:r>
      <w:r>
        <w:rPr>
          <w:rStyle w:val="10"/>
          <w:rFonts w:hint="eastAsia" w:ascii="宋体" w:hAnsi="宋体" w:eastAsia="宋体"/>
          <w:color w:val="000000"/>
          <w:sz w:val="32"/>
          <w:szCs w:val="32"/>
        </w:rPr>
        <w:t>0</w:t>
      </w:r>
      <w:r>
        <w:rPr>
          <w:rFonts w:hint="eastAsia" w:ascii="宋体" w:hAnsi="宋体" w:eastAsia="宋体"/>
          <w:color w:val="000000"/>
          <w:sz w:val="32"/>
          <w:szCs w:val="32"/>
        </w:rPr>
        <w:t>万元，</w:t>
      </w:r>
      <w:r>
        <w:rPr>
          <w:rStyle w:val="10"/>
          <w:rFonts w:hint="eastAsia" w:ascii="宋体" w:hAnsi="宋体" w:eastAsia="宋体"/>
          <w:color w:val="000000"/>
          <w:sz w:val="32"/>
          <w:szCs w:val="32"/>
        </w:rPr>
        <w:t>本单位无相关活动计划</w:t>
      </w:r>
      <w:r>
        <w:rPr>
          <w:rFonts w:hint="eastAsia" w:ascii="宋体" w:hAnsi="宋体" w:eastAsia="宋体"/>
          <w:color w:val="000000"/>
          <w:sz w:val="32"/>
          <w:szCs w:val="32"/>
        </w:rPr>
        <w:t>。</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b/>
          <w:bCs/>
          <w:color w:val="000000"/>
          <w:sz w:val="32"/>
          <w:szCs w:val="32"/>
        </w:rPr>
        <w:t>十一、关于政府采购支出说明</w:t>
      </w:r>
      <w:r>
        <w:rPr>
          <w:rFonts w:hint="eastAsia"/>
          <w:color w:val="000000"/>
          <w:sz w:val="27"/>
          <w:szCs w:val="27"/>
        </w:rPr>
        <w:t xml:space="preserve"> </w:t>
      </w:r>
    </w:p>
    <w:p>
      <w:pPr>
        <w:pStyle w:val="8"/>
        <w:spacing w:after="2"/>
        <w:ind w:firstLine="853"/>
        <w:rPr>
          <w:rFonts w:hint="eastAsia" w:ascii="宋体" w:hAnsi="宋体" w:eastAsia="宋体"/>
          <w:color w:val="000000"/>
          <w:sz w:val="32"/>
          <w:szCs w:val="32"/>
        </w:rPr>
      </w:pPr>
      <w:r>
        <w:rPr>
          <w:rFonts w:hint="eastAsia" w:ascii="宋体" w:hAnsi="宋体" w:eastAsia="宋体"/>
          <w:color w:val="000000"/>
          <w:sz w:val="32"/>
          <w:szCs w:val="32"/>
        </w:rPr>
        <w:t>冷水滩区网络安全和信息化领导小组办公室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w:t>
      </w:r>
      <w:r>
        <w:rPr>
          <w:rStyle w:val="10"/>
          <w:rFonts w:hint="eastAsia" w:ascii="宋体" w:hAnsi="宋体" w:eastAsia="宋体"/>
          <w:color w:val="000000"/>
          <w:sz w:val="32"/>
          <w:szCs w:val="32"/>
        </w:rPr>
        <w:t>0</w:t>
      </w:r>
      <w:r>
        <w:rPr>
          <w:rFonts w:hint="eastAsia" w:ascii="宋体" w:hAnsi="宋体" w:eastAsia="宋体"/>
          <w:color w:val="000000"/>
          <w:sz w:val="32"/>
          <w:szCs w:val="32"/>
        </w:rPr>
        <w:t>%，工程采购授予中小企业合同金额占工程支出金额的</w:t>
      </w:r>
      <w:r>
        <w:rPr>
          <w:rStyle w:val="10"/>
          <w:rFonts w:hint="eastAsia" w:ascii="宋体" w:hAnsi="宋体" w:eastAsia="宋体"/>
          <w:color w:val="000000"/>
          <w:sz w:val="32"/>
          <w:szCs w:val="32"/>
        </w:rPr>
        <w:t>0</w:t>
      </w:r>
      <w:r>
        <w:rPr>
          <w:rFonts w:hint="eastAsia" w:ascii="宋体" w:hAnsi="宋体" w:eastAsia="宋体"/>
          <w:color w:val="000000"/>
          <w:sz w:val="32"/>
          <w:szCs w:val="32"/>
        </w:rPr>
        <w:t>%，服务采购授予中小企业合同金额占服务支出金额的</w:t>
      </w:r>
      <w:r>
        <w:rPr>
          <w:rStyle w:val="10"/>
          <w:rFonts w:hint="eastAsia" w:ascii="宋体" w:hAnsi="宋体" w:eastAsia="宋体"/>
          <w:color w:val="000000"/>
          <w:sz w:val="32"/>
          <w:szCs w:val="32"/>
        </w:rPr>
        <w:t>0</w:t>
      </w:r>
      <w:r>
        <w:rPr>
          <w:rFonts w:hint="eastAsia" w:ascii="宋体" w:hAnsi="宋体" w:eastAsia="宋体"/>
          <w:color w:val="000000"/>
          <w:sz w:val="32"/>
          <w:szCs w:val="32"/>
        </w:rPr>
        <w:t xml:space="preserve">%。 </w:t>
      </w:r>
    </w:p>
    <w:p>
      <w:pPr>
        <w:pStyle w:val="8"/>
        <w:spacing w:after="2"/>
        <w:ind w:firstLine="640"/>
        <w:rPr>
          <w:rFonts w:hint="eastAsia"/>
          <w:color w:val="000000"/>
          <w:sz w:val="27"/>
          <w:szCs w:val="27"/>
        </w:rPr>
      </w:pPr>
      <w:r>
        <w:rPr>
          <w:rFonts w:hint="eastAsia" w:ascii="宋体" w:hAnsi="宋体" w:eastAsia="宋体"/>
          <w:b/>
          <w:bCs/>
          <w:color w:val="000000"/>
          <w:sz w:val="32"/>
          <w:szCs w:val="32"/>
        </w:rPr>
        <w:t>十二、关于国有资产占用情况说明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截至2021年12月31日，冷水滩区网络安全和信息化领导小组办公室共有车辆0辆（台），其中：机要通信用车0辆、应急保障用车0辆、执法执勤用车0辆、特种专业技术用车0辆、其他用车0辆；单价50万元（含）以上通用设备0台（套），单价100万元（含）以上专用设备0台（套）。</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b/>
          <w:bCs/>
          <w:color w:val="000000"/>
          <w:sz w:val="32"/>
          <w:szCs w:val="32"/>
        </w:rPr>
        <w:t>十三、关于2021年度预算绩效情况说明</w:t>
      </w:r>
      <w:r>
        <w:rPr>
          <w:rFonts w:hint="eastAsia"/>
          <w:color w:val="000000"/>
          <w:sz w:val="27"/>
          <w:szCs w:val="27"/>
        </w:rPr>
        <w:t xml:space="preserve"> </w:t>
      </w:r>
    </w:p>
    <w:p>
      <w:pPr>
        <w:pStyle w:val="8"/>
        <w:spacing w:after="2"/>
        <w:ind w:firstLine="640"/>
        <w:rPr>
          <w:rFonts w:hint="eastAsia"/>
          <w:color w:val="000000"/>
          <w:sz w:val="27"/>
          <w:szCs w:val="27"/>
        </w:rPr>
      </w:pPr>
      <w:r>
        <w:rPr>
          <w:rStyle w:val="5"/>
          <w:rFonts w:hint="eastAsia" w:ascii="宋体" w:hAnsi="宋体" w:eastAsia="宋体"/>
          <w:color w:val="000000"/>
          <w:sz w:val="36"/>
          <w:szCs w:val="36"/>
        </w:rPr>
        <w:t>（1）绩效管理评价工作开展情况。</w:t>
      </w:r>
    </w:p>
    <w:p>
      <w:pPr>
        <w:pStyle w:val="8"/>
        <w:spacing w:after="2"/>
        <w:ind w:firstLine="640" w:firstLineChars="200"/>
        <w:jc w:val="left"/>
        <w:rPr>
          <w:rFonts w:ascii="宋体" w:hAnsi="宋体" w:eastAsia="宋体"/>
          <w:color w:val="000000"/>
          <w:sz w:val="32"/>
          <w:szCs w:val="32"/>
        </w:rPr>
      </w:pPr>
      <w:r>
        <w:rPr>
          <w:rStyle w:val="10"/>
          <w:rFonts w:hint="eastAsia" w:ascii="宋体" w:hAnsi="宋体" w:eastAsia="宋体"/>
          <w:color w:val="000000"/>
          <w:sz w:val="32"/>
          <w:szCs w:val="32"/>
        </w:rPr>
        <w:t>㈠、保证单位经费运转，完成人员工资福利发放；</w:t>
      </w:r>
    </w:p>
    <w:p>
      <w:pPr>
        <w:pStyle w:val="8"/>
        <w:spacing w:after="2"/>
        <w:ind w:firstLine="640" w:firstLineChars="200"/>
        <w:rPr>
          <w:rFonts w:hint="eastAsia"/>
          <w:color w:val="000000"/>
          <w:sz w:val="27"/>
          <w:szCs w:val="27"/>
        </w:rPr>
      </w:pPr>
      <w:r>
        <w:rPr>
          <w:rStyle w:val="10"/>
          <w:rFonts w:hint="eastAsia" w:ascii="宋体" w:hAnsi="宋体" w:eastAsia="宋体"/>
          <w:color w:val="000000"/>
          <w:sz w:val="32"/>
          <w:szCs w:val="32"/>
        </w:rPr>
        <w:t>㈡、1、坚定政治立场，用党史学习教育统领工作。组织参与省政协“委员学党史 讲红色故事”湖南红色故事征集活动，其中《发扬李达“敢为人先”精神 做开拓进取的新时代政协人》一文被省政协采用在《政协云》平台播放，收获良好反响。2、坚持统筹协调，用网络综合治理体系建设指引工作。把网络综合治理体系建设纳入各级党委（党组）网络意识形态工作检查考核问责，成立冷水滩区网络综合治理工作协调小组，制订出台《冷水滩区网络综合治理体系建设创新试点工作实施方案》3、坚决执行落实，用实干实际实效推进工作。2021年共处理舆情共184起，启动互联网加强级应急响应10次87天2021</w:t>
      </w:r>
      <w:r>
        <w:rPr>
          <w:rStyle w:val="10"/>
          <w:rFonts w:hint="eastAsia" w:ascii="宋体" w:hAnsi="宋体" w:eastAsia="宋体"/>
          <w:color w:val="auto"/>
          <w:sz w:val="32"/>
          <w:szCs w:val="32"/>
        </w:rPr>
        <w:t>年，问政回</w:t>
      </w:r>
      <w:r>
        <w:rPr>
          <w:rStyle w:val="10"/>
          <w:rFonts w:hint="eastAsia" w:ascii="宋体" w:hAnsi="宋体" w:eastAsia="宋体"/>
          <w:color w:val="000000"/>
          <w:sz w:val="32"/>
          <w:szCs w:val="32"/>
        </w:rPr>
        <w:t>复量持续位居全省前列，问政回复率持续位居全市前列。</w:t>
      </w:r>
      <w:r>
        <w:rPr>
          <w:rFonts w:hint="eastAsia" w:ascii="宋体" w:hAnsi="宋体" w:eastAsia="宋体"/>
          <w:color w:val="000000"/>
          <w:sz w:val="32"/>
          <w:szCs w:val="32"/>
        </w:rPr>
        <w:t> </w:t>
      </w:r>
      <w:r>
        <w:rPr>
          <w:rFonts w:hint="eastAsia"/>
          <w:color w:val="000000"/>
          <w:sz w:val="27"/>
          <w:szCs w:val="27"/>
        </w:rPr>
        <w:t xml:space="preserve"> </w:t>
      </w:r>
    </w:p>
    <w:p>
      <w:pPr>
        <w:pStyle w:val="8"/>
        <w:spacing w:after="2"/>
        <w:ind w:firstLine="640"/>
        <w:rPr>
          <w:rFonts w:hint="eastAsia"/>
          <w:color w:val="000000"/>
          <w:sz w:val="27"/>
          <w:szCs w:val="27"/>
        </w:rPr>
      </w:pPr>
      <w:r>
        <w:rPr>
          <w:rStyle w:val="5"/>
          <w:rFonts w:hint="eastAsia" w:ascii="宋体" w:hAnsi="宋体" w:eastAsia="宋体"/>
          <w:color w:val="000000"/>
          <w:sz w:val="36"/>
          <w:szCs w:val="36"/>
        </w:rPr>
        <w:t>（2）部门决算中项目绩效自评结果（如有）。</w:t>
      </w:r>
      <w:r>
        <w:rPr>
          <w:rFonts w:hint="eastAsia"/>
          <w:color w:val="000000"/>
          <w:sz w:val="27"/>
          <w:szCs w:val="27"/>
        </w:rPr>
        <w:t xml:space="preserve"> </w:t>
      </w:r>
    </w:p>
    <w:p>
      <w:pPr>
        <w:pStyle w:val="8"/>
        <w:spacing w:after="2"/>
        <w:ind w:firstLine="640"/>
        <w:rPr>
          <w:rFonts w:hint="eastAsia"/>
          <w:color w:val="000000"/>
          <w:sz w:val="27"/>
          <w:szCs w:val="27"/>
        </w:rPr>
      </w:pPr>
      <w:r>
        <w:rPr>
          <w:rStyle w:val="10"/>
          <w:rFonts w:hint="eastAsia" w:ascii="宋体" w:hAnsi="宋体" w:eastAsia="宋体" w:cs="Times New Roman"/>
          <w:color w:val="auto"/>
          <w:sz w:val="32"/>
          <w:szCs w:val="32"/>
        </w:rPr>
        <w:t>2021年度绩效自评得分为：99分。绩效等级：优秀。</w:t>
      </w:r>
      <w:r>
        <w:rPr>
          <w:rFonts w:hint="eastAsia"/>
          <w:color w:val="000000"/>
          <w:sz w:val="27"/>
          <w:szCs w:val="27"/>
        </w:rPr>
        <w:t xml:space="preserve"> </w:t>
      </w:r>
    </w:p>
    <w:p>
      <w:pPr>
        <w:pStyle w:val="8"/>
        <w:spacing w:after="2"/>
        <w:ind w:firstLine="640"/>
        <w:rPr>
          <w:rFonts w:hint="eastAsia"/>
          <w:color w:val="000000"/>
          <w:sz w:val="27"/>
          <w:szCs w:val="27"/>
        </w:rPr>
      </w:pPr>
      <w:r>
        <w:rPr>
          <w:rStyle w:val="5"/>
          <w:rFonts w:hint="eastAsia" w:ascii="宋体" w:hAnsi="宋体" w:eastAsia="宋体"/>
          <w:color w:val="000000"/>
          <w:sz w:val="36"/>
          <w:szCs w:val="36"/>
        </w:rPr>
        <w:t>（3）部门评价项目绩效评价结果。</w:t>
      </w:r>
    </w:p>
    <w:p>
      <w:pPr>
        <w:pStyle w:val="8"/>
        <w:spacing w:after="2"/>
        <w:ind w:firstLine="640"/>
        <w:rPr>
          <w:rFonts w:hint="eastAsia"/>
          <w:color w:val="000000"/>
          <w:sz w:val="27"/>
          <w:szCs w:val="27"/>
        </w:rPr>
      </w:pPr>
      <w:r>
        <w:rPr>
          <w:rFonts w:hint="eastAsia" w:ascii="宋体" w:hAnsi="宋体" w:eastAsia="宋体"/>
          <w:color w:val="000000"/>
          <w:sz w:val="32"/>
          <w:szCs w:val="32"/>
        </w:rPr>
        <w:t>部门评价项目数量3个以内的，至少将1个部门评价报告向社会公开；部门评价项目数量大于3个的，至少将2个部门评价</w:t>
      </w:r>
      <w:bookmarkStart w:id="0" w:name="_GoBack"/>
      <w:bookmarkEnd w:id="0"/>
      <w:r>
        <w:rPr>
          <w:rFonts w:hint="eastAsia" w:ascii="宋体" w:hAnsi="宋体" w:eastAsia="宋体"/>
          <w:color w:val="000000"/>
          <w:sz w:val="32"/>
          <w:szCs w:val="32"/>
        </w:rPr>
        <w:t>报告向社会公开。报告框架可参考《项目支出绩效评价办法》（财预〔2020〕10 号）中《项目支出绩效评价报告（参考提纲）》、《湖南省预算支出绩效评价管理办法》（湘财绩〔2020〕7号）。</w:t>
      </w:r>
      <w:r>
        <w:rPr>
          <w:rFonts w:hint="eastAsia"/>
          <w:color w:val="000000"/>
          <w:sz w:val="27"/>
          <w:szCs w:val="27"/>
        </w:rPr>
        <w:t xml:space="preserve"> </w:t>
      </w:r>
    </w:p>
    <w:p>
      <w:pPr>
        <w:pStyle w:val="2"/>
        <w:spacing w:before="0" w:beforeAutospacing="0" w:after="2" w:afterAutospacing="0"/>
        <w:ind w:firstLine="853"/>
        <w:rPr>
          <w:rFonts w:hint="eastAsia"/>
          <w:color w:val="000000"/>
          <w:sz w:val="32"/>
          <w:szCs w:val="32"/>
        </w:rPr>
      </w:pPr>
    </w:p>
    <w:p>
      <w:pPr>
        <w:pStyle w:val="2"/>
        <w:spacing w:before="0" w:beforeAutospacing="0" w:after="2" w:afterAutospacing="0"/>
        <w:ind w:firstLine="853"/>
        <w:rPr>
          <w:rFonts w:hint="eastAsia"/>
          <w:color w:val="000000"/>
          <w:sz w:val="32"/>
          <w:szCs w:val="32"/>
        </w:rPr>
      </w:pPr>
    </w:p>
    <w:p>
      <w:pPr>
        <w:pStyle w:val="2"/>
        <w:spacing w:before="0" w:beforeAutospacing="0" w:after="2" w:afterAutospacing="0"/>
        <w:ind w:firstLine="853"/>
        <w:rPr>
          <w:rFonts w:hint="eastAsia"/>
          <w:color w:val="000000"/>
          <w:sz w:val="32"/>
          <w:szCs w:val="32"/>
        </w:rPr>
      </w:pPr>
    </w:p>
    <w:p>
      <w:pPr>
        <w:ind w:firstLine="853"/>
        <w:rPr>
          <w:rFonts w:hint="eastAsia"/>
          <w:color w:val="000000"/>
        </w:rPr>
      </w:pPr>
    </w:p>
    <w:p>
      <w:pPr>
        <w:spacing w:after="2"/>
        <w:ind w:firstLine="853"/>
        <w:jc w:val="center"/>
        <w:rPr>
          <w:rFonts w:hint="eastAsia"/>
          <w:color w:val="000000"/>
          <w:szCs w:val="21"/>
        </w:rPr>
      </w:pPr>
      <w:r>
        <w:rPr>
          <w:rFonts w:hint="eastAsia" w:ascii="宋体" w:hAnsi="宋体" w:eastAsia="宋体"/>
          <w:b/>
          <w:bCs/>
          <w:color w:val="000000"/>
          <w:sz w:val="36"/>
          <w:szCs w:val="36"/>
        </w:rPr>
        <w:t>第四部分 名词解释</w:t>
      </w:r>
      <w:r>
        <w:rPr>
          <w:rFonts w:hint="eastAsia"/>
          <w:color w:val="000000"/>
          <w:szCs w:val="21"/>
        </w:rPr>
        <w:t xml:space="preserve"> </w:t>
      </w:r>
    </w:p>
    <w:p>
      <w:pPr>
        <w:spacing w:after="2" w:line="336" w:lineRule="atLeast"/>
        <w:ind w:firstLine="643"/>
        <w:rPr>
          <w:rFonts w:hint="eastAsia" w:ascii="Calibri" w:hAnsi="Calibri" w:cs="Calibri"/>
          <w:color w:val="000000"/>
          <w:szCs w:val="21"/>
        </w:rPr>
      </w:pPr>
      <w:r>
        <w:rPr>
          <w:rFonts w:hint="eastAsia" w:ascii="宋体" w:hAnsi="宋体" w:eastAsia="宋体" w:cs="Calibri"/>
          <w:b/>
          <w:bCs/>
          <w:color w:val="000000"/>
          <w:sz w:val="32"/>
          <w:szCs w:val="32"/>
        </w:rPr>
        <w:t>财政拨款收入</w:t>
      </w:r>
      <w:r>
        <w:rPr>
          <w:rFonts w:hint="eastAsia" w:ascii="宋体" w:hAnsi="宋体" w:eastAsia="宋体" w:cs="Calibri"/>
          <w:color w:val="000000"/>
          <w:sz w:val="32"/>
          <w:szCs w:val="32"/>
        </w:rPr>
        <w:t>：指财政当年拨付的资金。包括一般公共预算财政拨款和政府性基金财政拨款。</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上级补助收入</w:t>
      </w:r>
      <w:r>
        <w:rPr>
          <w:rFonts w:hint="eastAsia" w:ascii="宋体" w:hAnsi="宋体" w:eastAsia="宋体" w:cs="Calibri"/>
          <w:color w:val="000000"/>
          <w:sz w:val="32"/>
          <w:szCs w:val="32"/>
        </w:rPr>
        <w:t>：指事业单位从主管部门和上级单位取得的非财政补助收入。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事业收入：</w:t>
      </w:r>
      <w:r>
        <w:rPr>
          <w:rFonts w:hint="eastAsia" w:ascii="宋体" w:hAnsi="宋体" w:eastAsia="宋体" w:cs="Calibri"/>
          <w:color w:val="000000"/>
          <w:sz w:val="32"/>
          <w:szCs w:val="32"/>
        </w:rPr>
        <w:t>指事业单位开展专业业务活动及辅助活动所取得的收入。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经营收入：</w:t>
      </w:r>
      <w:r>
        <w:rPr>
          <w:rFonts w:hint="eastAsia" w:ascii="宋体" w:hAnsi="宋体" w:eastAsia="宋体" w:cs="Calibri"/>
          <w:color w:val="000000"/>
          <w:sz w:val="32"/>
          <w:szCs w:val="32"/>
        </w:rPr>
        <w:t>指事业单位在专业业务活动及其辅助活动之外开展非独立核算经营活动取得的收入。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附属单位上缴收入</w:t>
      </w:r>
      <w:r>
        <w:rPr>
          <w:rFonts w:hint="eastAsia" w:ascii="宋体" w:hAnsi="宋体" w:eastAsia="宋体" w:cs="Calibri"/>
          <w:color w:val="000000"/>
          <w:sz w:val="32"/>
          <w:szCs w:val="32"/>
        </w:rPr>
        <w:t>：指事业单位附属独立核算单位按照有关规定上缴的收入。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其他收入</w:t>
      </w:r>
      <w:r>
        <w:rPr>
          <w:rFonts w:hint="eastAsia" w:ascii="宋体" w:hAnsi="宋体" w:eastAsia="宋体" w:cs="Calibri"/>
          <w:color w:val="000000"/>
          <w:sz w:val="32"/>
          <w:szCs w:val="32"/>
        </w:rPr>
        <w:t>：指除上述“财政拨款收入”、“事业收入”、“经营收入”等以外的收入。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用事业基金弥补收支差额</w:t>
      </w:r>
      <w:r>
        <w:rPr>
          <w:rFonts w:hint="eastAsia" w:ascii="宋体" w:hAnsi="宋体" w:eastAsia="宋体" w:cs="Calibri"/>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年初结转和结余</w:t>
      </w:r>
      <w:r>
        <w:rPr>
          <w:rFonts w:hint="eastAsia" w:ascii="宋体" w:hAnsi="宋体" w:eastAsia="宋体" w:cs="Calibri"/>
          <w:color w:val="000000"/>
          <w:sz w:val="32"/>
          <w:szCs w:val="32"/>
        </w:rPr>
        <w:t>：指以前年度尚未完成、结转到本年按有关规定继续使用的资金。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结余分配</w:t>
      </w:r>
      <w:r>
        <w:rPr>
          <w:rFonts w:hint="eastAsia" w:ascii="宋体" w:hAnsi="宋体" w:eastAsia="宋体" w:cs="Calibri"/>
          <w:color w:val="000000"/>
          <w:sz w:val="32"/>
          <w:szCs w:val="32"/>
        </w:rPr>
        <w:t>：指事业事位按规定从非财政补助结余中分配的事业基金和职工福利基金等。</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年末结转和结余</w:t>
      </w:r>
      <w:r>
        <w:rPr>
          <w:rFonts w:hint="eastAsia" w:ascii="宋体" w:hAnsi="宋体" w:eastAsia="宋体" w:cs="Calibri"/>
          <w:color w:val="000000"/>
          <w:sz w:val="32"/>
          <w:szCs w:val="32"/>
        </w:rPr>
        <w:t>：指本年度或以前年度预算安排、因客观条件发生变化无法按原计划实施，需要延迟到以后年度按有关规定继续使用的资金。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基本支出</w:t>
      </w:r>
      <w:r>
        <w:rPr>
          <w:rFonts w:hint="eastAsia" w:ascii="宋体" w:hAnsi="宋体" w:eastAsia="宋体" w:cs="Calibri"/>
          <w:color w:val="000000"/>
          <w:sz w:val="32"/>
          <w:szCs w:val="32"/>
        </w:rPr>
        <w:t>：指为保障机构正常运转、完成日常工作任务而发生的人员支出和公用支出。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项目支出</w:t>
      </w:r>
      <w:r>
        <w:rPr>
          <w:rFonts w:hint="eastAsia" w:ascii="宋体" w:hAnsi="宋体" w:eastAsia="宋体" w:cs="Calibri"/>
          <w:color w:val="000000"/>
          <w:sz w:val="32"/>
          <w:szCs w:val="32"/>
        </w:rPr>
        <w:t>：指在基本支出之外为完成特定行政任务和事业发展目标所发生的支出。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经营支出</w:t>
      </w:r>
      <w:r>
        <w:rPr>
          <w:rFonts w:hint="eastAsia" w:ascii="宋体" w:hAnsi="宋体" w:eastAsia="宋体" w:cs="Calibri"/>
          <w:color w:val="000000"/>
          <w:sz w:val="32"/>
          <w:szCs w:val="32"/>
        </w:rPr>
        <w:t>：指事业单位在专业业务活动及其辅助活动之外开展非独立核算经营活动所发生的支出。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“三公”经费</w:t>
      </w:r>
      <w:r>
        <w:rPr>
          <w:rFonts w:hint="eastAsia" w:ascii="宋体" w:hAnsi="宋体" w:eastAsia="宋体" w:cs="Calibri"/>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机关运行经费</w:t>
      </w:r>
      <w:r>
        <w:rPr>
          <w:rFonts w:hint="eastAsia" w:ascii="宋体" w:hAnsi="宋体" w:eastAsia="宋体" w:cs="Calibri"/>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p>
    <w:p>
      <w:pPr>
        <w:spacing w:after="2"/>
        <w:ind w:firstLine="853"/>
        <w:jc w:val="center"/>
        <w:rPr>
          <w:color w:val="000000"/>
          <w:szCs w:val="21"/>
        </w:rPr>
      </w:pPr>
      <w:r>
        <w:rPr>
          <w:rFonts w:hint="eastAsia" w:ascii="宋体" w:hAnsi="宋体" w:eastAsia="宋体"/>
          <w:b/>
          <w:bCs/>
          <w:color w:val="000000"/>
          <w:sz w:val="36"/>
          <w:szCs w:val="36"/>
        </w:rPr>
        <w:t>第五部分 附件</w:t>
      </w:r>
      <w:r>
        <w:rPr>
          <w:rFonts w:hint="eastAsia"/>
          <w:color w:val="000000"/>
          <w:szCs w:val="21"/>
        </w:rPr>
        <w:t xml:space="preserve"> </w:t>
      </w:r>
    </w:p>
    <w:p>
      <w:pPr>
        <w:spacing w:after="2"/>
        <w:jc w:val="left"/>
        <w:rPr>
          <w:rFonts w:hint="eastAsia"/>
          <w:color w:val="000000"/>
          <w:szCs w:val="21"/>
        </w:rPr>
      </w:pPr>
      <w:r>
        <w:fldChar w:fldCharType="begin"/>
      </w:r>
      <w:r>
        <w:instrText xml:space="preserve"> HYPERLINK "http://10.105.181.49/home/downloadAttachment?attachGUID=ca7a199fd6b54bdbaecbf8c4dccd19df" \t "_blank" </w:instrText>
      </w:r>
      <w:r>
        <w:fldChar w:fldCharType="separate"/>
      </w:r>
      <w:r>
        <w:rPr>
          <w:rStyle w:val="7"/>
          <w:rFonts w:hint="eastAsia" w:ascii="宋体" w:hAnsi="宋体" w:eastAsia="宋体"/>
          <w:sz w:val="28"/>
          <w:szCs w:val="28"/>
          <w:shd w:val="clear" w:color="auto" w:fill="FFFFFF"/>
        </w:rPr>
        <w:t>2021年中共永州市冷水滩区委网络安全和信息化委员会办公室项目支出绩效评价报告.doc</w:t>
      </w:r>
      <w:r>
        <w:rPr>
          <w:rStyle w:val="7"/>
          <w:rFonts w:hint="eastAsia" w:ascii="宋体" w:hAnsi="宋体" w:eastAsia="宋体"/>
          <w:sz w:val="28"/>
          <w:szCs w:val="28"/>
          <w:shd w:val="clear" w:color="auto" w:fill="FFFFFF"/>
        </w:rPr>
        <w:fldChar w:fldCharType="end"/>
      </w:r>
      <w:r>
        <w:rPr>
          <w:rFonts w:hint="eastAsia" w:ascii="宋体" w:hAnsi="宋体" w:eastAsia="宋体"/>
          <w:color w:val="000000"/>
          <w:sz w:val="28"/>
          <w:szCs w:val="28"/>
          <w:shd w:val="clear" w:color="auto" w:fill="FFFFFF"/>
        </w:rPr>
        <w:br w:type="textWrapping"/>
      </w:r>
      <w:r>
        <w:fldChar w:fldCharType="begin"/>
      </w:r>
      <w:r>
        <w:instrText xml:space="preserve"> HYPERLINK "http://10.105.181.49/home/downloadAttachment?attachGUID=48691483bea04b148aa243dec2a5c9d4" \t "_blank" </w:instrText>
      </w:r>
      <w:r>
        <w:fldChar w:fldCharType="separate"/>
      </w:r>
      <w:r>
        <w:rPr>
          <w:rStyle w:val="7"/>
          <w:rFonts w:hint="eastAsia" w:ascii="宋体" w:hAnsi="宋体" w:eastAsia="宋体"/>
          <w:sz w:val="28"/>
          <w:szCs w:val="28"/>
          <w:shd w:val="clear" w:color="auto" w:fill="FFFFFF"/>
        </w:rPr>
        <w:t>2021年中共永州市冷水滩区委网络安全和信息化委员会办公室整体支出绩效评价报告.doc</w:t>
      </w:r>
      <w:r>
        <w:rPr>
          <w:rStyle w:val="7"/>
          <w:rFonts w:hint="eastAsia" w:ascii="宋体" w:hAnsi="宋体" w:eastAsia="宋体"/>
          <w:sz w:val="28"/>
          <w:szCs w:val="28"/>
          <w:shd w:val="clear" w:color="auto" w:fill="FFFFFF"/>
        </w:rPr>
        <w:fldChar w:fldCharType="end"/>
      </w:r>
      <w:r>
        <w:rPr>
          <w:rFonts w:hint="eastAsia" w:ascii="宋体" w:hAnsi="宋体" w:eastAsia="宋体"/>
          <w:color w:val="000000"/>
          <w:sz w:val="28"/>
          <w:szCs w:val="28"/>
          <w:shd w:val="clear" w:color="auto" w:fill="FFFFFF"/>
        </w:rPr>
        <w:br w:type="textWrapping"/>
      </w:r>
    </w:p>
    <w:p>
      <w:pPr>
        <w:spacing w:after="2"/>
        <w:ind w:firstLine="641"/>
        <w:jc w:val="center"/>
        <w:rPr>
          <w:rFonts w:hint="eastAsia"/>
          <w:color w:val="000000"/>
          <w:szCs w:val="21"/>
        </w:rPr>
      </w:pPr>
    </w:p>
    <w:p>
      <w:pPr>
        <w:spacing w:after="2"/>
        <w:ind w:firstLine="641"/>
        <w:jc w:val="center"/>
        <w:rPr>
          <w:rFonts w:hint="eastAsia"/>
          <w:color w:val="000000"/>
          <w:szCs w:val="21"/>
        </w:rPr>
      </w:pPr>
    </w:p>
    <w:sectPr>
      <w:pgSz w:w="11906" w:h="16838" w:orient="landscape"/>
      <w:pgMar w:top="1440" w:right="1080" w:bottom="1440" w:left="1080" w:header="851" w:footer="992" w:gutter="0"/>
      <w:cols w:space="72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docVars>
    <w:docVar w:name="commondata" w:val="eyJoZGlkIjoiMzM4ZTIzODQ2ZmM1MmVlNDc2YTU3Zjc3MzgxNGIyYzYifQ=="/>
  </w:docVars>
  <w:rsids>
    <w:rsidRoot w:val="00EC1378"/>
    <w:rsid w:val="000B7D15"/>
    <w:rsid w:val="00907C06"/>
    <w:rsid w:val="00EC1378"/>
    <w:rsid w:val="14882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FollowedHyperlink"/>
    <w:basedOn w:val="4"/>
    <w:semiHidden/>
    <w:unhideWhenUsed/>
    <w:qFormat/>
    <w:uiPriority w:val="99"/>
    <w:rPr>
      <w:color w:val="800080"/>
      <w:u w:val="single"/>
    </w:rPr>
  </w:style>
  <w:style w:type="character" w:styleId="7">
    <w:name w:val="Hyperlink"/>
    <w:basedOn w:val="4"/>
    <w:semiHidden/>
    <w:unhideWhenUsed/>
    <w:qFormat/>
    <w:uiPriority w:val="99"/>
    <w:rPr>
      <w:color w:val="0000FF"/>
      <w:u w:val="single"/>
    </w:rPr>
  </w:style>
  <w:style w:type="paragraph" w:customStyle="1" w:styleId="8">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peoplefilling"/>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1662</Words>
  <Characters>9479</Characters>
  <Lines>78</Lines>
  <Paragraphs>22</Paragraphs>
  <TotalTime>0</TotalTime>
  <ScaleCrop>false</ScaleCrop>
  <LinksUpToDate>false</LinksUpToDate>
  <CharactersWithSpaces>11119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2023-09-04T10:08:00Z</dcterms:created>
  <dc:creator>Lenovo</dc:creator>
  <cp:lastModifiedBy>东来</cp:lastModifiedBy>
  <dcterms:modified xsi:type="dcterms:W3CDTF">2023-09-22T09:40:50Z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60706EB3EB9847C68042AE4A8338CB8C_12</vt:lpwstr>
  </property>
</Properties>
</file>