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D3" w:rsidRDefault="00BB7ED3" w:rsidP="00BB7ED3">
      <w:pPr>
        <w:spacing w:line="620" w:lineRule="exact"/>
        <w:rPr>
          <w:rFonts w:eastAsia="仿宋_GB2312"/>
          <w:sz w:val="32"/>
          <w:szCs w:val="32"/>
        </w:rPr>
      </w:pPr>
      <w:r>
        <w:rPr>
          <w:rFonts w:eastAsia="仿宋_GB2312" w:hint="eastAsia"/>
          <w:sz w:val="32"/>
          <w:szCs w:val="32"/>
        </w:rPr>
        <w:t>附件</w:t>
      </w:r>
      <w:r>
        <w:rPr>
          <w:rFonts w:eastAsia="仿宋_GB2312"/>
          <w:sz w:val="32"/>
          <w:szCs w:val="32"/>
        </w:rPr>
        <w:t>1</w:t>
      </w:r>
      <w:r>
        <w:rPr>
          <w:rFonts w:eastAsia="仿宋_GB2312" w:hint="eastAsia"/>
          <w:sz w:val="32"/>
          <w:szCs w:val="32"/>
        </w:rPr>
        <w:t>：</w:t>
      </w:r>
      <w:r>
        <w:rPr>
          <w:rFonts w:eastAsia="仿宋_GB2312"/>
          <w:sz w:val="32"/>
          <w:szCs w:val="32"/>
        </w:rPr>
        <w:tab/>
      </w:r>
    </w:p>
    <w:p w:rsidR="00BB7ED3" w:rsidRDefault="00BB7ED3" w:rsidP="00BB7ED3">
      <w:pPr>
        <w:spacing w:line="620" w:lineRule="exact"/>
        <w:jc w:val="center"/>
        <w:rPr>
          <w:rFonts w:ascii="方正小标宋简体" w:eastAsia="方正小标宋简体"/>
          <w:color w:val="000000"/>
          <w:kern w:val="0"/>
          <w:sz w:val="36"/>
          <w:szCs w:val="36"/>
        </w:rPr>
      </w:pPr>
      <w:r>
        <w:rPr>
          <w:rFonts w:ascii="方正小标宋简体" w:eastAsia="方正小标宋简体" w:hint="eastAsia"/>
          <w:color w:val="000000"/>
          <w:kern w:val="0"/>
          <w:sz w:val="36"/>
          <w:szCs w:val="36"/>
        </w:rPr>
        <w:t>2021年度专项（项目）资金绩效自评报告</w:t>
      </w:r>
    </w:p>
    <w:p w:rsidR="00BB7ED3" w:rsidRDefault="00BB7ED3" w:rsidP="00BB7ED3">
      <w:pPr>
        <w:spacing w:line="620" w:lineRule="exact"/>
        <w:ind w:firstLineChars="200" w:firstLine="640"/>
        <w:rPr>
          <w:rFonts w:ascii="黑体" w:eastAsia="黑体"/>
          <w:color w:val="000000"/>
          <w:kern w:val="0"/>
          <w:sz w:val="32"/>
          <w:szCs w:val="32"/>
        </w:rPr>
      </w:pPr>
      <w:r>
        <w:rPr>
          <w:rFonts w:ascii="黑体" w:eastAsia="黑体" w:hint="eastAsia"/>
          <w:color w:val="000000"/>
          <w:kern w:val="0"/>
          <w:sz w:val="32"/>
          <w:szCs w:val="32"/>
        </w:rPr>
        <w:t>一、项目概况</w:t>
      </w:r>
    </w:p>
    <w:p w:rsidR="00BB7ED3" w:rsidRDefault="00BB7ED3" w:rsidP="00BB7ED3">
      <w:pPr>
        <w:spacing w:line="62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（一）项目单位基本情况。</w:t>
      </w:r>
    </w:p>
    <w:p w:rsidR="005A73BF" w:rsidRDefault="005A73BF" w:rsidP="005A73BF">
      <w:pPr>
        <w:ind w:firstLineChars="200" w:firstLine="600"/>
        <w:rPr>
          <w:rFonts w:ascii="宋体" w:hAnsi="宋体"/>
          <w:sz w:val="30"/>
          <w:szCs w:val="30"/>
        </w:rPr>
      </w:pPr>
      <w:r>
        <w:rPr>
          <w:rFonts w:ascii="宋体" w:hAnsi="宋体" w:hint="eastAsia"/>
          <w:sz w:val="30"/>
          <w:szCs w:val="30"/>
        </w:rPr>
        <w:t>1、机构设置：本办设3个股室，即综合办公室、计统财基股、业务保卫股。</w:t>
      </w:r>
    </w:p>
    <w:p w:rsidR="005A73BF" w:rsidRDefault="005A73BF" w:rsidP="005A73BF">
      <w:pPr>
        <w:ind w:firstLineChars="200" w:firstLine="600"/>
        <w:rPr>
          <w:rFonts w:ascii="宋体" w:hAnsi="宋体"/>
          <w:sz w:val="30"/>
          <w:szCs w:val="30"/>
        </w:rPr>
      </w:pPr>
      <w:r>
        <w:rPr>
          <w:rFonts w:ascii="宋体" w:hAnsi="宋体" w:hint="eastAsia"/>
          <w:sz w:val="30"/>
          <w:szCs w:val="30"/>
        </w:rPr>
        <w:t>2、人员编制情况：编制人数10人。</w:t>
      </w:r>
    </w:p>
    <w:p w:rsidR="005A73BF" w:rsidRPr="005A73BF" w:rsidRDefault="005A73BF" w:rsidP="00BB7ED3">
      <w:pPr>
        <w:spacing w:line="620" w:lineRule="exact"/>
        <w:ind w:firstLineChars="200" w:firstLine="640"/>
        <w:rPr>
          <w:rFonts w:eastAsia="仿宋_GB2312"/>
          <w:color w:val="000000"/>
          <w:kern w:val="0"/>
          <w:sz w:val="32"/>
          <w:szCs w:val="32"/>
        </w:rPr>
      </w:pP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（二）项目预算和绩效目标情况简介，包括项目基本性质、用途和主要内容、涉及范围等。</w:t>
      </w:r>
    </w:p>
    <w:p w:rsidR="00BB7ED3" w:rsidRDefault="00BB7ED3" w:rsidP="00BB7ED3">
      <w:pPr>
        <w:spacing w:line="620" w:lineRule="exact"/>
        <w:ind w:firstLineChars="200" w:firstLine="640"/>
        <w:rPr>
          <w:rFonts w:ascii="黑体" w:eastAsia="黑体"/>
          <w:color w:val="000000"/>
          <w:kern w:val="0"/>
          <w:sz w:val="32"/>
          <w:szCs w:val="32"/>
        </w:rPr>
      </w:pPr>
      <w:r>
        <w:rPr>
          <w:rFonts w:ascii="黑体" w:eastAsia="黑体" w:hint="eastAsia"/>
          <w:color w:val="000000"/>
          <w:kern w:val="0"/>
          <w:sz w:val="32"/>
          <w:szCs w:val="32"/>
        </w:rPr>
        <w:t>二、项目组织实施情况</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（一）项目组织情况分析，主要包括项目招投标、调整、竣工验收等情况。</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（二）项目管理情况分析，主要包括项目管理制度建设、日常检查监督管理等情况。</w:t>
      </w:r>
    </w:p>
    <w:p w:rsidR="00BB7ED3" w:rsidRDefault="00BB7ED3" w:rsidP="00BB7ED3">
      <w:pPr>
        <w:spacing w:line="620" w:lineRule="exact"/>
        <w:ind w:firstLineChars="200" w:firstLine="640"/>
        <w:rPr>
          <w:rFonts w:ascii="黑体" w:eastAsia="黑体"/>
          <w:color w:val="000000"/>
          <w:kern w:val="0"/>
          <w:sz w:val="32"/>
          <w:szCs w:val="32"/>
        </w:rPr>
      </w:pPr>
      <w:r>
        <w:rPr>
          <w:rFonts w:ascii="黑体" w:eastAsia="黑体" w:hint="eastAsia"/>
          <w:color w:val="000000"/>
          <w:kern w:val="0"/>
          <w:sz w:val="32"/>
          <w:szCs w:val="32"/>
        </w:rPr>
        <w:t>三、项目资金使用及管理情况</w:t>
      </w:r>
    </w:p>
    <w:p w:rsidR="00BB7ED3" w:rsidRDefault="00BB7ED3" w:rsidP="00BB7ED3">
      <w:pPr>
        <w:spacing w:line="62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（一）项目资金（包括财政资金、自筹资金等）安排落实、总投入等情况分析。</w:t>
      </w:r>
    </w:p>
    <w:p w:rsidR="005A73BF" w:rsidRDefault="005A73BF" w:rsidP="005A73BF">
      <w:pPr>
        <w:spacing w:line="620" w:lineRule="exact"/>
        <w:ind w:firstLineChars="200" w:firstLine="600"/>
        <w:rPr>
          <w:rFonts w:eastAsia="仿宋_GB2312"/>
          <w:color w:val="000000"/>
          <w:kern w:val="0"/>
          <w:sz w:val="32"/>
          <w:szCs w:val="32"/>
        </w:rPr>
      </w:pPr>
      <w:bookmarkStart w:id="0" w:name="OLE_LINK62"/>
      <w:bookmarkStart w:id="1" w:name="OLE_LINK63"/>
      <w:bookmarkStart w:id="2" w:name="OLE_LINK64"/>
      <w:bookmarkStart w:id="3" w:name="OLE_LINK65"/>
      <w:r>
        <w:rPr>
          <w:rFonts w:ascii="宋体" w:hAnsi="宋体" w:hint="eastAsia"/>
          <w:sz w:val="30"/>
          <w:szCs w:val="30"/>
        </w:rPr>
        <w:t>项目支出33万元。</w:t>
      </w:r>
      <w:bookmarkEnd w:id="2"/>
      <w:bookmarkEnd w:id="3"/>
    </w:p>
    <w:bookmarkEnd w:id="0"/>
    <w:bookmarkEnd w:id="1"/>
    <w:p w:rsidR="00BB7ED3" w:rsidRDefault="00BB7ED3" w:rsidP="00BB7ED3">
      <w:pPr>
        <w:spacing w:line="62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（二）项目资金（主要是指财政资金）实际使用情况分析。</w:t>
      </w:r>
    </w:p>
    <w:p w:rsidR="005A73BF" w:rsidRDefault="005A73BF" w:rsidP="005A73BF">
      <w:pPr>
        <w:spacing w:line="620" w:lineRule="exact"/>
        <w:ind w:firstLineChars="200" w:firstLine="600"/>
        <w:rPr>
          <w:rFonts w:eastAsia="仿宋_GB2312"/>
          <w:color w:val="000000"/>
          <w:kern w:val="0"/>
          <w:sz w:val="32"/>
          <w:szCs w:val="32"/>
        </w:rPr>
      </w:pPr>
      <w:r>
        <w:rPr>
          <w:rFonts w:ascii="宋体" w:hAnsi="宋体" w:hint="eastAsia"/>
          <w:kern w:val="0"/>
          <w:sz w:val="30"/>
          <w:szCs w:val="30"/>
        </w:rPr>
        <w:t>项目支出33万元。</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lastRenderedPageBreak/>
        <w:t>（三）项目资金管理情况分析，主要包括管理制度、办法的制订及执行情况。</w:t>
      </w:r>
    </w:p>
    <w:p w:rsidR="00BB7ED3" w:rsidRDefault="00BB7ED3" w:rsidP="00BB7ED3">
      <w:pPr>
        <w:spacing w:line="620" w:lineRule="exact"/>
        <w:ind w:firstLineChars="200" w:firstLine="640"/>
        <w:rPr>
          <w:rFonts w:ascii="黑体" w:eastAsia="黑体"/>
          <w:color w:val="000000"/>
          <w:kern w:val="0"/>
          <w:sz w:val="32"/>
          <w:szCs w:val="32"/>
        </w:rPr>
      </w:pPr>
      <w:r>
        <w:rPr>
          <w:rFonts w:ascii="黑体" w:eastAsia="黑体" w:hint="eastAsia"/>
          <w:color w:val="000000"/>
          <w:kern w:val="0"/>
          <w:sz w:val="32"/>
          <w:szCs w:val="32"/>
        </w:rPr>
        <w:t>四、项目绩效指标完成情况</w:t>
      </w:r>
    </w:p>
    <w:p w:rsidR="00BB7ED3" w:rsidRDefault="00BB7ED3" w:rsidP="00BB7ED3">
      <w:pPr>
        <w:spacing w:line="540" w:lineRule="exact"/>
        <w:ind w:firstLineChars="200" w:firstLine="640"/>
        <w:rPr>
          <w:rFonts w:ascii="仿宋_GB2312" w:eastAsia="仿宋_GB2312"/>
          <w:sz w:val="32"/>
          <w:szCs w:val="32"/>
        </w:rPr>
      </w:pPr>
      <w:r>
        <w:rPr>
          <w:rFonts w:ascii="仿宋_GB2312" w:eastAsia="仿宋_GB2312" w:hint="eastAsia"/>
          <w:sz w:val="32"/>
          <w:szCs w:val="32"/>
        </w:rPr>
        <w:t>（一）产出指标完成情况分析。</w:t>
      </w:r>
    </w:p>
    <w:p w:rsidR="00BB7ED3" w:rsidRDefault="00BB7ED3" w:rsidP="00BB7ED3">
      <w:pPr>
        <w:spacing w:line="540" w:lineRule="exact"/>
        <w:ind w:firstLineChars="200" w:firstLine="640"/>
        <w:rPr>
          <w:rFonts w:ascii="仿宋_GB2312" w:eastAsia="仿宋_GB2312"/>
          <w:sz w:val="32"/>
          <w:szCs w:val="32"/>
        </w:rPr>
      </w:pPr>
      <w:r>
        <w:rPr>
          <w:rFonts w:ascii="仿宋_GB2312" w:eastAsia="仿宋_GB2312" w:hint="eastAsia"/>
          <w:sz w:val="32"/>
          <w:szCs w:val="32"/>
        </w:rPr>
        <w:t>（二）效益指标完成情况分析。</w:t>
      </w:r>
    </w:p>
    <w:p w:rsidR="00BB7ED3" w:rsidRDefault="00BB7ED3" w:rsidP="00BB7ED3">
      <w:pPr>
        <w:spacing w:line="540" w:lineRule="exact"/>
        <w:ind w:firstLineChars="200" w:firstLine="640"/>
        <w:rPr>
          <w:rFonts w:ascii="仿宋_GB2312" w:eastAsia="仿宋_GB2312"/>
          <w:sz w:val="32"/>
          <w:szCs w:val="32"/>
        </w:rPr>
      </w:pPr>
      <w:r>
        <w:rPr>
          <w:rFonts w:ascii="仿宋_GB2312" w:eastAsia="仿宋_GB2312" w:hint="eastAsia"/>
          <w:sz w:val="32"/>
          <w:szCs w:val="32"/>
        </w:rPr>
        <w:t>（三）满意度指标完成情况分析。</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rsidR="00BB7ED3" w:rsidRDefault="00BB7ED3" w:rsidP="00BB7ED3">
      <w:pPr>
        <w:spacing w:line="540" w:lineRule="exact"/>
        <w:ind w:firstLineChars="200" w:firstLine="643"/>
        <w:rPr>
          <w:rFonts w:ascii="黑体" w:eastAsia="黑体" w:hAnsi="黑体" w:cs="黑体"/>
          <w:b/>
          <w:bCs/>
          <w:sz w:val="32"/>
          <w:szCs w:val="32"/>
        </w:rPr>
      </w:pPr>
      <w:r>
        <w:rPr>
          <w:rFonts w:ascii="黑体" w:eastAsia="黑体" w:hAnsi="黑体" w:cs="黑体" w:hint="eastAsia"/>
          <w:b/>
          <w:bCs/>
          <w:color w:val="000000"/>
          <w:kern w:val="0"/>
          <w:sz w:val="32"/>
          <w:szCs w:val="32"/>
        </w:rPr>
        <w:t>五、</w:t>
      </w:r>
      <w:r>
        <w:rPr>
          <w:rFonts w:ascii="黑体" w:eastAsia="黑体" w:hAnsi="黑体" w:cs="黑体" w:hint="eastAsia"/>
          <w:b/>
          <w:bCs/>
          <w:sz w:val="32"/>
          <w:szCs w:val="32"/>
        </w:rPr>
        <w:t>绩效目标未完成原因和下一步改进措施</w:t>
      </w:r>
    </w:p>
    <w:p w:rsidR="00BB7ED3" w:rsidRDefault="00BB7ED3" w:rsidP="00BB7ED3">
      <w:pPr>
        <w:spacing w:line="5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六、绩效自评得分等级结果及拟应用和公开情况</w:t>
      </w:r>
    </w:p>
    <w:p w:rsidR="00BB7ED3" w:rsidRDefault="00BB7ED3" w:rsidP="00BB7ED3">
      <w:pPr>
        <w:spacing w:line="62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sz w:val="32"/>
          <w:szCs w:val="32"/>
        </w:rPr>
        <w:t>七、绩效自评工作的经验、问题和建议。</w:t>
      </w:r>
      <w:r>
        <w:rPr>
          <w:rFonts w:ascii="黑体" w:eastAsia="黑体" w:hAnsi="黑体" w:cs="黑体" w:hint="eastAsia"/>
          <w:b/>
          <w:bCs/>
          <w:color w:val="000000"/>
          <w:kern w:val="0"/>
          <w:sz w:val="32"/>
          <w:szCs w:val="32"/>
        </w:rPr>
        <w:t>主要包括资金安排、使用过程中的经验、做法、存在的问题、改进措施和有关建议等。</w:t>
      </w:r>
    </w:p>
    <w:p w:rsidR="00BB7ED3" w:rsidRDefault="00BB7ED3" w:rsidP="00BB7ED3">
      <w:pPr>
        <w:spacing w:line="5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八、其他需说明的问题。</w:t>
      </w:r>
    </w:p>
    <w:p w:rsidR="00BB7ED3" w:rsidRDefault="00BB7ED3" w:rsidP="00BB7ED3">
      <w:pPr>
        <w:spacing w:line="540" w:lineRule="exact"/>
        <w:ind w:firstLineChars="200" w:firstLine="640"/>
        <w:rPr>
          <w:rFonts w:ascii="黑体" w:eastAsia="黑体" w:hAnsi="黑体" w:cs="黑体"/>
          <w:bCs/>
          <w:sz w:val="32"/>
          <w:szCs w:val="32"/>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pStyle w:val="Default"/>
      </w:pPr>
    </w:p>
    <w:p w:rsidR="00BB7ED3" w:rsidRDefault="00BB7ED3" w:rsidP="00BB7ED3">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t>附件2</w:t>
      </w:r>
    </w:p>
    <w:p w:rsidR="00BB7ED3" w:rsidRDefault="00BB7ED3" w:rsidP="00BB7ED3">
      <w:pPr>
        <w:widowControl/>
        <w:ind w:left="93"/>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2021年度财政专项（项目）资金绩效评价表</w:t>
      </w:r>
    </w:p>
    <w:p w:rsidR="00BB7ED3" w:rsidRDefault="00BB7ED3" w:rsidP="00BB7ED3">
      <w:pPr>
        <w:widowControl/>
        <w:ind w:left="93"/>
        <w:jc w:val="center"/>
        <w:rPr>
          <w:rFonts w:ascii="方正小标宋简体" w:eastAsia="方正小标宋简体" w:hAnsi="方正小标宋简体" w:cs="方正小标宋简体"/>
          <w:kern w:val="0"/>
          <w:sz w:val="36"/>
          <w:szCs w:val="36"/>
        </w:rPr>
      </w:pPr>
    </w:p>
    <w:tbl>
      <w:tblPr>
        <w:tblW w:w="10605" w:type="dxa"/>
        <w:jc w:val="center"/>
        <w:tblLayout w:type="fixed"/>
        <w:tblLook w:val="04A0"/>
      </w:tblPr>
      <w:tblGrid>
        <w:gridCol w:w="655"/>
        <w:gridCol w:w="710"/>
        <w:gridCol w:w="1275"/>
        <w:gridCol w:w="3079"/>
        <w:gridCol w:w="4501"/>
        <w:gridCol w:w="385"/>
      </w:tblGrid>
      <w:tr w:rsidR="00BB7ED3">
        <w:trPr>
          <w:tblHeader/>
          <w:jc w:val="center"/>
        </w:trPr>
        <w:tc>
          <w:tcPr>
            <w:tcW w:w="656" w:type="dxa"/>
            <w:tcBorders>
              <w:top w:val="single" w:sz="4" w:space="0" w:color="auto"/>
              <w:left w:val="single" w:sz="4" w:space="0" w:color="auto"/>
              <w:bottom w:val="nil"/>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一级</w:t>
            </w:r>
          </w:p>
        </w:tc>
        <w:tc>
          <w:tcPr>
            <w:tcW w:w="710" w:type="dxa"/>
            <w:tcBorders>
              <w:top w:val="single" w:sz="4" w:space="0" w:color="auto"/>
              <w:left w:val="nil"/>
              <w:bottom w:val="nil"/>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二级</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三级指标</w:t>
            </w:r>
          </w:p>
        </w:tc>
        <w:tc>
          <w:tcPr>
            <w:tcW w:w="3080" w:type="dxa"/>
            <w:vMerge w:val="restart"/>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指标解释</w:t>
            </w:r>
          </w:p>
        </w:tc>
        <w:tc>
          <w:tcPr>
            <w:tcW w:w="4502" w:type="dxa"/>
            <w:vMerge w:val="restart"/>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指标说明</w:t>
            </w:r>
          </w:p>
        </w:tc>
        <w:tc>
          <w:tcPr>
            <w:tcW w:w="385" w:type="dxa"/>
            <w:vMerge w:val="restart"/>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得分</w:t>
            </w:r>
          </w:p>
        </w:tc>
      </w:tr>
      <w:tr w:rsidR="00BB7ED3">
        <w:trPr>
          <w:trHeight w:val="391"/>
          <w:tblHeader/>
          <w:jc w:val="center"/>
        </w:trPr>
        <w:tc>
          <w:tcPr>
            <w:tcW w:w="656" w:type="dxa"/>
            <w:tcBorders>
              <w:top w:val="nil"/>
              <w:left w:val="single" w:sz="4" w:space="0" w:color="auto"/>
              <w:bottom w:val="single" w:sz="4" w:space="0" w:color="auto"/>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710" w:type="dxa"/>
            <w:tcBorders>
              <w:top w:val="nil"/>
              <w:left w:val="nil"/>
              <w:bottom w:val="single" w:sz="4" w:space="0" w:color="auto"/>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left"/>
              <w:rPr>
                <w:rFonts w:eastAsia="仿宋_GB2312"/>
                <w:b/>
                <w:bCs/>
                <w:color w:val="000000"/>
                <w:kern w:val="0"/>
                <w:sz w:val="20"/>
                <w:szCs w:val="20"/>
              </w:rPr>
            </w:pPr>
          </w:p>
        </w:tc>
        <w:tc>
          <w:tcPr>
            <w:tcW w:w="3080" w:type="dxa"/>
            <w:vMerge/>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left"/>
              <w:rPr>
                <w:rFonts w:eastAsia="仿宋_GB2312"/>
                <w:b/>
                <w:bCs/>
                <w:color w:val="000000"/>
                <w:kern w:val="0"/>
                <w:sz w:val="20"/>
                <w:szCs w:val="20"/>
              </w:rPr>
            </w:pPr>
          </w:p>
        </w:tc>
        <w:tc>
          <w:tcPr>
            <w:tcW w:w="4502" w:type="dxa"/>
            <w:vMerge/>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left"/>
              <w:rPr>
                <w:rFonts w:eastAsia="仿宋_GB2312"/>
                <w:b/>
                <w:bCs/>
                <w:color w:val="000000"/>
                <w:kern w:val="0"/>
                <w:sz w:val="20"/>
                <w:szCs w:val="20"/>
              </w:rPr>
            </w:pPr>
          </w:p>
        </w:tc>
        <w:tc>
          <w:tcPr>
            <w:tcW w:w="385" w:type="dxa"/>
            <w:vMerge/>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left"/>
              <w:rPr>
                <w:rFonts w:eastAsia="仿宋_GB2312"/>
                <w:b/>
                <w:bCs/>
                <w:color w:val="000000"/>
                <w:kern w:val="0"/>
                <w:sz w:val="20"/>
                <w:szCs w:val="20"/>
              </w:rPr>
            </w:pPr>
          </w:p>
        </w:tc>
      </w:tr>
      <w:tr w:rsidR="00BB7ED3">
        <w:trPr>
          <w:jc w:val="center"/>
        </w:trPr>
        <w:tc>
          <w:tcPr>
            <w:tcW w:w="656"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投入</w:t>
            </w:r>
          </w:p>
          <w:p w:rsidR="00BB7ED3" w:rsidRDefault="00BB7ED3">
            <w:pPr>
              <w:widowControl/>
              <w:spacing w:line="280" w:lineRule="exact"/>
              <w:jc w:val="center"/>
              <w:rPr>
                <w:rFonts w:ascii="宋体"/>
                <w:color w:val="000000"/>
                <w:kern w:val="0"/>
                <w:sz w:val="24"/>
              </w:rPr>
            </w:pPr>
            <w:r>
              <w:rPr>
                <w:rFonts w:ascii="仿宋_GB2312" w:eastAsia="仿宋_GB2312" w:hAnsi="宋体" w:hint="eastAsia"/>
                <w:color w:val="000000"/>
                <w:kern w:val="0"/>
                <w:sz w:val="20"/>
                <w:szCs w:val="20"/>
              </w:rPr>
              <w:t>（20分）</w:t>
            </w:r>
          </w:p>
        </w:tc>
        <w:tc>
          <w:tcPr>
            <w:tcW w:w="71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（12分）</w:t>
            </w: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项目立项规范性</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①项目是否按照规定的程序申请设立；</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②所提交的文件、材料是否符合相关要求；</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948"/>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③事前是否已经过必要的可行性研究、专家论证、风险评估、集体决策等。</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绩效目标合理性</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①是否符合国家相关法律法规，国民经济发展规划和党委政府决策；</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②是否与项目实施单位或委托单位职责密切相关；</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③项目是否为促进事业发展所必需；</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826"/>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④项目预期产出效益和效果是否符合正常的业绩水平。</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绩效指标明确性</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①是否将项目绩效目标细化分解为具体的绩效指标；</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②是否通过清晰、可衡量的指标值予以体现；</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③是否与项目年度任务教或计划数相对应；</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675"/>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④是否与预期确定的项目投资额或资金量相匹配。</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资金落实</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（8分）</w:t>
            </w: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资金到位率=（实际到位资金/计划投入资金）×100%。</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实际到位资金：一定时期（本年度或项目期）内实际落实到具体项目的资金。</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1122"/>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计划投入资金：一定时期（本年度或项目期）内计划投入到具体项目的资金。</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到位及时率＝（及时到位资金/应到位资金）×100%。</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及时到位资金：截至规定时点实际落实到具体项目的资金。</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1091"/>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应到位资金：按照合同或项目进度要求截至规定时点应落实到具体项目的资金。</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656" w:type="dxa"/>
            <w:vMerge w:val="restart"/>
            <w:tcBorders>
              <w:top w:val="nil"/>
              <w:left w:val="single" w:sz="4" w:space="0" w:color="auto"/>
              <w:bottom w:val="single" w:sz="4" w:space="0" w:color="000000"/>
              <w:right w:val="single" w:sz="4" w:space="0" w:color="auto"/>
            </w:tcBorders>
            <w:vAlign w:val="center"/>
            <w:hideMark/>
          </w:tcPr>
          <w:p w:rsidR="00BB7ED3" w:rsidRDefault="00BB7ED3">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过程</w:t>
            </w:r>
          </w:p>
          <w:p w:rsidR="00BB7ED3" w:rsidRDefault="00BB7ED3">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（30分）</w:t>
            </w:r>
          </w:p>
        </w:tc>
        <w:tc>
          <w:tcPr>
            <w:tcW w:w="710" w:type="dxa"/>
            <w:vMerge w:val="restart"/>
            <w:tcBorders>
              <w:top w:val="nil"/>
              <w:left w:val="single" w:sz="4" w:space="0" w:color="auto"/>
              <w:bottom w:val="single" w:sz="4" w:space="0" w:color="000000"/>
              <w:right w:val="single" w:sz="4" w:space="0" w:color="auto"/>
            </w:tcBorders>
            <w:vAlign w:val="center"/>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业务管理</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（10分）</w:t>
            </w:r>
          </w:p>
          <w:p w:rsidR="00BB7ED3" w:rsidRDefault="00BB7ED3">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①是否已制定或具有相应的业务管理制度；</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633"/>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②业务管理制度是否合法、合规、完整。</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制度执行有效性</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①是否遵守相关法律法规和业务管理规定；</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②项目调整及支出调整手续是否完备；</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③项目合同书、验收报告、技术审定等资料是否齐全并及时归档;</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1103"/>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④项目实施的人员条件、场地设备，信息支撑等是否落实到位。</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项目质量可控性</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①是否已制定或其有相应的项目质量要求或标准；</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trHeight w:val="1194"/>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②是否采取了相应的项目质量检查、验收等必需的控制措施或手段。</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财务管理</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（20分）</w:t>
            </w: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管理制度健全性</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（5分）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①是否已制定或具有相应的项目资金管理办法；</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866"/>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②项目资金管理办法是否符合相关财务会计制度的规定。</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资金使用合规性</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（7分）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①是否符合国家财经法规和财务管理以及有关专项资金管理办法的规定；</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②资金的拨付是否有完整的审批程序和手续；</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③项目的重大开支是否经过评估认证；</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④是否符合项目预算批复或合同规定的用途；</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trHeight w:val="1027"/>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⑤是否存在截留、挤占、挪用、虚列支出等情况。</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trHeight w:val="377"/>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财务监控有效性</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（8分）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①是否已制定或具有相应的监控机制；</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1519"/>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②是否采取了相应的财务检查等必要的监控措施或手段。</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656" w:type="dxa"/>
            <w:vMerge w:val="restart"/>
            <w:tcBorders>
              <w:top w:val="nil"/>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产出</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（30分）</w:t>
            </w:r>
          </w:p>
        </w:tc>
        <w:tc>
          <w:tcPr>
            <w:tcW w:w="710" w:type="dxa"/>
            <w:vMerge w:val="restart"/>
            <w:tcBorders>
              <w:top w:val="nil"/>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项目产出</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（30分）</w:t>
            </w: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实际完成率（7分）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实际完成率＝（实际产出数/计划产出数）×100%。</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568"/>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实际产出数：一定时期（本年度或项目期）内项目实际产出的产品或提供的服务数。</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822"/>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（7分）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 (计划完成时间-实际完成时间）/计划完成时间]</w:t>
            </w:r>
            <w:r>
              <w:rPr>
                <w:rFonts w:ascii="宋体" w:eastAsia="仿宋_GB2312" w:hAnsi="宋体" w:hint="eastAsia"/>
                <w:color w:val="000000"/>
                <w:kern w:val="0"/>
                <w:sz w:val="20"/>
                <w:szCs w:val="20"/>
              </w:rPr>
              <w:t> </w:t>
            </w:r>
            <w:r>
              <w:rPr>
                <w:rFonts w:ascii="仿宋_GB2312" w:eastAsia="仿宋_GB2312" w:hAnsi="宋体" w:hint="eastAsia"/>
                <w:color w:val="000000"/>
                <w:kern w:val="0"/>
                <w:sz w:val="20"/>
                <w:szCs w:val="20"/>
              </w:rPr>
              <w:t>×100%。</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实际完成时间：项目实施单位完成该项目实际所耗用的时间。</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516"/>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计划完成时间：按照项目实施计划或相关规定完成该项目所需的时间。</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（8分）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质量达标率＝（质量达标产出数/实际产出数）/100%。</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hRule="exact" w:val="1006"/>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（8分）</w:t>
            </w:r>
          </w:p>
        </w:tc>
        <w:tc>
          <w:tcPr>
            <w:tcW w:w="3080" w:type="dxa"/>
            <w:vMerge w:val="restart"/>
            <w:tcBorders>
              <w:top w:val="nil"/>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成本节约率＝(计划成本-实际成本)</w:t>
            </w:r>
            <w:r>
              <w:rPr>
                <w:rFonts w:ascii="宋体" w:eastAsia="仿宋_GB2312" w:hAnsi="宋体" w:hint="eastAsia"/>
                <w:color w:val="000000"/>
                <w:kern w:val="0"/>
                <w:sz w:val="20"/>
                <w:szCs w:val="20"/>
              </w:rPr>
              <w:t> </w:t>
            </w:r>
            <w:r>
              <w:rPr>
                <w:rFonts w:ascii="仿宋_GB2312" w:eastAsia="仿宋_GB2312" w:hAnsi="宋体" w:hint="eastAsia"/>
                <w:color w:val="000000"/>
                <w:kern w:val="0"/>
                <w:sz w:val="20"/>
                <w:szCs w:val="20"/>
              </w:rPr>
              <w:t>/计划成本×100%。</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实际成本：项目实施单位如期、保质、保量完成既定工作目标实际所耗费的支出。</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567"/>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计划成本：项目实施单位为完成工作目标计划安排的支出，一般以项目预算为参考。</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trHeight w:val="667"/>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效果</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（20分）</w:t>
            </w:r>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项目效益</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（20分）</w:t>
            </w:r>
          </w:p>
        </w:tc>
        <w:tc>
          <w:tcPr>
            <w:tcW w:w="1275"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经济效益</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（4分）</w:t>
            </w:r>
          </w:p>
        </w:tc>
        <w:tc>
          <w:tcPr>
            <w:tcW w:w="3080"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项目实施对经济发展所带来的直接或间接影响情况。</w:t>
            </w:r>
          </w:p>
        </w:tc>
        <w:tc>
          <w:tcPr>
            <w:tcW w:w="4502" w:type="dxa"/>
            <w:vMerge w:val="restart"/>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此四项指标为设置项目支出</w:t>
            </w:r>
            <w:r>
              <w:rPr>
                <w:rFonts w:ascii="仿宋_GB2312" w:hAnsi="宋体" w:hint="eastAsia"/>
                <w:color w:val="000000"/>
                <w:kern w:val="0"/>
                <w:sz w:val="20"/>
                <w:szCs w:val="20"/>
              </w:rPr>
              <w:t>績</w:t>
            </w:r>
            <w:r>
              <w:rPr>
                <w:rFonts w:ascii="仿宋_GB2312" w:eastAsia="仿宋_GB2312" w:hAnsi="宋体" w:hint="eastAsia"/>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rPr>
                <w:rFonts w:ascii="宋体"/>
                <w:color w:val="000000"/>
                <w:kern w:val="0"/>
                <w:sz w:val="24"/>
              </w:rPr>
            </w:pPr>
          </w:p>
        </w:tc>
      </w:tr>
      <w:tr w:rsidR="00BB7ED3">
        <w:trPr>
          <w:trHeight w:val="604"/>
          <w:jc w:val="center"/>
        </w:trPr>
        <w:tc>
          <w:tcPr>
            <w:tcW w:w="10223"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社会效益</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（3分）</w:t>
            </w:r>
          </w:p>
        </w:tc>
        <w:tc>
          <w:tcPr>
            <w:tcW w:w="3080"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项目实施对社会发展所带来的直接或间接影响情况。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jc w:val="left"/>
              <w:rPr>
                <w:rFonts w:ascii="宋体"/>
                <w:color w:val="000000"/>
                <w:kern w:val="0"/>
                <w:sz w:val="24"/>
              </w:rPr>
            </w:pPr>
          </w:p>
        </w:tc>
      </w:tr>
      <w:tr w:rsidR="00BB7ED3">
        <w:trPr>
          <w:trHeight w:val="755"/>
          <w:jc w:val="center"/>
        </w:trPr>
        <w:tc>
          <w:tcPr>
            <w:tcW w:w="10223"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生态效益</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（3分）</w:t>
            </w:r>
          </w:p>
        </w:tc>
        <w:tc>
          <w:tcPr>
            <w:tcW w:w="3080"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项目实施对生态环境所带来的直接或间接影响情况。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jc w:val="left"/>
              <w:rPr>
                <w:rFonts w:ascii="宋体"/>
                <w:color w:val="000000"/>
                <w:kern w:val="0"/>
                <w:sz w:val="24"/>
              </w:rPr>
            </w:pPr>
          </w:p>
        </w:tc>
      </w:tr>
      <w:tr w:rsidR="00BB7ED3">
        <w:trPr>
          <w:trHeight w:val="596"/>
          <w:jc w:val="center"/>
        </w:trPr>
        <w:tc>
          <w:tcPr>
            <w:tcW w:w="10223"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可持续影响（4分）</w:t>
            </w:r>
          </w:p>
        </w:tc>
        <w:tc>
          <w:tcPr>
            <w:tcW w:w="3080"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项目后续运行及成效发挥的可持续影响情况。</w:t>
            </w:r>
          </w:p>
        </w:tc>
        <w:tc>
          <w:tcPr>
            <w:tcW w:w="4502"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jc w:val="left"/>
              <w:rPr>
                <w:rFonts w:ascii="宋体"/>
                <w:color w:val="000000"/>
                <w:kern w:val="0"/>
                <w:sz w:val="24"/>
              </w:rPr>
            </w:pPr>
          </w:p>
        </w:tc>
      </w:tr>
      <w:tr w:rsidR="00BB7ED3">
        <w:trPr>
          <w:trHeight w:val="916"/>
          <w:jc w:val="center"/>
        </w:trPr>
        <w:tc>
          <w:tcPr>
            <w:tcW w:w="10223"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社会公众或服务对象满意度（6分）</w:t>
            </w:r>
          </w:p>
        </w:tc>
        <w:tc>
          <w:tcPr>
            <w:tcW w:w="3080"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社会公众或服务对象对项目实施效策的满意程度</w:t>
            </w:r>
          </w:p>
        </w:tc>
        <w:tc>
          <w:tcPr>
            <w:tcW w:w="4502"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社会公众或服务对象是指因该项目实施而受到影响的部门(单位)、群体或个人。一般采取社会调查的方式。</w:t>
            </w: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rPr>
                <w:rFonts w:ascii="宋体"/>
                <w:color w:val="000000"/>
                <w:kern w:val="0"/>
                <w:sz w:val="24"/>
              </w:rPr>
            </w:pPr>
          </w:p>
        </w:tc>
      </w:tr>
      <w:tr w:rsidR="00BB7ED3">
        <w:trPr>
          <w:trHeight w:val="916"/>
          <w:jc w:val="center"/>
        </w:trPr>
        <w:tc>
          <w:tcPr>
            <w:tcW w:w="10223" w:type="dxa"/>
            <w:gridSpan w:val="5"/>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24"/>
                <w:szCs w:val="24"/>
              </w:rPr>
              <w:t>合计得分</w:t>
            </w: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rPr>
                <w:rFonts w:ascii="宋体"/>
                <w:color w:val="000000"/>
                <w:kern w:val="0"/>
                <w:sz w:val="24"/>
              </w:rPr>
            </w:pPr>
          </w:p>
        </w:tc>
      </w:tr>
    </w:tbl>
    <w:p w:rsidR="00DE3DF3" w:rsidRDefault="00DE3DF3"/>
    <w:sectPr w:rsidR="00DE3DF3" w:rsidSect="00F768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08B" w:rsidRDefault="00A2708B" w:rsidP="00BB7ED3">
      <w:r>
        <w:separator/>
      </w:r>
    </w:p>
  </w:endnote>
  <w:endnote w:type="continuationSeparator" w:id="1">
    <w:p w:rsidR="00A2708B" w:rsidRDefault="00A2708B" w:rsidP="00BB7E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黑体"/>
    <w:charset w:val="86"/>
    <w:family w:val="script"/>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08B" w:rsidRDefault="00A2708B" w:rsidP="00BB7ED3">
      <w:r>
        <w:separator/>
      </w:r>
    </w:p>
  </w:footnote>
  <w:footnote w:type="continuationSeparator" w:id="1">
    <w:p w:rsidR="00A2708B" w:rsidRDefault="00A2708B" w:rsidP="00BB7E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7ED3"/>
    <w:rsid w:val="005A73BF"/>
    <w:rsid w:val="00A2708B"/>
    <w:rsid w:val="00BB7ED3"/>
    <w:rsid w:val="00DE3DF3"/>
    <w:rsid w:val="00F768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ED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7E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B7ED3"/>
    <w:rPr>
      <w:sz w:val="18"/>
      <w:szCs w:val="18"/>
    </w:rPr>
  </w:style>
  <w:style w:type="paragraph" w:styleId="a4">
    <w:name w:val="footer"/>
    <w:basedOn w:val="a"/>
    <w:link w:val="Char0"/>
    <w:uiPriority w:val="99"/>
    <w:semiHidden/>
    <w:unhideWhenUsed/>
    <w:rsid w:val="00BB7E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B7ED3"/>
    <w:rPr>
      <w:sz w:val="18"/>
      <w:szCs w:val="18"/>
    </w:rPr>
  </w:style>
  <w:style w:type="paragraph" w:customStyle="1" w:styleId="Default">
    <w:name w:val="Default"/>
    <w:qFormat/>
    <w:rsid w:val="00BB7ED3"/>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550</Words>
  <Characters>3140</Characters>
  <Application>Microsoft Office Word</Application>
  <DocSecurity>0</DocSecurity>
  <Lines>26</Lines>
  <Paragraphs>7</Paragraphs>
  <ScaleCrop>false</ScaleCrop>
  <Company>china</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ABC</cp:lastModifiedBy>
  <cp:revision>3</cp:revision>
  <dcterms:created xsi:type="dcterms:W3CDTF">2022-11-11T08:23:00Z</dcterms:created>
  <dcterms:modified xsi:type="dcterms:W3CDTF">2023-09-22T16:01:00Z</dcterms:modified>
</cp:coreProperties>
</file>