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eastAsia="方正小标宋简体"/>
          <w:sz w:val="44"/>
          <w:szCs w:val="44"/>
        </w:rPr>
      </w:pPr>
      <w:r>
        <w:rPr>
          <w:rFonts w:hint="eastAsia" w:ascii="方正小标宋简体" w:eastAsia="方正小标宋简体"/>
          <w:color w:val="000000"/>
          <w:sz w:val="44"/>
          <w:szCs w:val="44"/>
          <w:lang w:eastAsia="zh-CN"/>
        </w:rPr>
        <w:t>区机关事务服务中心</w:t>
      </w:r>
      <w:r>
        <w:rPr>
          <w:rFonts w:hint="eastAsia" w:ascii="方正小标宋简体" w:eastAsia="方正小标宋简体"/>
          <w:color w:val="000000"/>
          <w:sz w:val="44"/>
          <w:szCs w:val="44"/>
        </w:rPr>
        <w:t>20</w:t>
      </w:r>
      <w:r>
        <w:rPr>
          <w:rFonts w:hint="eastAsia" w:ascii="方正小标宋简体" w:eastAsia="方正小标宋简体"/>
          <w:color w:val="000000"/>
          <w:sz w:val="44"/>
          <w:szCs w:val="44"/>
          <w:lang w:val="en-US" w:eastAsia="zh-CN"/>
        </w:rPr>
        <w:t>21</w:t>
      </w:r>
      <w:r>
        <w:rPr>
          <w:rFonts w:eastAsia="方正小标宋简体"/>
          <w:sz w:val="44"/>
          <w:szCs w:val="44"/>
        </w:rPr>
        <w:t>年度部门整体支出绩效</w:t>
      </w:r>
    </w:p>
    <w:p>
      <w:pPr>
        <w:jc w:val="center"/>
        <w:rPr>
          <w:rFonts w:eastAsia="方正小标宋简体"/>
          <w:sz w:val="44"/>
          <w:szCs w:val="44"/>
        </w:rPr>
      </w:pPr>
      <w:r>
        <w:rPr>
          <w:rFonts w:eastAsia="方正小标宋简体"/>
          <w:sz w:val="44"/>
          <w:szCs w:val="44"/>
        </w:rPr>
        <w:t>自</w:t>
      </w:r>
      <w:r>
        <w:rPr>
          <w:rFonts w:hint="eastAsia" w:eastAsia="方正小标宋简体"/>
          <w:sz w:val="44"/>
          <w:szCs w:val="44"/>
          <w:lang w:val="en-US" w:eastAsia="zh-CN"/>
        </w:rPr>
        <w:t xml:space="preserve"> </w:t>
      </w:r>
      <w:r>
        <w:rPr>
          <w:rFonts w:eastAsia="方正小标宋简体"/>
          <w:sz w:val="44"/>
          <w:szCs w:val="44"/>
        </w:rPr>
        <w:t>评</w:t>
      </w:r>
      <w:r>
        <w:rPr>
          <w:rFonts w:hint="eastAsia" w:eastAsia="方正小标宋简体"/>
          <w:sz w:val="44"/>
          <w:szCs w:val="44"/>
          <w:lang w:val="en-US" w:eastAsia="zh-CN"/>
        </w:rPr>
        <w:t xml:space="preserve"> </w:t>
      </w:r>
      <w:r>
        <w:rPr>
          <w:rFonts w:eastAsia="方正小标宋简体"/>
          <w:sz w:val="44"/>
          <w:szCs w:val="44"/>
        </w:rPr>
        <w:t>报</w:t>
      </w:r>
      <w:r>
        <w:rPr>
          <w:rFonts w:hint="eastAsia" w:eastAsia="方正小标宋简体"/>
          <w:sz w:val="44"/>
          <w:szCs w:val="44"/>
          <w:lang w:val="en-US" w:eastAsia="zh-CN"/>
        </w:rPr>
        <w:t xml:space="preserve"> </w:t>
      </w:r>
      <w:r>
        <w:rPr>
          <w:rFonts w:eastAsia="方正小标宋简体"/>
          <w:sz w:val="44"/>
          <w:szCs w:val="44"/>
        </w:rPr>
        <w:t>告</w:t>
      </w:r>
    </w:p>
    <w:p>
      <w:pPr>
        <w:ind w:firstLine="420" w:firstLineChars="200"/>
        <w:jc w:val="center"/>
      </w:pPr>
    </w:p>
    <w:p>
      <w:pPr>
        <w:ind w:firstLine="643" w:firstLineChars="200"/>
        <w:rPr>
          <w:rFonts w:ascii="宋体" w:hAnsi="宋体"/>
          <w:b/>
          <w:sz w:val="32"/>
          <w:szCs w:val="32"/>
        </w:rPr>
      </w:pPr>
      <w:r>
        <w:rPr>
          <w:rFonts w:ascii="宋体" w:hAnsi="宋体"/>
          <w:b/>
          <w:sz w:val="32"/>
          <w:szCs w:val="32"/>
        </w:rPr>
        <w:t>一、部门概况</w:t>
      </w:r>
    </w:p>
    <w:p>
      <w:pPr>
        <w:spacing w:line="52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部门基本情况</w:t>
      </w:r>
    </w:p>
    <w:p>
      <w:pPr>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（一）机构设置：办公室、财务室、保卫股、水电股、环卫股、公务车服务管理</w:t>
      </w:r>
      <w:r>
        <w:rPr>
          <w:rFonts w:hint="eastAsia" w:ascii="宋体" w:hAnsi="宋体" w:eastAsia="宋体" w:cs="宋体"/>
          <w:sz w:val="32"/>
          <w:szCs w:val="32"/>
          <w:lang w:eastAsia="zh-CN"/>
        </w:rPr>
        <w:t>中心</w:t>
      </w:r>
      <w:r>
        <w:rPr>
          <w:rFonts w:hint="eastAsia" w:ascii="宋体" w:hAnsi="宋体" w:eastAsia="宋体" w:cs="宋体"/>
          <w:sz w:val="32"/>
          <w:szCs w:val="32"/>
        </w:rPr>
        <w:t>、物业管理股。</w:t>
      </w:r>
    </w:p>
    <w:p>
      <w:pPr>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（二）人员编制情况：编制人数59人，在职人数</w:t>
      </w:r>
      <w:r>
        <w:rPr>
          <w:rFonts w:hint="eastAsia" w:ascii="宋体" w:hAnsi="宋体" w:cs="宋体"/>
          <w:sz w:val="32"/>
          <w:szCs w:val="32"/>
          <w:lang w:val="en-US" w:eastAsia="zh-CN"/>
        </w:rPr>
        <w:t>54</w:t>
      </w:r>
      <w:r>
        <w:rPr>
          <w:rFonts w:hint="eastAsia" w:ascii="宋体" w:hAnsi="宋体" w:eastAsia="宋体" w:cs="宋体"/>
          <w:sz w:val="32"/>
          <w:szCs w:val="32"/>
        </w:rPr>
        <w:t>人，离退休人数</w:t>
      </w:r>
      <w:r>
        <w:rPr>
          <w:rFonts w:hint="eastAsia" w:ascii="宋体" w:hAnsi="宋体" w:cs="宋体"/>
          <w:sz w:val="32"/>
          <w:szCs w:val="32"/>
          <w:lang w:val="en-US" w:eastAsia="zh-CN"/>
        </w:rPr>
        <w:t>9</w:t>
      </w:r>
      <w:r>
        <w:rPr>
          <w:rFonts w:hint="eastAsia" w:ascii="宋体" w:hAnsi="宋体" w:eastAsia="宋体" w:cs="宋体"/>
          <w:sz w:val="32"/>
          <w:szCs w:val="32"/>
        </w:rPr>
        <w:t>人。在职人员正科级</w:t>
      </w:r>
      <w:r>
        <w:rPr>
          <w:rFonts w:hint="eastAsia" w:ascii="宋体" w:hAnsi="宋体" w:cs="宋体"/>
          <w:sz w:val="32"/>
          <w:szCs w:val="32"/>
          <w:lang w:val="en-US" w:eastAsia="zh-CN"/>
        </w:rPr>
        <w:t>3</w:t>
      </w:r>
      <w:r>
        <w:rPr>
          <w:rFonts w:hint="eastAsia" w:ascii="宋体" w:hAnsi="宋体" w:eastAsia="宋体" w:cs="宋体"/>
          <w:sz w:val="32"/>
          <w:szCs w:val="32"/>
        </w:rPr>
        <w:t>人，副科级</w:t>
      </w:r>
      <w:r>
        <w:rPr>
          <w:rFonts w:hint="eastAsia" w:ascii="宋体" w:hAnsi="宋体" w:cs="宋体"/>
          <w:sz w:val="32"/>
          <w:szCs w:val="32"/>
          <w:lang w:val="en-US" w:eastAsia="zh-CN"/>
        </w:rPr>
        <w:t>1</w:t>
      </w:r>
      <w:r>
        <w:rPr>
          <w:rFonts w:hint="eastAsia" w:ascii="宋体" w:hAnsi="宋体" w:eastAsia="宋体" w:cs="宋体"/>
          <w:sz w:val="32"/>
          <w:szCs w:val="32"/>
        </w:rPr>
        <w:t>人。</w:t>
      </w:r>
    </w:p>
    <w:p>
      <w:pPr>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（三）车辆编制情况：车辆编制数为</w:t>
      </w:r>
      <w:r>
        <w:rPr>
          <w:rFonts w:hint="eastAsia" w:ascii="宋体" w:hAnsi="宋体" w:cs="宋体"/>
          <w:sz w:val="32"/>
          <w:szCs w:val="32"/>
          <w:lang w:val="en-US" w:eastAsia="zh-CN"/>
        </w:rPr>
        <w:t>64</w:t>
      </w:r>
      <w:r>
        <w:rPr>
          <w:rFonts w:hint="eastAsia" w:ascii="宋体" w:hAnsi="宋体" w:eastAsia="宋体" w:cs="宋体"/>
          <w:sz w:val="32"/>
          <w:szCs w:val="32"/>
        </w:rPr>
        <w:t>辆，实有公务用车</w:t>
      </w:r>
      <w:r>
        <w:rPr>
          <w:rFonts w:hint="eastAsia" w:ascii="宋体" w:hAnsi="宋体" w:cs="宋体"/>
          <w:sz w:val="32"/>
          <w:szCs w:val="32"/>
          <w:lang w:val="en-US" w:eastAsia="zh-CN"/>
        </w:rPr>
        <w:t>64</w:t>
      </w:r>
      <w:r>
        <w:rPr>
          <w:rFonts w:hint="eastAsia" w:ascii="宋体" w:hAnsi="宋体" w:eastAsia="宋体" w:cs="宋体"/>
          <w:sz w:val="32"/>
          <w:szCs w:val="32"/>
        </w:rPr>
        <w:t>辆。</w:t>
      </w:r>
    </w:p>
    <w:p>
      <w:pPr>
        <w:ind w:firstLine="964" w:firstLineChars="300"/>
        <w:rPr>
          <w:rFonts w:hint="eastAsia" w:ascii="宋体" w:hAnsi="宋体" w:eastAsia="宋体" w:cs="宋体"/>
          <w:b/>
          <w:bCs/>
          <w:color w:val="auto"/>
          <w:sz w:val="32"/>
          <w:szCs w:val="32"/>
        </w:rPr>
      </w:pPr>
      <w:r>
        <w:rPr>
          <w:rFonts w:hint="eastAsia" w:ascii="宋体" w:hAnsi="宋体" w:eastAsia="宋体" w:cs="宋体"/>
          <w:b/>
          <w:bCs/>
          <w:color w:val="auto"/>
          <w:sz w:val="32"/>
          <w:szCs w:val="32"/>
        </w:rPr>
        <w:t>20</w:t>
      </w:r>
      <w:r>
        <w:rPr>
          <w:rFonts w:hint="eastAsia" w:ascii="宋体" w:hAnsi="宋体" w:cs="宋体"/>
          <w:b/>
          <w:bCs/>
          <w:color w:val="auto"/>
          <w:sz w:val="32"/>
          <w:szCs w:val="32"/>
          <w:lang w:val="en-US" w:eastAsia="zh-CN"/>
        </w:rPr>
        <w:t>21</w:t>
      </w:r>
      <w:r>
        <w:rPr>
          <w:rFonts w:hint="eastAsia" w:ascii="宋体" w:hAnsi="宋体" w:eastAsia="宋体" w:cs="宋体"/>
          <w:b/>
          <w:bCs/>
          <w:color w:val="auto"/>
          <w:sz w:val="32"/>
          <w:szCs w:val="32"/>
        </w:rPr>
        <w:t>年的重点工作</w:t>
      </w:r>
    </w:p>
    <w:p>
      <w:pPr>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（一）负责区行政中心国有资产的管理工作。</w:t>
      </w:r>
    </w:p>
    <w:p>
      <w:pPr>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（二）负责区行政中心的正常供水、供电及安全监督检查有服务工作。</w:t>
      </w:r>
    </w:p>
    <w:p>
      <w:pPr>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（三）负责区行政中心的安全保卫、消防、社会综合治理及行政中心区域的交通安全等工作。</w:t>
      </w:r>
    </w:p>
    <w:p>
      <w:pPr>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（四）负责区行政中心的基建、绿化、美化、环境保护的规范设置及组织实施工作和机关卫生管理工作。</w:t>
      </w:r>
    </w:p>
    <w:p>
      <w:pPr>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（五）负责区级大型活动及重要会议的会务及后勤保障工作。</w:t>
      </w:r>
    </w:p>
    <w:p>
      <w:pPr>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（六）负责锦苑小区及河东生活区的物业管理工作。</w:t>
      </w:r>
    </w:p>
    <w:p>
      <w:pPr>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（七）负责区委、区人大、区政府、区政协交办的其它工作事项。</w:t>
      </w:r>
    </w:p>
    <w:p>
      <w:pPr>
        <w:numPr>
          <w:ilvl w:val="0"/>
          <w:numId w:val="0"/>
        </w:numPr>
        <w:ind w:firstLine="643" w:firstLineChars="200"/>
        <w:rPr>
          <w:rFonts w:hint="eastAsia" w:ascii="宋体" w:hAnsi="宋体" w:eastAsia="宋体" w:cs="宋体"/>
          <w:sz w:val="32"/>
          <w:szCs w:val="32"/>
          <w:lang w:val="en-US" w:eastAsia="zh-CN"/>
        </w:rPr>
      </w:pPr>
      <w:r>
        <w:rPr>
          <w:rFonts w:hint="eastAsia" w:ascii="宋体" w:hAnsi="宋体" w:eastAsia="宋体" w:cs="宋体"/>
          <w:b/>
          <w:bCs/>
          <w:sz w:val="32"/>
          <w:szCs w:val="32"/>
        </w:rPr>
        <w:t>部门整体支出情况</w:t>
      </w:r>
      <w:r>
        <w:rPr>
          <w:rFonts w:hint="eastAsia" w:ascii="宋体" w:hAnsi="宋体" w:eastAsia="宋体" w:cs="宋体"/>
          <w:b/>
          <w:bCs/>
          <w:sz w:val="32"/>
          <w:szCs w:val="32"/>
          <w:lang w:val="en-US" w:eastAsia="zh-CN"/>
        </w:rPr>
        <w:t>:</w:t>
      </w:r>
      <w:r>
        <w:rPr>
          <w:rFonts w:hint="eastAsia" w:ascii="宋体" w:hAnsi="宋体" w:eastAsia="宋体" w:cs="宋体"/>
          <w:b w:val="0"/>
          <w:bCs w:val="0"/>
          <w:sz w:val="32"/>
          <w:szCs w:val="32"/>
          <w:lang w:eastAsia="zh-CN"/>
        </w:rPr>
        <w:t>全年收入合计</w:t>
      </w:r>
      <w:r>
        <w:rPr>
          <w:rFonts w:hint="eastAsia" w:ascii="宋体" w:hAnsi="宋体" w:cs="宋体"/>
          <w:b w:val="0"/>
          <w:bCs w:val="0"/>
          <w:sz w:val="32"/>
          <w:szCs w:val="32"/>
          <w:lang w:val="en-US" w:eastAsia="zh-CN"/>
        </w:rPr>
        <w:t>1374.16</w:t>
      </w:r>
      <w:r>
        <w:rPr>
          <w:rFonts w:hint="eastAsia" w:ascii="宋体" w:hAnsi="宋体" w:eastAsia="宋体" w:cs="宋体"/>
          <w:b w:val="0"/>
          <w:bCs w:val="0"/>
          <w:sz w:val="32"/>
          <w:szCs w:val="32"/>
          <w:lang w:eastAsia="zh-CN"/>
        </w:rPr>
        <w:t>万元。其中：财政拨款收入</w:t>
      </w:r>
      <w:r>
        <w:rPr>
          <w:rFonts w:hint="eastAsia" w:ascii="宋体" w:hAnsi="宋体" w:cs="宋体"/>
          <w:b w:val="0"/>
          <w:bCs w:val="0"/>
          <w:sz w:val="32"/>
          <w:szCs w:val="32"/>
          <w:lang w:val="en-US" w:eastAsia="zh-CN"/>
        </w:rPr>
        <w:t>1374.16</w:t>
      </w:r>
      <w:r>
        <w:rPr>
          <w:rFonts w:hint="eastAsia" w:ascii="宋体" w:hAnsi="宋体" w:eastAsia="宋体" w:cs="宋体"/>
          <w:b w:val="0"/>
          <w:bCs w:val="0"/>
          <w:sz w:val="32"/>
          <w:szCs w:val="32"/>
          <w:lang w:eastAsia="zh-CN"/>
        </w:rPr>
        <w:t>万元，占比 100%。</w:t>
      </w:r>
    </w:p>
    <w:p>
      <w:pPr>
        <w:keepNext w:val="0"/>
        <w:keepLines w:val="0"/>
        <w:pageBreakBefore w:val="0"/>
        <w:kinsoku/>
        <w:wordWrap/>
        <w:overflowPunct/>
        <w:topLinePunct w:val="0"/>
        <w:autoSpaceDE/>
        <w:autoSpaceDN/>
        <w:bidi w:val="0"/>
        <w:adjustRightInd/>
        <w:snapToGrid/>
        <w:spacing w:beforeAutospacing="0" w:afterAutospacing="0" w:line="640" w:lineRule="exact"/>
        <w:ind w:right="0" w:rightChars="0" w:firstLine="640" w:firstLineChars="200"/>
        <w:textAlignment w:val="auto"/>
        <w:outlineLvl w:val="9"/>
        <w:rPr>
          <w:rFonts w:hint="eastAsia" w:ascii="宋体" w:hAnsi="宋体" w:eastAsia="宋体" w:cs="宋体"/>
          <w:b/>
          <w:sz w:val="32"/>
          <w:szCs w:val="32"/>
        </w:rPr>
      </w:pPr>
      <w:r>
        <w:rPr>
          <w:rFonts w:hint="eastAsia" w:ascii="宋体" w:hAnsi="宋体" w:eastAsia="宋体" w:cs="宋体"/>
          <w:sz w:val="32"/>
          <w:szCs w:val="32"/>
          <w:lang w:val="en-US" w:eastAsia="zh-CN"/>
        </w:rPr>
        <w:t xml:space="preserve"> </w:t>
      </w:r>
      <w:r>
        <w:rPr>
          <w:rFonts w:hint="eastAsia" w:ascii="宋体" w:hAnsi="宋体" w:eastAsia="宋体" w:cs="宋体"/>
          <w:b/>
          <w:sz w:val="32"/>
          <w:szCs w:val="32"/>
        </w:rPr>
        <w:t>二、部门整体支出管理及使用情况</w:t>
      </w:r>
    </w:p>
    <w:p>
      <w:pPr>
        <w:keepNext w:val="0"/>
        <w:keepLines w:val="0"/>
        <w:pageBreakBefore w:val="0"/>
        <w:kinsoku/>
        <w:wordWrap/>
        <w:overflowPunct/>
        <w:topLinePunct w:val="0"/>
        <w:autoSpaceDE/>
        <w:autoSpaceDN/>
        <w:bidi w:val="0"/>
        <w:adjustRightInd/>
        <w:snapToGrid/>
        <w:spacing w:beforeAutospacing="0" w:afterAutospacing="0" w:line="640" w:lineRule="exact"/>
        <w:ind w:right="0" w:rightChars="0" w:firstLine="640" w:firstLineChars="200"/>
        <w:textAlignment w:val="auto"/>
        <w:outlineLvl w:val="9"/>
        <w:rPr>
          <w:rFonts w:hint="eastAsia" w:ascii="宋体" w:hAnsi="宋体" w:eastAsia="宋体" w:cs="宋体"/>
          <w:b w:val="0"/>
          <w:bCs w:val="0"/>
          <w:sz w:val="32"/>
          <w:szCs w:val="32"/>
          <w:lang w:eastAsia="zh-CN"/>
        </w:rPr>
      </w:pPr>
      <w:r>
        <w:rPr>
          <w:rFonts w:hint="eastAsia" w:ascii="宋体" w:hAnsi="宋体" w:eastAsia="宋体" w:cs="宋体"/>
          <w:sz w:val="32"/>
          <w:szCs w:val="32"/>
          <w:lang w:val="en-US" w:eastAsia="zh-CN"/>
        </w:rPr>
        <w:t>区机关事服务中心</w:t>
      </w:r>
      <w:r>
        <w:rPr>
          <w:rFonts w:hint="eastAsia" w:ascii="宋体" w:hAnsi="宋体" w:eastAsia="宋体" w:cs="宋体"/>
          <w:b w:val="0"/>
          <w:bCs w:val="0"/>
          <w:sz w:val="32"/>
          <w:szCs w:val="32"/>
          <w:lang w:eastAsia="zh-CN"/>
        </w:rPr>
        <w:t>20</w:t>
      </w:r>
      <w:r>
        <w:rPr>
          <w:rFonts w:hint="eastAsia" w:ascii="宋体" w:hAnsi="宋体" w:cs="宋体"/>
          <w:b w:val="0"/>
          <w:bCs w:val="0"/>
          <w:sz w:val="32"/>
          <w:szCs w:val="32"/>
          <w:lang w:val="en-US" w:eastAsia="zh-CN"/>
        </w:rPr>
        <w:t>21</w:t>
      </w:r>
      <w:r>
        <w:rPr>
          <w:rFonts w:hint="eastAsia" w:ascii="宋体" w:hAnsi="宋体" w:eastAsia="宋体" w:cs="宋体"/>
          <w:b w:val="0"/>
          <w:bCs w:val="0"/>
          <w:sz w:val="32"/>
          <w:szCs w:val="32"/>
          <w:lang w:eastAsia="zh-CN"/>
        </w:rPr>
        <w:t>年收入总计</w:t>
      </w:r>
      <w:r>
        <w:rPr>
          <w:rFonts w:hint="eastAsia" w:ascii="宋体" w:hAnsi="宋体" w:cs="宋体"/>
          <w:b w:val="0"/>
          <w:bCs w:val="0"/>
          <w:sz w:val="32"/>
          <w:szCs w:val="32"/>
          <w:lang w:val="en-US" w:eastAsia="zh-CN"/>
        </w:rPr>
        <w:t>1374.16</w:t>
      </w:r>
      <w:r>
        <w:rPr>
          <w:rFonts w:hint="eastAsia" w:ascii="宋体" w:hAnsi="宋体" w:eastAsia="宋体" w:cs="宋体"/>
          <w:b w:val="0"/>
          <w:bCs w:val="0"/>
          <w:sz w:val="32"/>
          <w:szCs w:val="32"/>
          <w:lang w:eastAsia="zh-CN"/>
        </w:rPr>
        <w:t>万元（含以前年度结转和结余资金0万元），支出总计</w:t>
      </w:r>
      <w:r>
        <w:rPr>
          <w:rFonts w:hint="eastAsia" w:ascii="宋体" w:hAnsi="宋体" w:cs="宋体"/>
          <w:b w:val="0"/>
          <w:bCs w:val="0"/>
          <w:sz w:val="32"/>
          <w:szCs w:val="32"/>
          <w:lang w:val="en-US" w:eastAsia="zh-CN"/>
        </w:rPr>
        <w:t>1374.16</w:t>
      </w:r>
      <w:r>
        <w:rPr>
          <w:rFonts w:hint="eastAsia" w:ascii="宋体" w:hAnsi="宋体" w:eastAsia="宋体" w:cs="宋体"/>
          <w:b w:val="0"/>
          <w:bCs w:val="0"/>
          <w:sz w:val="32"/>
          <w:szCs w:val="32"/>
          <w:lang w:eastAsia="zh-CN"/>
        </w:rPr>
        <w:t>万元（含年末结转和结 余资金0万元），与20</w:t>
      </w:r>
      <w:r>
        <w:rPr>
          <w:rFonts w:hint="eastAsia" w:ascii="宋体" w:hAnsi="宋体" w:cs="宋体"/>
          <w:b w:val="0"/>
          <w:bCs w:val="0"/>
          <w:sz w:val="32"/>
          <w:szCs w:val="32"/>
          <w:lang w:val="en-US" w:eastAsia="zh-CN"/>
        </w:rPr>
        <w:t>20</w:t>
      </w:r>
      <w:r>
        <w:rPr>
          <w:rFonts w:hint="eastAsia" w:ascii="宋体" w:hAnsi="宋体" w:eastAsia="宋体" w:cs="宋体"/>
          <w:b w:val="0"/>
          <w:bCs w:val="0"/>
          <w:sz w:val="32"/>
          <w:szCs w:val="32"/>
          <w:lang w:val="en-US" w:eastAsia="zh-CN"/>
        </w:rPr>
        <w:t>收支</w:t>
      </w:r>
      <w:r>
        <w:rPr>
          <w:rFonts w:hint="eastAsia" w:ascii="宋体" w:hAnsi="宋体" w:cs="宋体"/>
          <w:b w:val="0"/>
          <w:bCs w:val="0"/>
          <w:sz w:val="32"/>
          <w:szCs w:val="32"/>
          <w:lang w:val="en-US" w:eastAsia="zh-CN"/>
        </w:rPr>
        <w:t>1653.91</w:t>
      </w:r>
      <w:r>
        <w:rPr>
          <w:rFonts w:hint="eastAsia" w:ascii="宋体" w:hAnsi="宋体" w:eastAsia="宋体" w:cs="宋体"/>
          <w:b w:val="0"/>
          <w:bCs w:val="0"/>
          <w:sz w:val="32"/>
          <w:szCs w:val="32"/>
          <w:lang w:val="en-US" w:eastAsia="zh-CN"/>
        </w:rPr>
        <w:t>万元</w:t>
      </w:r>
      <w:r>
        <w:rPr>
          <w:rFonts w:hint="eastAsia" w:ascii="宋体" w:hAnsi="宋体" w:eastAsia="宋体" w:cs="宋体"/>
          <w:b w:val="0"/>
          <w:bCs w:val="0"/>
          <w:sz w:val="32"/>
          <w:szCs w:val="32"/>
          <w:lang w:eastAsia="zh-CN"/>
        </w:rPr>
        <w:t>年相比，收、支总计各</w:t>
      </w:r>
      <w:r>
        <w:rPr>
          <w:rFonts w:hint="eastAsia" w:ascii="宋体" w:hAnsi="宋体" w:cs="宋体"/>
          <w:b w:val="0"/>
          <w:bCs w:val="0"/>
          <w:sz w:val="32"/>
          <w:szCs w:val="32"/>
          <w:lang w:eastAsia="zh-CN"/>
        </w:rPr>
        <w:t>减少了</w:t>
      </w:r>
      <w:r>
        <w:rPr>
          <w:rFonts w:hint="eastAsia" w:ascii="宋体" w:hAnsi="宋体" w:cs="宋体"/>
          <w:b w:val="0"/>
          <w:bCs w:val="0"/>
          <w:sz w:val="32"/>
          <w:szCs w:val="32"/>
          <w:lang w:val="en-US" w:eastAsia="zh-CN"/>
        </w:rPr>
        <w:t>279.75</w:t>
      </w:r>
      <w:r>
        <w:rPr>
          <w:rFonts w:hint="eastAsia" w:ascii="宋体" w:hAnsi="宋体" w:eastAsia="宋体" w:cs="宋体"/>
          <w:b w:val="0"/>
          <w:bCs w:val="0"/>
          <w:sz w:val="32"/>
          <w:szCs w:val="32"/>
          <w:lang w:eastAsia="zh-CN"/>
        </w:rPr>
        <w:t>万元，</w:t>
      </w:r>
      <w:r>
        <w:rPr>
          <w:rFonts w:hint="eastAsia" w:ascii="宋体" w:hAnsi="宋体" w:cs="宋体"/>
          <w:b w:val="0"/>
          <w:bCs w:val="0"/>
          <w:sz w:val="32"/>
          <w:szCs w:val="32"/>
          <w:lang w:eastAsia="zh-CN"/>
        </w:rPr>
        <w:t>减</w:t>
      </w:r>
      <w:r>
        <w:rPr>
          <w:rFonts w:hint="eastAsia" w:ascii="宋体" w:hAnsi="宋体" w:eastAsia="宋体" w:cs="宋体"/>
          <w:b w:val="0"/>
          <w:bCs w:val="0"/>
          <w:sz w:val="32"/>
          <w:szCs w:val="32"/>
          <w:lang w:eastAsia="zh-CN"/>
        </w:rPr>
        <w:t>幅</w:t>
      </w:r>
      <w:r>
        <w:rPr>
          <w:rFonts w:hint="eastAsia" w:ascii="宋体" w:hAnsi="宋体" w:cs="宋体"/>
          <w:b w:val="0"/>
          <w:bCs w:val="0"/>
          <w:color w:val="auto"/>
          <w:sz w:val="32"/>
          <w:szCs w:val="32"/>
          <w:lang w:val="en-US" w:eastAsia="zh-CN"/>
        </w:rPr>
        <w:t>16.91</w:t>
      </w:r>
      <w:r>
        <w:rPr>
          <w:rFonts w:hint="eastAsia" w:ascii="宋体" w:hAnsi="宋体" w:eastAsia="宋体" w:cs="宋体"/>
          <w:b w:val="0"/>
          <w:bCs w:val="0"/>
          <w:sz w:val="32"/>
          <w:szCs w:val="32"/>
          <w:lang w:eastAsia="zh-CN"/>
        </w:rPr>
        <w:t>%。主要原因是</w:t>
      </w:r>
      <w:r>
        <w:rPr>
          <w:rFonts w:hint="eastAsia" w:ascii="宋体" w:hAnsi="宋体" w:cs="宋体"/>
          <w:b w:val="0"/>
          <w:bCs w:val="0"/>
          <w:sz w:val="32"/>
          <w:szCs w:val="32"/>
          <w:lang w:eastAsia="zh-CN"/>
        </w:rPr>
        <w:t>没有增加相关项目经费。</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rPr>
        <w:t>（一）基本支出情况。</w:t>
      </w:r>
    </w:p>
    <w:p>
      <w:pPr>
        <w:ind w:firstLine="900" w:firstLineChars="300"/>
        <w:rPr>
          <w:rFonts w:hint="eastAsia" w:ascii="宋体" w:hAnsi="宋体" w:eastAsia="宋体" w:cs="宋体"/>
          <w:sz w:val="32"/>
          <w:szCs w:val="32"/>
        </w:rPr>
      </w:pPr>
      <w:r>
        <w:rPr>
          <w:rFonts w:hint="eastAsia" w:ascii="宋体" w:hAnsi="宋体"/>
          <w:sz w:val="30"/>
          <w:szCs w:val="30"/>
        </w:rPr>
        <w:t>20</w:t>
      </w:r>
      <w:r>
        <w:rPr>
          <w:rFonts w:hint="eastAsia" w:ascii="宋体" w:hAnsi="宋体"/>
          <w:sz w:val="30"/>
          <w:szCs w:val="30"/>
          <w:lang w:val="en-US" w:eastAsia="zh-CN"/>
        </w:rPr>
        <w:t>21</w:t>
      </w:r>
      <w:r>
        <w:rPr>
          <w:rFonts w:hint="eastAsia" w:ascii="宋体" w:hAnsi="宋体"/>
          <w:sz w:val="30"/>
          <w:szCs w:val="30"/>
        </w:rPr>
        <w:t>年</w:t>
      </w:r>
      <w:r>
        <w:rPr>
          <w:rFonts w:hint="eastAsia" w:ascii="宋体" w:hAnsi="宋体"/>
          <w:sz w:val="30"/>
          <w:szCs w:val="30"/>
          <w:lang w:eastAsia="zh-CN"/>
        </w:rPr>
        <w:t>基本支出</w:t>
      </w:r>
      <w:r>
        <w:rPr>
          <w:rFonts w:hint="eastAsia" w:ascii="宋体" w:hAnsi="宋体"/>
          <w:sz w:val="30"/>
          <w:szCs w:val="30"/>
          <w:lang w:val="en-US" w:eastAsia="zh-CN"/>
        </w:rPr>
        <w:t>1374.16</w:t>
      </w:r>
      <w:r>
        <w:rPr>
          <w:rFonts w:hint="eastAsia" w:ascii="宋体" w:hAnsi="宋体"/>
          <w:sz w:val="30"/>
          <w:szCs w:val="30"/>
        </w:rPr>
        <w:t>万元（含以前年度结转和结余资金0万元）。与20</w:t>
      </w:r>
      <w:r>
        <w:rPr>
          <w:rFonts w:hint="eastAsia" w:ascii="宋体" w:hAnsi="宋体"/>
          <w:sz w:val="30"/>
          <w:szCs w:val="30"/>
          <w:lang w:val="en-US" w:eastAsia="zh-CN"/>
        </w:rPr>
        <w:t>20</w:t>
      </w:r>
      <w:r>
        <w:rPr>
          <w:rFonts w:hint="eastAsia" w:ascii="宋体" w:hAnsi="宋体"/>
          <w:sz w:val="30"/>
          <w:szCs w:val="30"/>
        </w:rPr>
        <w:t>年相比，</w:t>
      </w:r>
      <w:r>
        <w:rPr>
          <w:rFonts w:hint="eastAsia" w:ascii="宋体" w:hAnsi="宋体" w:eastAsia="宋体" w:cs="??_GB2312"/>
          <w:sz w:val="32"/>
          <w:szCs w:val="32"/>
          <w:lang w:val="en-US" w:eastAsia="zh-CN"/>
        </w:rPr>
        <w:t>比上年</w:t>
      </w:r>
      <w:r>
        <w:rPr>
          <w:rFonts w:hint="eastAsia" w:ascii="宋体" w:hAnsi="宋体" w:cs="??_GB2312"/>
          <w:sz w:val="32"/>
          <w:szCs w:val="32"/>
          <w:lang w:val="en-US" w:eastAsia="zh-CN"/>
        </w:rPr>
        <w:t>减少97.75</w:t>
      </w:r>
      <w:r>
        <w:rPr>
          <w:rFonts w:hint="eastAsia" w:ascii="宋体" w:hAnsi="宋体" w:eastAsia="宋体" w:cs="??_GB2312"/>
          <w:sz w:val="32"/>
          <w:szCs w:val="32"/>
          <w:lang w:val="en-US" w:eastAsia="zh-CN"/>
        </w:rPr>
        <w:t>万元，</w:t>
      </w:r>
      <w:r>
        <w:rPr>
          <w:rFonts w:hint="eastAsia" w:ascii="宋体" w:hAnsi="宋体" w:cs="??_GB2312"/>
          <w:sz w:val="32"/>
          <w:szCs w:val="32"/>
          <w:lang w:val="en-US" w:eastAsia="zh-CN"/>
        </w:rPr>
        <w:t>减少6.64</w:t>
      </w:r>
      <w:r>
        <w:rPr>
          <w:rFonts w:hint="eastAsia" w:ascii="宋体" w:hAnsi="宋体" w:eastAsia="宋体" w:cs="??_GB2312"/>
          <w:sz w:val="32"/>
          <w:szCs w:val="32"/>
          <w:lang w:val="en-US" w:eastAsia="zh-CN"/>
        </w:rPr>
        <w:t>%，</w:t>
      </w:r>
      <w:r>
        <w:rPr>
          <w:rFonts w:hint="eastAsia" w:ascii="宋体" w:hAnsi="宋体" w:eastAsia="宋体" w:cs="??_GB2312"/>
          <w:sz w:val="32"/>
          <w:szCs w:val="32"/>
          <w:lang w:val="zh-CN" w:eastAsia="zh-CN"/>
        </w:rPr>
        <w:t>变化的主要原因：</w:t>
      </w:r>
      <w:r>
        <w:rPr>
          <w:rFonts w:hint="eastAsia" w:ascii="宋体" w:hAnsi="宋体" w:cs="宋体"/>
          <w:b w:val="0"/>
          <w:bCs w:val="0"/>
          <w:sz w:val="32"/>
          <w:szCs w:val="32"/>
          <w:lang w:eastAsia="zh-CN"/>
        </w:rPr>
        <w:t>没有增加相关经费</w:t>
      </w:r>
      <w:r>
        <w:rPr>
          <w:rFonts w:hint="eastAsia" w:ascii="宋体" w:hAnsi="宋体" w:eastAsia="宋体" w:cs="??_GB2312"/>
          <w:sz w:val="32"/>
          <w:szCs w:val="32"/>
          <w:lang w:val="en-US" w:eastAsia="zh-CN"/>
        </w:rPr>
        <w:t>。</w:t>
      </w:r>
    </w:p>
    <w:p>
      <w:pPr>
        <w:numPr>
          <w:ilvl w:val="0"/>
          <w:numId w:val="1"/>
        </w:numPr>
        <w:ind w:firstLine="600" w:firstLineChars="200"/>
        <w:rPr>
          <w:rFonts w:ascii="宋体" w:hAnsi="宋体"/>
          <w:sz w:val="30"/>
          <w:szCs w:val="30"/>
        </w:rPr>
      </w:pPr>
      <w:r>
        <w:rPr>
          <w:rFonts w:ascii="宋体" w:hAnsi="宋体"/>
          <w:sz w:val="30"/>
          <w:szCs w:val="30"/>
        </w:rPr>
        <w:t>项目支出情况</w:t>
      </w:r>
    </w:p>
    <w:p>
      <w:pPr>
        <w:numPr>
          <w:ilvl w:val="0"/>
          <w:numId w:val="0"/>
        </w:numPr>
        <w:rPr>
          <w:rFonts w:hint="eastAsia" w:ascii="宋体" w:hAnsi="宋体" w:eastAsia="宋体"/>
          <w:sz w:val="30"/>
          <w:szCs w:val="30"/>
          <w:lang w:val="en-US" w:eastAsia="zh-CN"/>
        </w:rPr>
      </w:pPr>
      <w:r>
        <w:rPr>
          <w:rFonts w:hint="eastAsia" w:ascii="宋体" w:hAnsi="宋体"/>
          <w:sz w:val="30"/>
          <w:szCs w:val="30"/>
          <w:lang w:val="en-US" w:eastAsia="zh-CN"/>
        </w:rPr>
        <w:t xml:space="preserve">     2021年项目支出0万元（含以前年度结转和结余资金0万元）。与2020年相比，</w:t>
      </w:r>
      <w:r>
        <w:rPr>
          <w:rFonts w:hint="eastAsia" w:ascii="宋体" w:hAnsi="宋体" w:eastAsia="宋体" w:cs="??_GB2312"/>
          <w:sz w:val="32"/>
          <w:szCs w:val="32"/>
          <w:lang w:val="en-US" w:eastAsia="zh-CN"/>
        </w:rPr>
        <w:t>比上年</w:t>
      </w:r>
      <w:r>
        <w:rPr>
          <w:rFonts w:hint="eastAsia" w:ascii="宋体" w:hAnsi="宋体" w:cs="??_GB2312"/>
          <w:sz w:val="32"/>
          <w:szCs w:val="32"/>
          <w:lang w:val="en-US" w:eastAsia="zh-CN"/>
        </w:rPr>
        <w:t>减少182</w:t>
      </w:r>
      <w:bookmarkStart w:id="0" w:name="_GoBack"/>
      <w:bookmarkEnd w:id="0"/>
      <w:r>
        <w:rPr>
          <w:rFonts w:hint="eastAsia" w:ascii="宋体" w:hAnsi="宋体" w:eastAsia="宋体" w:cs="??_GB2312"/>
          <w:sz w:val="32"/>
          <w:szCs w:val="32"/>
          <w:lang w:val="en-US" w:eastAsia="zh-CN"/>
        </w:rPr>
        <w:t>万元，</w:t>
      </w:r>
      <w:r>
        <w:rPr>
          <w:rFonts w:hint="eastAsia" w:ascii="宋体" w:hAnsi="宋体" w:eastAsia="宋体" w:cs="??_GB2312"/>
          <w:sz w:val="32"/>
          <w:szCs w:val="32"/>
          <w:lang w:val="zh-CN" w:eastAsia="zh-CN"/>
        </w:rPr>
        <w:t>变化的主要原因：</w:t>
      </w:r>
      <w:r>
        <w:rPr>
          <w:rFonts w:hint="eastAsia" w:ascii="宋体" w:hAnsi="宋体" w:cs="??_GB2312"/>
          <w:sz w:val="32"/>
          <w:szCs w:val="32"/>
          <w:lang w:val="zh-CN" w:eastAsia="zh-CN"/>
        </w:rPr>
        <w:t>没有</w:t>
      </w:r>
      <w:r>
        <w:rPr>
          <w:rFonts w:hint="eastAsia" w:ascii="宋体" w:hAnsi="宋体" w:cs="??_GB2312"/>
          <w:sz w:val="32"/>
          <w:szCs w:val="32"/>
          <w:lang w:val="en-US" w:eastAsia="zh-CN"/>
        </w:rPr>
        <w:t>新增项目资金及</w:t>
      </w:r>
      <w:r>
        <w:rPr>
          <w:rFonts w:hint="eastAsia" w:ascii="宋体" w:hAnsi="宋体" w:cs="宋体"/>
          <w:sz w:val="32"/>
          <w:szCs w:val="32"/>
          <w:lang w:eastAsia="zh-CN"/>
        </w:rPr>
        <w:t>补偿款等。</w:t>
      </w:r>
    </w:p>
    <w:p>
      <w:pPr>
        <w:ind w:firstLine="640" w:firstLineChars="200"/>
        <w:rPr>
          <w:rFonts w:hint="eastAsia" w:ascii="宋体" w:hAnsi="宋体" w:eastAsia="宋体" w:cs="宋体"/>
          <w:sz w:val="32"/>
          <w:szCs w:val="32"/>
        </w:rPr>
      </w:pPr>
      <w:r>
        <w:rPr>
          <w:rFonts w:hint="eastAsia" w:ascii="宋体" w:hAnsi="宋体" w:cs="宋体"/>
          <w:sz w:val="32"/>
          <w:szCs w:val="32"/>
          <w:lang w:eastAsia="zh-CN"/>
        </w:rPr>
        <w:t>（三）</w:t>
      </w:r>
      <w:r>
        <w:rPr>
          <w:rFonts w:hint="eastAsia" w:ascii="宋体" w:hAnsi="宋体" w:eastAsia="宋体" w:cs="宋体"/>
          <w:sz w:val="32"/>
          <w:szCs w:val="32"/>
        </w:rPr>
        <w:t>“三公”经费情况</w:t>
      </w:r>
    </w:p>
    <w:p>
      <w:pPr>
        <w:spacing w:line="520" w:lineRule="exact"/>
        <w:ind w:firstLine="960" w:firstLineChars="300"/>
        <w:rPr>
          <w:rFonts w:hint="eastAsia" w:ascii="宋体" w:hAnsi="宋体" w:eastAsia="宋体" w:cs="宋体"/>
          <w:sz w:val="32"/>
          <w:szCs w:val="32"/>
        </w:rPr>
      </w:pPr>
      <w:r>
        <w:rPr>
          <w:rFonts w:hint="eastAsia" w:ascii="宋体" w:hAnsi="宋体" w:eastAsia="宋体" w:cs="宋体"/>
          <w:sz w:val="32"/>
          <w:szCs w:val="32"/>
        </w:rPr>
        <w:t>本单位 “三公”经费支出情况，“三公”经费预算安排：因公出国出境费0万元，公务接待预算费</w:t>
      </w:r>
      <w:r>
        <w:rPr>
          <w:rFonts w:hint="eastAsia" w:ascii="宋体" w:hAnsi="宋体" w:eastAsia="宋体" w:cs="宋体"/>
          <w:sz w:val="32"/>
          <w:szCs w:val="32"/>
          <w:lang w:val="en-US" w:eastAsia="zh-CN"/>
        </w:rPr>
        <w:t>6</w:t>
      </w:r>
      <w:r>
        <w:rPr>
          <w:rFonts w:hint="eastAsia" w:ascii="宋体" w:hAnsi="宋体" w:eastAsia="宋体" w:cs="宋体"/>
          <w:sz w:val="32"/>
          <w:szCs w:val="32"/>
        </w:rPr>
        <w:t>万元，实际接待费</w:t>
      </w:r>
      <w:r>
        <w:rPr>
          <w:rFonts w:hint="eastAsia" w:ascii="宋体" w:hAnsi="宋体" w:cs="宋体"/>
          <w:sz w:val="32"/>
          <w:szCs w:val="32"/>
          <w:lang w:val="en-US" w:eastAsia="zh-CN"/>
        </w:rPr>
        <w:t>0</w:t>
      </w:r>
      <w:r>
        <w:rPr>
          <w:rFonts w:hint="eastAsia" w:ascii="宋体" w:hAnsi="宋体" w:eastAsia="宋体" w:cs="宋体"/>
          <w:sz w:val="32"/>
          <w:szCs w:val="32"/>
        </w:rPr>
        <w:t>万元，公务用车购置及运行费</w:t>
      </w:r>
      <w:r>
        <w:rPr>
          <w:rFonts w:hint="eastAsia" w:ascii="宋体" w:hAnsi="宋体" w:cs="宋体"/>
          <w:sz w:val="32"/>
          <w:szCs w:val="32"/>
          <w:lang w:val="en-US" w:eastAsia="zh-CN"/>
        </w:rPr>
        <w:t>220</w:t>
      </w:r>
      <w:r>
        <w:rPr>
          <w:rFonts w:hint="eastAsia" w:ascii="宋体" w:hAnsi="宋体" w:eastAsia="宋体" w:cs="宋体"/>
          <w:sz w:val="32"/>
          <w:szCs w:val="32"/>
        </w:rPr>
        <w:t>万元（其中公务用车购置0万元、公务用车运行维护费</w:t>
      </w:r>
      <w:r>
        <w:rPr>
          <w:rFonts w:hint="eastAsia" w:ascii="宋体" w:hAnsi="宋体" w:cs="宋体"/>
          <w:sz w:val="32"/>
          <w:szCs w:val="32"/>
          <w:lang w:val="en-US" w:eastAsia="zh-CN"/>
        </w:rPr>
        <w:t>220</w:t>
      </w:r>
      <w:r>
        <w:rPr>
          <w:rFonts w:hint="eastAsia" w:ascii="宋体" w:hAnsi="宋体" w:eastAsia="宋体" w:cs="宋体"/>
          <w:sz w:val="32"/>
          <w:szCs w:val="32"/>
        </w:rPr>
        <w:t>万元）</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 xml:space="preserve"> </w:t>
      </w:r>
      <w:r>
        <w:rPr>
          <w:rFonts w:hint="eastAsia" w:ascii="宋体" w:hAnsi="宋体" w:eastAsia="宋体" w:cs="宋体"/>
          <w:b/>
          <w:bCs/>
          <w:sz w:val="32"/>
          <w:szCs w:val="32"/>
          <w:shd w:val="clear" w:color="auto" w:fill="FFFFFF"/>
        </w:rPr>
        <w:t>三、部门整体支出管理情况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84" w:firstLineChars="0"/>
        <w:jc w:val="left"/>
        <w:textAlignment w:val="auto"/>
        <w:outlineLvl w:val="9"/>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（一）本单位严格按照财政局的要求进行财务管理、决算组织、编报、审核。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84" w:firstLineChars="0"/>
        <w:jc w:val="left"/>
        <w:textAlignment w:val="auto"/>
        <w:outlineLvl w:val="9"/>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（二）本单位严格执行财政局决算公开、按照主管部门的规定、批复进行决算工作开展。</w:t>
      </w:r>
    </w:p>
    <w:p>
      <w:pPr>
        <w:ind w:firstLine="602" w:firstLineChars="200"/>
        <w:rPr>
          <w:rFonts w:hint="eastAsia" w:ascii="宋体" w:hAnsi="宋体"/>
          <w:b/>
          <w:color w:val="auto"/>
          <w:sz w:val="30"/>
          <w:szCs w:val="30"/>
          <w:highlight w:val="none"/>
        </w:rPr>
      </w:pPr>
      <w:r>
        <w:rPr>
          <w:rFonts w:hint="eastAsia" w:ascii="宋体" w:hAnsi="宋体"/>
          <w:b/>
          <w:color w:val="auto"/>
          <w:sz w:val="30"/>
          <w:szCs w:val="30"/>
          <w:highlight w:val="none"/>
        </w:rPr>
        <w:t>四、绩效自评得分情况及绩效等级</w:t>
      </w:r>
    </w:p>
    <w:p>
      <w:pPr>
        <w:ind w:firstLine="600" w:firstLineChars="200"/>
        <w:rPr>
          <w:rFonts w:hint="eastAsia" w:ascii="宋体" w:hAnsi="宋体"/>
          <w:b w:val="0"/>
          <w:bCs/>
          <w:color w:val="auto"/>
          <w:sz w:val="30"/>
          <w:szCs w:val="30"/>
          <w:highlight w:val="none"/>
          <w:lang w:val="en-US" w:eastAsia="zh-CN"/>
        </w:rPr>
      </w:pPr>
      <w:r>
        <w:rPr>
          <w:rFonts w:hint="eastAsia" w:ascii="宋体" w:hAnsi="宋体"/>
          <w:b w:val="0"/>
          <w:bCs/>
          <w:color w:val="auto"/>
          <w:sz w:val="30"/>
          <w:szCs w:val="30"/>
          <w:highlight w:val="none"/>
          <w:lang w:val="en-US" w:eastAsia="zh-CN"/>
        </w:rPr>
        <w:t>2021年度部门整体支出绩效评价得分为98分，绩效等级为优。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firstLine="643" w:firstLineChars="200"/>
        <w:jc w:val="left"/>
        <w:textAlignment w:val="auto"/>
        <w:outlineLvl w:val="9"/>
        <w:rPr>
          <w:rFonts w:hint="eastAsia" w:ascii="宋体" w:hAnsi="宋体" w:eastAsia="宋体" w:cs="宋体"/>
          <w:b/>
          <w:sz w:val="32"/>
          <w:szCs w:val="32"/>
        </w:rPr>
      </w:pPr>
      <w:r>
        <w:rPr>
          <w:rFonts w:hint="eastAsia" w:ascii="宋体" w:hAnsi="宋体" w:cs="宋体"/>
          <w:b/>
          <w:sz w:val="32"/>
          <w:szCs w:val="32"/>
          <w:lang w:eastAsia="zh-CN"/>
        </w:rPr>
        <w:t>五</w:t>
      </w:r>
      <w:r>
        <w:rPr>
          <w:rFonts w:hint="eastAsia" w:ascii="宋体" w:hAnsi="宋体" w:eastAsia="宋体" w:cs="宋体"/>
          <w:b/>
          <w:sz w:val="32"/>
          <w:szCs w:val="32"/>
        </w:rPr>
        <w:t>、存在的问题</w:t>
      </w:r>
      <w:r>
        <w:rPr>
          <w:rFonts w:hint="eastAsia" w:ascii="宋体" w:hAnsi="宋体" w:eastAsia="宋体" w:cs="宋体"/>
          <w:b/>
          <w:sz w:val="32"/>
          <w:szCs w:val="32"/>
          <w:lang w:eastAsia="zh-CN"/>
        </w:rPr>
        <w:t>；</w:t>
      </w:r>
      <w:r>
        <w:rPr>
          <w:rFonts w:hint="eastAsia" w:ascii="宋体" w:hAnsi="宋体" w:cs="宋体"/>
          <w:b w:val="0"/>
          <w:bCs/>
          <w:sz w:val="32"/>
          <w:szCs w:val="32"/>
          <w:lang w:eastAsia="zh-CN"/>
        </w:rPr>
        <w:t>行政中心临时性增加</w:t>
      </w:r>
      <w:r>
        <w:rPr>
          <w:rFonts w:hint="eastAsia" w:ascii="宋体" w:hAnsi="宋体" w:cs="宋体"/>
          <w:b w:val="0"/>
          <w:i w:val="0"/>
          <w:caps w:val="0"/>
          <w:color w:val="000000"/>
          <w:spacing w:val="0"/>
          <w:sz w:val="32"/>
          <w:szCs w:val="32"/>
          <w:shd w:val="clear" w:color="auto" w:fill="FFFFFF"/>
          <w:lang w:eastAsia="zh-CN"/>
        </w:rPr>
        <w:t>项目多</w:t>
      </w:r>
      <w:r>
        <w:rPr>
          <w:rFonts w:hint="eastAsia" w:ascii="宋体" w:hAnsi="宋体" w:eastAsia="宋体" w:cs="宋体"/>
          <w:b w:val="0"/>
          <w:i w:val="0"/>
          <w:caps w:val="0"/>
          <w:color w:val="000000"/>
          <w:spacing w:val="0"/>
          <w:sz w:val="32"/>
          <w:szCs w:val="32"/>
          <w:shd w:val="clear" w:color="auto" w:fill="FFFFFF"/>
        </w:rPr>
        <w:t>，导致年内预算</w:t>
      </w:r>
      <w:r>
        <w:rPr>
          <w:rFonts w:hint="eastAsia" w:ascii="宋体" w:hAnsi="宋体" w:cs="宋体"/>
          <w:b w:val="0"/>
          <w:i w:val="0"/>
          <w:caps w:val="0"/>
          <w:color w:val="000000"/>
          <w:spacing w:val="0"/>
          <w:sz w:val="32"/>
          <w:szCs w:val="32"/>
          <w:shd w:val="clear" w:color="auto" w:fill="FFFFFF"/>
          <w:lang w:eastAsia="zh-CN"/>
        </w:rPr>
        <w:t>不好控制</w:t>
      </w:r>
      <w:r>
        <w:rPr>
          <w:rFonts w:hint="eastAsia" w:ascii="宋体" w:hAnsi="宋体" w:eastAsia="宋体" w:cs="宋体"/>
          <w:b w:val="0"/>
          <w:i w:val="0"/>
          <w:caps w:val="0"/>
          <w:color w:val="000000"/>
          <w:spacing w:val="0"/>
          <w:sz w:val="32"/>
          <w:szCs w:val="32"/>
          <w:shd w:val="clear" w:color="auto" w:fill="FFFFFF"/>
        </w:rPr>
        <w:t>，预算控制率不理想，影响单位评分及评价等次。</w:t>
      </w:r>
    </w:p>
    <w:p>
      <w:pPr>
        <w:ind w:firstLine="643" w:firstLineChars="200"/>
        <w:rPr>
          <w:rFonts w:hint="eastAsia" w:ascii="宋体" w:hAnsi="宋体" w:eastAsia="宋体" w:cs="宋体"/>
          <w:b/>
          <w:sz w:val="32"/>
          <w:szCs w:val="32"/>
        </w:rPr>
      </w:pPr>
      <w:r>
        <w:rPr>
          <w:rFonts w:hint="eastAsia" w:ascii="宋体" w:hAnsi="宋体" w:cs="宋体"/>
          <w:b/>
          <w:sz w:val="32"/>
          <w:szCs w:val="32"/>
          <w:lang w:eastAsia="zh-CN"/>
        </w:rPr>
        <w:t>六</w:t>
      </w:r>
      <w:r>
        <w:rPr>
          <w:rFonts w:hint="eastAsia" w:ascii="宋体" w:hAnsi="宋体" w:eastAsia="宋体" w:cs="宋体"/>
          <w:b/>
          <w:sz w:val="32"/>
          <w:szCs w:val="32"/>
        </w:rPr>
        <w:t>、改进措施和有关建议</w:t>
      </w:r>
    </w:p>
    <w:p>
      <w:pPr>
        <w:numPr>
          <w:ilvl w:val="0"/>
          <w:numId w:val="0"/>
        </w:numPr>
        <w:ind w:firstLine="640" w:firstLineChars="200"/>
        <w:rPr>
          <w:rFonts w:ascii="宋体" w:hAnsi="宋体"/>
          <w:b w:val="0"/>
          <w:bCs/>
          <w:color w:val="FF0000"/>
          <w:sz w:val="30"/>
          <w:szCs w:val="30"/>
        </w:rPr>
      </w:pPr>
      <w:r>
        <w:rPr>
          <w:rFonts w:hint="eastAsia" w:ascii="宋体" w:hAnsi="宋体" w:eastAsia="宋体" w:cs="宋体"/>
          <w:b w:val="0"/>
          <w:i w:val="0"/>
          <w:caps w:val="0"/>
          <w:color w:val="000000"/>
          <w:spacing w:val="0"/>
          <w:kern w:val="0"/>
          <w:sz w:val="32"/>
          <w:szCs w:val="32"/>
          <w:shd w:val="clear" w:color="auto" w:fill="FFFFFF"/>
          <w:lang w:val="en-US" w:eastAsia="zh-CN" w:bidi="ar"/>
        </w:rPr>
        <w:t>（一</w:t>
      </w:r>
      <w:r>
        <w:rPr>
          <w:rFonts w:hint="eastAsia" w:ascii="宋体" w:hAnsi="宋体" w:cs="宋体"/>
          <w:b w:val="0"/>
          <w:i w:val="0"/>
          <w:caps w:val="0"/>
          <w:color w:val="000000"/>
          <w:spacing w:val="0"/>
          <w:kern w:val="0"/>
          <w:sz w:val="32"/>
          <w:szCs w:val="32"/>
          <w:shd w:val="clear" w:color="auto" w:fill="FFFFFF"/>
          <w:lang w:val="en-US" w:eastAsia="zh-CN" w:bidi="ar"/>
        </w:rPr>
        <w:t>)</w:t>
      </w:r>
      <w:r>
        <w:rPr>
          <w:rFonts w:hint="eastAsia" w:ascii="宋体" w:hAnsi="宋体"/>
          <w:bCs/>
          <w:sz w:val="32"/>
          <w:szCs w:val="32"/>
        </w:rPr>
        <w:t>严格按照预算编制的相关制度</w:t>
      </w:r>
      <w:r>
        <w:rPr>
          <w:rFonts w:hint="eastAsia" w:ascii="宋体" w:hAnsi="宋体"/>
          <w:bCs/>
          <w:sz w:val="32"/>
          <w:szCs w:val="32"/>
          <w:lang w:eastAsia="zh-CN"/>
        </w:rPr>
        <w:t>，</w:t>
      </w:r>
      <w:r>
        <w:rPr>
          <w:rFonts w:hint="eastAsia" w:ascii="宋体" w:hAnsi="宋体"/>
          <w:b w:val="0"/>
          <w:bCs/>
          <w:color w:val="auto"/>
          <w:sz w:val="30"/>
          <w:szCs w:val="30"/>
        </w:rPr>
        <w:t>进一步加强支出的审核、跟踪及预算执行情况分析。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right="0" w:firstLine="640" w:firstLineChars="200"/>
        <w:jc w:val="both"/>
        <w:rPr>
          <w:rFonts w:hint="eastAsia" w:ascii="宋体" w:hAnsi="宋体" w:eastAsia="宋体" w:cs="宋体"/>
          <w:b w:val="0"/>
          <w:i w:val="0"/>
          <w:caps w:val="0"/>
          <w:color w:val="222222"/>
          <w:spacing w:val="0"/>
          <w:sz w:val="32"/>
          <w:szCs w:val="32"/>
        </w:rPr>
      </w:pPr>
      <w:r>
        <w:rPr>
          <w:rFonts w:hint="eastAsia" w:ascii="宋体" w:hAnsi="宋体"/>
          <w:bCs/>
          <w:sz w:val="32"/>
          <w:szCs w:val="32"/>
          <w:lang w:val="en-US" w:eastAsia="zh-CN"/>
        </w:rPr>
        <w:t>(二)</w:t>
      </w:r>
      <w:r>
        <w:rPr>
          <w:rFonts w:hint="eastAsia" w:ascii="宋体" w:hAnsi="宋体" w:cs="宋体"/>
          <w:b w:val="0"/>
          <w:i w:val="0"/>
          <w:caps w:val="0"/>
          <w:color w:val="000000"/>
          <w:spacing w:val="0"/>
          <w:kern w:val="0"/>
          <w:sz w:val="32"/>
          <w:szCs w:val="32"/>
          <w:shd w:val="clear" w:color="auto" w:fill="FFFFFF"/>
          <w:lang w:val="en-US" w:eastAsia="zh-CN" w:bidi="ar"/>
        </w:rPr>
        <w:t>继续</w:t>
      </w:r>
      <w:r>
        <w:rPr>
          <w:rFonts w:hint="eastAsia" w:ascii="宋体" w:hAnsi="宋体" w:eastAsia="宋体" w:cs="宋体"/>
          <w:b w:val="0"/>
          <w:i w:val="0"/>
          <w:caps w:val="0"/>
          <w:color w:val="000000"/>
          <w:spacing w:val="0"/>
          <w:kern w:val="0"/>
          <w:sz w:val="32"/>
          <w:szCs w:val="32"/>
          <w:shd w:val="clear" w:color="auto" w:fill="FFFFFF"/>
          <w:lang w:val="en-US" w:eastAsia="zh-CN" w:bidi="ar"/>
        </w:rPr>
        <w:t>加强政策学习，提高思想认识。组织单位人员认真学习《预算法》等相关法规、制度，提高单位领导对全面预算管理的重视程度，坚持先有预算、后有支出，没有预算不得支出的支出理念。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right="0" w:firstLine="640" w:firstLineChars="200"/>
        <w:jc w:val="both"/>
        <w:rPr>
          <w:rFonts w:hint="eastAsia" w:ascii="宋体" w:hAnsi="宋体" w:eastAsia="宋体" w:cs="宋体"/>
          <w:sz w:val="32"/>
          <w:szCs w:val="32"/>
        </w:rPr>
      </w:pPr>
      <w:r>
        <w:rPr>
          <w:rFonts w:hint="eastAsia" w:ascii="宋体" w:hAnsi="宋体" w:eastAsia="宋体" w:cs="宋体"/>
          <w:b w:val="0"/>
          <w:i w:val="0"/>
          <w:caps w:val="0"/>
          <w:color w:val="000000"/>
          <w:spacing w:val="0"/>
          <w:kern w:val="0"/>
          <w:sz w:val="32"/>
          <w:szCs w:val="32"/>
          <w:shd w:val="clear" w:color="auto" w:fill="FFFFFF"/>
          <w:lang w:val="en-US" w:eastAsia="zh-CN" w:bidi="ar"/>
        </w:rPr>
        <w:t>（三）建议优化绩效评价指标计分标准，改善评价计分标准的不合理性，让评价结果更加公平公正。</w:t>
      </w:r>
    </w:p>
    <w:p>
      <w:pPr>
        <w:ind w:firstLine="640" w:firstLineChars="200"/>
        <w:rPr>
          <w:rFonts w:hint="eastAsia" w:ascii="宋体" w:hAnsi="宋体" w:eastAsia="宋体" w:cs="宋体"/>
          <w:sz w:val="32"/>
          <w:szCs w:val="32"/>
        </w:rPr>
      </w:pPr>
    </w:p>
    <w:p>
      <w:pPr>
        <w:spacing w:line="560" w:lineRule="exact"/>
        <w:rPr>
          <w:rFonts w:hint="eastAsia" w:ascii="仿宋_GB2312" w:eastAsia="仿宋_GB2312"/>
          <w:color w:val="000000"/>
          <w:sz w:val="32"/>
        </w:rPr>
      </w:pPr>
    </w:p>
    <w:p>
      <w:pPr>
        <w:widowControl/>
        <w:rPr>
          <w:rFonts w:hint="eastAsia" w:ascii="黑体" w:hAnsi="宋体" w:eastAsia="黑体" w:cs="宋体"/>
          <w:bCs/>
          <w:kern w:val="0"/>
          <w:sz w:val="32"/>
          <w:szCs w:val="32"/>
        </w:rPr>
      </w:pPr>
    </w:p>
    <w:p>
      <w:pPr>
        <w:spacing w:line="560" w:lineRule="exact"/>
        <w:ind w:firstLine="1320" w:firstLineChars="300"/>
        <w:jc w:val="both"/>
        <w:rPr>
          <w:rFonts w:hint="eastAsia" w:eastAsia="方正小标宋_GBK"/>
          <w:kern w:val="0"/>
          <w:sz w:val="44"/>
          <w:szCs w:val="44"/>
        </w:rPr>
      </w:pPr>
    </w:p>
    <w:p>
      <w:pPr>
        <w:spacing w:line="560" w:lineRule="exact"/>
        <w:ind w:firstLine="1320" w:firstLineChars="300"/>
        <w:jc w:val="both"/>
        <w:rPr>
          <w:rFonts w:hint="eastAsia" w:eastAsia="方正小标宋_GBK"/>
          <w:kern w:val="0"/>
          <w:sz w:val="44"/>
          <w:szCs w:val="44"/>
        </w:rPr>
      </w:pPr>
    </w:p>
    <w:p>
      <w:pPr>
        <w:spacing w:line="560" w:lineRule="exact"/>
        <w:ind w:firstLine="1320" w:firstLineChars="300"/>
        <w:jc w:val="both"/>
        <w:rPr>
          <w:rFonts w:hint="eastAsia" w:eastAsia="方正小标宋_GBK"/>
          <w:kern w:val="0"/>
          <w:sz w:val="44"/>
          <w:szCs w:val="44"/>
        </w:rPr>
      </w:pPr>
    </w:p>
    <w:p>
      <w:pPr>
        <w:spacing w:line="560" w:lineRule="exact"/>
        <w:ind w:firstLine="1320" w:firstLineChars="300"/>
        <w:jc w:val="both"/>
        <w:rPr>
          <w:rFonts w:hint="eastAsia" w:eastAsia="方正小标宋_GBK"/>
          <w:kern w:val="0"/>
          <w:sz w:val="44"/>
          <w:szCs w:val="44"/>
        </w:rPr>
      </w:pPr>
    </w:p>
    <w:p>
      <w:pPr>
        <w:spacing w:line="560" w:lineRule="exact"/>
        <w:ind w:firstLine="1320" w:firstLineChars="300"/>
        <w:jc w:val="both"/>
        <w:rPr>
          <w:rFonts w:hint="eastAsia" w:eastAsia="方正小标宋_GBK"/>
          <w:kern w:val="0"/>
          <w:sz w:val="44"/>
          <w:szCs w:val="44"/>
        </w:rPr>
      </w:pPr>
    </w:p>
    <w:p>
      <w:pPr>
        <w:spacing w:line="560" w:lineRule="exact"/>
        <w:ind w:firstLine="1320" w:firstLineChars="300"/>
        <w:jc w:val="both"/>
        <w:rPr>
          <w:rFonts w:hint="eastAsia" w:eastAsia="方正小标宋_GBK"/>
          <w:kern w:val="0"/>
          <w:sz w:val="44"/>
          <w:szCs w:val="44"/>
        </w:rPr>
      </w:pPr>
    </w:p>
    <w:p>
      <w:pPr>
        <w:spacing w:line="560" w:lineRule="exact"/>
        <w:ind w:firstLine="1320" w:firstLineChars="300"/>
        <w:jc w:val="both"/>
        <w:rPr>
          <w:rFonts w:hint="eastAsia" w:eastAsia="方正小标宋_GBK"/>
          <w:kern w:val="0"/>
          <w:sz w:val="44"/>
          <w:szCs w:val="44"/>
        </w:rPr>
      </w:pPr>
    </w:p>
    <w:p>
      <w:pPr>
        <w:spacing w:line="560" w:lineRule="exact"/>
        <w:ind w:firstLine="1320" w:firstLineChars="300"/>
        <w:jc w:val="both"/>
        <w:rPr>
          <w:rFonts w:hint="eastAsia" w:eastAsia="方正小标宋_GBK"/>
          <w:kern w:val="0"/>
          <w:sz w:val="44"/>
          <w:szCs w:val="44"/>
        </w:rPr>
      </w:pPr>
      <w:r>
        <w:rPr>
          <w:rFonts w:hint="eastAsia" w:eastAsia="方正小标宋_GBK"/>
          <w:kern w:val="0"/>
          <w:sz w:val="44"/>
          <w:szCs w:val="44"/>
        </w:rPr>
        <w:t>20</w:t>
      </w:r>
      <w:r>
        <w:rPr>
          <w:rFonts w:hint="eastAsia" w:eastAsia="方正小标宋_GBK"/>
          <w:kern w:val="0"/>
          <w:sz w:val="44"/>
          <w:szCs w:val="44"/>
          <w:lang w:val="en-US" w:eastAsia="zh-CN"/>
        </w:rPr>
        <w:t>21</w:t>
      </w:r>
      <w:r>
        <w:rPr>
          <w:rFonts w:hint="eastAsia" w:ascii="宋体" w:hAnsi="宋体" w:cs="宋体"/>
          <w:kern w:val="0"/>
          <w:sz w:val="44"/>
          <w:szCs w:val="44"/>
        </w:rPr>
        <w:t>年度</w:t>
      </w:r>
      <w:r>
        <w:rPr>
          <w:rFonts w:hint="eastAsia" w:eastAsia="方正小标宋_GBK"/>
          <w:kern w:val="0"/>
          <w:sz w:val="44"/>
          <w:szCs w:val="44"/>
        </w:rPr>
        <w:t>部门整体支出绩效评价表</w:t>
      </w:r>
    </w:p>
    <w:p>
      <w:pPr>
        <w:spacing w:line="560" w:lineRule="exact"/>
        <w:jc w:val="center"/>
        <w:rPr>
          <w:rFonts w:hint="eastAsia" w:eastAsia="方正小标宋_GBK"/>
          <w:kern w:val="0"/>
          <w:sz w:val="44"/>
          <w:szCs w:val="44"/>
        </w:rPr>
      </w:pPr>
    </w:p>
    <w:tbl>
      <w:tblPr>
        <w:tblStyle w:val="5"/>
        <w:tblW w:w="10600" w:type="dxa"/>
        <w:jc w:val="center"/>
        <w:tblLayout w:type="fixed"/>
        <w:tblCellMar>
          <w:top w:w="0" w:type="dxa"/>
          <w:left w:w="108" w:type="dxa"/>
          <w:bottom w:w="0" w:type="dxa"/>
          <w:right w:w="108" w:type="dxa"/>
        </w:tblCellMar>
      </w:tblPr>
      <w:tblGrid>
        <w:gridCol w:w="518"/>
        <w:gridCol w:w="416"/>
        <w:gridCol w:w="677"/>
        <w:gridCol w:w="416"/>
        <w:gridCol w:w="1194"/>
        <w:gridCol w:w="478"/>
        <w:gridCol w:w="2977"/>
        <w:gridCol w:w="3402"/>
        <w:gridCol w:w="522"/>
      </w:tblGrid>
      <w:tr>
        <w:tblPrEx>
          <w:tblCellMar>
            <w:top w:w="0" w:type="dxa"/>
            <w:left w:w="108" w:type="dxa"/>
            <w:bottom w:w="0" w:type="dxa"/>
            <w:right w:w="108" w:type="dxa"/>
          </w:tblCellMar>
        </w:tblPrEx>
        <w:trPr>
          <w:trHeight w:val="984" w:hRule="atLeast"/>
          <w:tblHeader/>
          <w:jc w:val="center"/>
        </w:trPr>
        <w:tc>
          <w:tcPr>
            <w:tcW w:w="518"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lang w:eastAsia="zh-CN"/>
              </w:rPr>
              <w:t>一</w:t>
            </w:r>
            <w:r>
              <w:rPr>
                <w:rFonts w:hint="eastAsia" w:eastAsia="仿宋_GB2312"/>
                <w:kern w:val="0"/>
                <w:sz w:val="20"/>
                <w:szCs w:val="20"/>
              </w:rPr>
              <w:t>级指标</w:t>
            </w:r>
          </w:p>
        </w:tc>
        <w:tc>
          <w:tcPr>
            <w:tcW w:w="416"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7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6"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194"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78"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7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0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814" w:hRule="atLeast"/>
          <w:jc w:val="center"/>
        </w:trPr>
        <w:tc>
          <w:tcPr>
            <w:tcW w:w="518"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77"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0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r>
              <w:rPr>
                <w:rFonts w:eastAsia="仿宋_GB2312"/>
                <w:kern w:val="0"/>
                <w:sz w:val="20"/>
                <w:szCs w:val="20"/>
              </w:rPr>
              <w:br w:type="textWrapping"/>
            </w:r>
            <w:r>
              <w:rPr>
                <w:rFonts w:hint="eastAsia" w:eastAsia="仿宋_GB2312"/>
                <w:kern w:val="0"/>
                <w:sz w:val="20"/>
                <w:szCs w:val="20"/>
              </w:rPr>
              <w:t>编制数：机构编制部门核定批复的部门（单位）的人员编制数。</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798" w:hRule="atLeast"/>
          <w:jc w:val="center"/>
        </w:trPr>
        <w:tc>
          <w:tcPr>
            <w:tcW w:w="518"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jc w:val="center"/>
        </w:trPr>
        <w:tc>
          <w:tcPr>
            <w:tcW w:w="518"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77"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2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32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220"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562"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公用经费支出是指部门基本支出中的一般商品和服务支出。</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8</w:t>
            </w:r>
            <w:r>
              <w:rPr>
                <w:rFonts w:hint="eastAsia"/>
                <w:kern w:val="0"/>
                <w:sz w:val="24"/>
              </w:rPr>
              <w:t>　</w:t>
            </w:r>
          </w:p>
        </w:tc>
      </w:tr>
      <w:tr>
        <w:tblPrEx>
          <w:tblCellMar>
            <w:top w:w="0" w:type="dxa"/>
            <w:left w:w="108" w:type="dxa"/>
            <w:bottom w:w="0" w:type="dxa"/>
            <w:right w:w="108" w:type="dxa"/>
          </w:tblCellMar>
        </w:tblPrEx>
        <w:trPr>
          <w:trHeight w:val="10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7</w:t>
            </w:r>
          </w:p>
        </w:tc>
      </w:tr>
      <w:tr>
        <w:tblPrEx>
          <w:tblCellMar>
            <w:top w:w="0" w:type="dxa"/>
            <w:left w:w="108" w:type="dxa"/>
            <w:bottom w:w="0" w:type="dxa"/>
            <w:right w:w="108" w:type="dxa"/>
          </w:tblCellMar>
        </w:tblPrEx>
        <w:trPr>
          <w:trHeight w:val="780" w:hRule="atLeast"/>
          <w:jc w:val="center"/>
        </w:trPr>
        <w:tc>
          <w:tcPr>
            <w:tcW w:w="518"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jc w:val="center"/>
        </w:trPr>
        <w:tc>
          <w:tcPr>
            <w:tcW w:w="518"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6"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77"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type="textWrapping"/>
            </w: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jc w:val="center"/>
        </w:trPr>
        <w:tc>
          <w:tcPr>
            <w:tcW w:w="518"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77"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6"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194"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r>
              <w:rPr>
                <w:rFonts w:eastAsia="仿宋_GB2312"/>
                <w:kern w:val="0"/>
                <w:sz w:val="20"/>
                <w:szCs w:val="20"/>
              </w:rPr>
              <w:br w:type="textWrapping"/>
            </w: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44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194"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78"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379"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2" w:type="dxa"/>
            <w:tcBorders>
              <w:top w:val="nil"/>
              <w:left w:val="nil"/>
              <w:bottom w:val="nil"/>
              <w:right w:val="single" w:color="auto" w:sz="4" w:space="0"/>
            </w:tcBorders>
            <w:vAlign w:val="center"/>
          </w:tcPr>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trHeight w:val="238"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78"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379"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2" w:type="dxa"/>
            <w:tcBorders>
              <w:top w:val="nil"/>
              <w:left w:val="nil"/>
              <w:bottom w:val="nil"/>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9</w:t>
            </w:r>
          </w:p>
        </w:tc>
      </w:tr>
      <w:tr>
        <w:tblPrEx>
          <w:tblCellMar>
            <w:top w:w="0" w:type="dxa"/>
            <w:left w:w="108" w:type="dxa"/>
            <w:bottom w:w="0" w:type="dxa"/>
            <w:right w:w="108" w:type="dxa"/>
          </w:tblCellMar>
        </w:tblPrEx>
        <w:trPr>
          <w:trHeight w:val="1421"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78"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02"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2" w:type="dxa"/>
            <w:tcBorders>
              <w:top w:val="single" w:color="auto" w:sz="4" w:space="0"/>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575" w:hRule="atLeast"/>
          <w:jc w:val="center"/>
        </w:trPr>
        <w:tc>
          <w:tcPr>
            <w:tcW w:w="10078"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仿宋_GB2312"/>
                <w:kern w:val="0"/>
                <w:sz w:val="20"/>
                <w:szCs w:val="20"/>
                <w:lang w:eastAsia="zh-CN"/>
              </w:rPr>
            </w:pPr>
            <w:r>
              <w:rPr>
                <w:rFonts w:hint="eastAsia" w:eastAsia="仿宋_GB2312"/>
                <w:kern w:val="0"/>
                <w:sz w:val="24"/>
                <w:szCs w:val="24"/>
                <w:lang w:eastAsia="zh-CN"/>
              </w:rPr>
              <w:t>合计得分</w:t>
            </w:r>
          </w:p>
        </w:tc>
        <w:tc>
          <w:tcPr>
            <w:tcW w:w="52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98</w:t>
            </w:r>
          </w:p>
        </w:tc>
      </w:tr>
    </w:tbl>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sectPr>
      <w:headerReference r:id="rId3" w:type="default"/>
      <w:footerReference r:id="rId4" w:type="default"/>
      <w:pgSz w:w="11850" w:h="16783"/>
      <w:pgMar w:top="1440" w:right="1080" w:bottom="1440" w:left="108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2A807"/>
    <w:multiLevelType w:val="singleLevel"/>
    <w:tmpl w:val="B1C2A80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mNmE2YzZmNDA3N2JiZmU0NjFhZDViODAxZWU0Y2UifQ=="/>
  </w:docVars>
  <w:rsids>
    <w:rsidRoot w:val="00000000"/>
    <w:rsid w:val="03110403"/>
    <w:rsid w:val="03367A69"/>
    <w:rsid w:val="04917AB3"/>
    <w:rsid w:val="06477605"/>
    <w:rsid w:val="09A504AB"/>
    <w:rsid w:val="09EF276F"/>
    <w:rsid w:val="0C0213CA"/>
    <w:rsid w:val="0CDC626F"/>
    <w:rsid w:val="0D701E19"/>
    <w:rsid w:val="10D821AF"/>
    <w:rsid w:val="11D530C3"/>
    <w:rsid w:val="11E47FFC"/>
    <w:rsid w:val="182D1561"/>
    <w:rsid w:val="18414ADE"/>
    <w:rsid w:val="1C48670F"/>
    <w:rsid w:val="1C5803F8"/>
    <w:rsid w:val="1E2F342B"/>
    <w:rsid w:val="23196B4C"/>
    <w:rsid w:val="23AB4B36"/>
    <w:rsid w:val="24642250"/>
    <w:rsid w:val="2D1A1DF7"/>
    <w:rsid w:val="30185CCC"/>
    <w:rsid w:val="309E05B5"/>
    <w:rsid w:val="33386686"/>
    <w:rsid w:val="344029DD"/>
    <w:rsid w:val="35F62E12"/>
    <w:rsid w:val="372B4592"/>
    <w:rsid w:val="38AF5684"/>
    <w:rsid w:val="3A573895"/>
    <w:rsid w:val="3DB73ABE"/>
    <w:rsid w:val="3DF766F8"/>
    <w:rsid w:val="3F422F36"/>
    <w:rsid w:val="3F576AE6"/>
    <w:rsid w:val="3FB452E6"/>
    <w:rsid w:val="405A4AE5"/>
    <w:rsid w:val="43097608"/>
    <w:rsid w:val="438121B7"/>
    <w:rsid w:val="43B9736F"/>
    <w:rsid w:val="468645E9"/>
    <w:rsid w:val="484B303F"/>
    <w:rsid w:val="49FB248F"/>
    <w:rsid w:val="4A2232F1"/>
    <w:rsid w:val="58015CD8"/>
    <w:rsid w:val="584B6FBA"/>
    <w:rsid w:val="5B726329"/>
    <w:rsid w:val="5F7F4AA9"/>
    <w:rsid w:val="5FD02AE2"/>
    <w:rsid w:val="6010685A"/>
    <w:rsid w:val="605234F2"/>
    <w:rsid w:val="61B56F70"/>
    <w:rsid w:val="61C64CD9"/>
    <w:rsid w:val="65B15889"/>
    <w:rsid w:val="66AF66FD"/>
    <w:rsid w:val="674654E6"/>
    <w:rsid w:val="69075FF3"/>
    <w:rsid w:val="6934444B"/>
    <w:rsid w:val="6C537AB1"/>
    <w:rsid w:val="709155BD"/>
    <w:rsid w:val="72863EB6"/>
    <w:rsid w:val="7C862A3F"/>
    <w:rsid w:val="7D333C26"/>
    <w:rsid w:val="7E590F57"/>
    <w:rsid w:val="7EF2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qFormat/>
    <w:uiPriority w:val="99"/>
    <w:pPr>
      <w:spacing w:beforeAutospacing="1" w:afterAutospacing="1"/>
      <w:jc w:val="left"/>
    </w:pPr>
    <w:rPr>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2708</Words>
  <Characters>2934</Characters>
  <Lines>0</Lines>
  <Paragraphs>0</Paragraphs>
  <TotalTime>143</TotalTime>
  <ScaleCrop>false</ScaleCrop>
  <LinksUpToDate>false</LinksUpToDate>
  <CharactersWithSpaces>3243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2023-09-22T11:49:38Z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8114CE1391CF4786AE457AE71697BAA4</vt:lpwstr>
  </property>
</Properties>
</file>