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color w:val="000000"/>
        </w:rPr>
      </w:pPr>
      <w:r>
        <w:rPr>
          <w:rFonts w:hint="eastAsia" w:ascii="宋体" w:hAnsi="宋体" w:eastAsia="宋体"/>
          <w:color w:val="000000"/>
          <w:sz w:val="44"/>
          <w:szCs w:val="44"/>
        </w:rPr>
        <w:t>2021年度永州市冷水滩区住房和城乡建设局部门决算</w:t>
      </w:r>
      <w:r>
        <w:rPr>
          <w:rFonts w:hint="eastAsia"/>
          <w:color w:val="000000"/>
        </w:rPr>
        <w:t xml:space="preserve"> </w:t>
      </w:r>
    </w:p>
    <w:p>
      <w:pPr>
        <w:spacing w:after="2"/>
        <w:jc w:val="center"/>
        <w:rPr>
          <w:rFonts w:hint="eastAsia"/>
          <w:color w:val="000000"/>
          <w:szCs w:val="21"/>
        </w:rPr>
      </w:pPr>
      <w:r>
        <w:rPr>
          <w:rFonts w:hint="eastAsia"/>
          <w:color w:val="000000"/>
          <w:sz w:val="32"/>
          <w:szCs w:val="32"/>
        </w:rPr>
        <w:t> </w:t>
      </w:r>
      <w:r>
        <w:rPr>
          <w:rFonts w:hint="eastAsia"/>
          <w:color w:val="000000"/>
          <w:szCs w:val="21"/>
        </w:rPr>
        <w:t xml:space="preserve"> </w:t>
      </w:r>
    </w:p>
    <w:p>
      <w:pPr>
        <w:spacing w:after="2"/>
        <w:jc w:val="center"/>
        <w:rPr>
          <w:rFonts w:hint="eastAsia" w:ascii="宋体" w:hAnsi="宋体" w:eastAsia="宋体"/>
          <w:color w:val="000000"/>
          <w:szCs w:val="21"/>
        </w:rPr>
      </w:pPr>
      <w:r>
        <w:rPr>
          <w:rFonts w:hint="eastAsia" w:ascii="宋体" w:hAnsi="宋体" w:eastAsia="宋体"/>
          <w:color w:val="000000"/>
          <w:sz w:val="32"/>
          <w:szCs w:val="32"/>
        </w:rPr>
        <w:t>目 录</w:t>
      </w:r>
      <w:r>
        <w:rPr>
          <w:rFonts w:hint="eastAsia" w:ascii="宋体" w:hAnsi="宋体" w:eastAsia="宋体"/>
          <w:color w:val="000000"/>
          <w:szCs w:val="21"/>
        </w:rPr>
        <w:t xml:space="preserve"> </w:t>
      </w:r>
    </w:p>
    <w:p>
      <w:pPr>
        <w:spacing w:after="2"/>
        <w:jc w:val="center"/>
        <w:rPr>
          <w:rFonts w:hint="eastAsia"/>
          <w:color w:val="000000"/>
          <w:szCs w:val="21"/>
        </w:rPr>
      </w:pPr>
    </w:p>
    <w:p>
      <w:pPr>
        <w:pStyle w:val="8"/>
        <w:spacing w:after="2"/>
        <w:ind w:firstLine="641"/>
        <w:rPr>
          <w:rFonts w:hint="eastAsia"/>
          <w:color w:val="000000"/>
          <w:sz w:val="27"/>
          <w:szCs w:val="27"/>
        </w:rPr>
      </w:pPr>
      <w:r>
        <w:rPr>
          <w:rFonts w:hint="eastAsia" w:ascii="宋体" w:hAnsi="宋体" w:eastAsia="宋体"/>
          <w:b/>
          <w:bCs/>
          <w:color w:val="000000"/>
          <w:sz w:val="32"/>
          <w:szCs w:val="32"/>
        </w:rPr>
        <w:t>第一部分 永州市冷水滩区住房和城乡建设局概况</w:t>
      </w:r>
      <w:r>
        <w:rPr>
          <w:rFonts w:hint="eastAsia"/>
          <w:color w:val="000000"/>
          <w:sz w:val="27"/>
          <w:szCs w:val="27"/>
        </w:rPr>
        <w:t xml:space="preserve"> </w:t>
      </w:r>
    </w:p>
    <w:p>
      <w:pPr>
        <w:pStyle w:val="8"/>
        <w:spacing w:after="2"/>
        <w:ind w:firstLine="700"/>
        <w:rPr>
          <w:rFonts w:hint="eastAsia"/>
          <w:color w:val="000000"/>
        </w:rPr>
      </w:pPr>
      <w:r>
        <w:rPr>
          <w:rFonts w:hint="eastAsia" w:ascii="宋体" w:hAnsi="宋体" w:eastAsia="宋体"/>
          <w:color w:val="000000"/>
          <w:sz w:val="28"/>
          <w:szCs w:val="28"/>
        </w:rPr>
        <w:t>一、部门职责</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二、机构设置</w:t>
      </w:r>
      <w:r>
        <w:rPr>
          <w:rFonts w:hint="eastAsia"/>
          <w:color w:val="000000"/>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第二部分 2021年度部门决算表</w:t>
      </w:r>
      <w:r>
        <w:rPr>
          <w:rFonts w:hint="eastAsia"/>
          <w:color w:val="000000"/>
          <w:sz w:val="27"/>
          <w:szCs w:val="27"/>
        </w:rPr>
        <w:t xml:space="preserve"> </w:t>
      </w:r>
    </w:p>
    <w:p>
      <w:pPr>
        <w:pStyle w:val="8"/>
        <w:spacing w:after="2"/>
        <w:ind w:firstLine="700"/>
        <w:rPr>
          <w:rFonts w:hint="eastAsia"/>
          <w:color w:val="000000"/>
        </w:rPr>
      </w:pPr>
      <w:r>
        <w:rPr>
          <w:rFonts w:hint="eastAsia" w:ascii="宋体" w:hAnsi="宋体" w:eastAsia="宋体"/>
          <w:color w:val="000000"/>
          <w:sz w:val="28"/>
          <w:szCs w:val="28"/>
        </w:rPr>
        <w:t>一、收入支出决算总表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二、收入决算表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三、支出决算表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四、财政拨款收入支出决算总表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五、一般公共预算财政拨款支出决算表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六、一般公共预算财政拨款基本支出决算明细表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七、一般公共预算财政拨款“三公”经费支出决算表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八、政府性基金预算财政拨款收入支出决算表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九、国有资本经营预算财政拨款支出决算表</w:t>
      </w:r>
      <w:r>
        <w:rPr>
          <w:rFonts w:hint="eastAsia"/>
          <w:color w:val="000000"/>
        </w:rPr>
        <w:t xml:space="preserve"> </w:t>
      </w:r>
    </w:p>
    <w:p>
      <w:pPr>
        <w:pStyle w:val="8"/>
        <w:spacing w:after="2"/>
        <w:ind w:firstLine="700"/>
        <w:rPr>
          <w:rFonts w:hint="eastAsia"/>
          <w:color w:val="000000"/>
        </w:rPr>
      </w:pPr>
      <w:r>
        <w:rPr>
          <w:rFonts w:hint="eastAsia" w:ascii="宋体" w:hAnsi="宋体" w:eastAsia="宋体"/>
          <w:b/>
          <w:bCs/>
          <w:color w:val="000000"/>
          <w:sz w:val="32"/>
          <w:szCs w:val="32"/>
        </w:rPr>
        <w:t>第三部分 2021年度部门决算情况说明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一、收入支出决算总体情况说明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二、收入决算情况说明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三、支出决算情况说明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四、财政拨款收入支出决算总体情况说明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五、一般公共预算财政拨款支出决算情况说明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六、一般公共预算财政拨款基本支出决算情况说明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七、一般公共预算财政拨款三公经费支出决算情况说明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八、政府性基金预算收入支出决算情况</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九、关于机关运行经费支出说明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十、一般性支出情况</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十一、关于政府采购支出说明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十二、关于国有资产占用情况说明</w:t>
      </w:r>
      <w:r>
        <w:rPr>
          <w:rFonts w:hint="eastAsia"/>
          <w:color w:val="000000"/>
        </w:rPr>
        <w:t xml:space="preserve"> </w:t>
      </w:r>
    </w:p>
    <w:p>
      <w:pPr>
        <w:pStyle w:val="8"/>
        <w:spacing w:after="2"/>
        <w:ind w:firstLine="700"/>
        <w:rPr>
          <w:rFonts w:hint="eastAsia"/>
          <w:color w:val="000000"/>
        </w:rPr>
      </w:pPr>
      <w:r>
        <w:rPr>
          <w:rFonts w:hint="eastAsia" w:ascii="宋体" w:hAnsi="宋体" w:eastAsia="宋体"/>
          <w:color w:val="000000"/>
          <w:sz w:val="28"/>
          <w:szCs w:val="28"/>
        </w:rPr>
        <w:t>十三、关于2021年度预算绩效情况的说明</w:t>
      </w:r>
      <w:r>
        <w:rPr>
          <w:rFonts w:hint="eastAsia"/>
          <w:color w:val="000000"/>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第四部分 名词解释</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第五部分 附件</w:t>
      </w:r>
      <w:r>
        <w:rPr>
          <w:rFonts w:hint="eastAsia"/>
          <w:color w:val="000000"/>
          <w:sz w:val="27"/>
          <w:szCs w:val="27"/>
        </w:rPr>
        <w:t xml:space="preserve"> </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spacing w:after="2" w:line="600" w:lineRule="atLeast"/>
        <w:jc w:val="center"/>
        <w:rPr>
          <w:rFonts w:hint="eastAsia"/>
          <w:color w:val="000000"/>
          <w:szCs w:val="21"/>
        </w:rPr>
      </w:pPr>
      <w:r>
        <w:rPr>
          <w:rFonts w:hint="eastAsia" w:ascii="宋体" w:hAnsi="宋体" w:eastAsia="宋体"/>
          <w:b/>
          <w:bCs/>
          <w:color w:val="000000"/>
          <w:sz w:val="36"/>
          <w:szCs w:val="36"/>
        </w:rPr>
        <w:t>第一部分 永州市冷水滩区住房和城乡建设局概况</w:t>
      </w:r>
      <w:r>
        <w:rPr>
          <w:rFonts w:hint="eastAsia"/>
          <w:b/>
          <w:bCs/>
          <w:color w:val="000000"/>
          <w:szCs w:val="21"/>
        </w:rPr>
        <w:t xml:space="preserve"> </w:t>
      </w:r>
    </w:p>
    <w:p>
      <w:pPr>
        <w:pStyle w:val="2"/>
        <w:spacing w:before="0" w:beforeAutospacing="0" w:after="2" w:afterAutospacing="0"/>
        <w:rPr>
          <w:rFonts w:hint="eastAsia"/>
          <w:color w:val="000000"/>
        </w:rPr>
      </w:pPr>
    </w:p>
    <w:p>
      <w:pPr>
        <w:pStyle w:val="9"/>
        <w:spacing w:before="0" w:beforeAutospacing="0" w:after="2" w:afterAutospacing="0"/>
        <w:rPr>
          <w:color w:val="000000"/>
        </w:rPr>
      </w:pPr>
      <w:r>
        <w:rPr>
          <w:rFonts w:ascii="Calibri" w:hAnsi="Calibri" w:eastAsia="黑体" w:cs="Calibri"/>
          <w:color w:val="000000"/>
          <w:sz w:val="32"/>
          <w:szCs w:val="32"/>
        </w:rPr>
        <w:t> </w:t>
      </w:r>
      <w:r>
        <w:rPr>
          <w:color w:val="000000"/>
        </w:rPr>
        <w:t xml:space="preserve"> </w:t>
      </w:r>
    </w:p>
    <w:p>
      <w:pPr>
        <w:pStyle w:val="8"/>
        <w:spacing w:after="2"/>
        <w:ind w:firstLine="641"/>
        <w:rPr>
          <w:color w:val="000000"/>
          <w:sz w:val="27"/>
          <w:szCs w:val="27"/>
        </w:rPr>
      </w:pPr>
      <w:r>
        <w:rPr>
          <w:rFonts w:hint="eastAsia" w:ascii="宋体" w:hAnsi="宋体" w:eastAsia="宋体"/>
          <w:b/>
          <w:bCs/>
          <w:color w:val="000000"/>
          <w:sz w:val="32"/>
          <w:szCs w:val="32"/>
        </w:rPr>
        <w:t>一、部门职责</w:t>
      </w:r>
      <w:r>
        <w:rPr>
          <w:rFonts w:hint="eastAsia"/>
          <w:color w:val="000000"/>
          <w:sz w:val="27"/>
          <w:szCs w:val="27"/>
        </w:rPr>
        <w:t xml:space="preserve"> </w:t>
      </w:r>
    </w:p>
    <w:p>
      <w:pPr>
        <w:pStyle w:val="8"/>
        <w:spacing w:after="2"/>
        <w:ind w:firstLine="641"/>
        <w:rPr>
          <w:rFonts w:hint="eastAsia"/>
          <w:color w:val="000000"/>
          <w:sz w:val="32"/>
          <w:szCs w:val="32"/>
        </w:rPr>
      </w:pPr>
      <w:r>
        <w:rPr>
          <w:rFonts w:hint="eastAsia" w:ascii="宋体" w:hAnsi="宋体" w:eastAsia="宋体"/>
          <w:color w:val="000000"/>
          <w:sz w:val="32"/>
          <w:szCs w:val="32"/>
        </w:rPr>
        <w:t>（一）本部门是负责全区乡镇规划建设行政管理部门，管辖事业单位六个、五个建筑企业。1、冷区城乡规划：负责全区城乡规划管理的副科级事业单位；2、冷区建工办：负责全区城乡建筑管理的副科级事业单位；3、冷区房产办：负责全区乡镇房产管理的副科级事业单位；4、潇湘大桥管理所；负责大桥管理工作的事业单位；5、房改办：负责全乡房改管理工作；6、冷区设计院负责企业化管理事业单位。企业单位：永州第四、八、十、大立公司、地利公司。</w:t>
      </w:r>
      <w:r>
        <w:rPr>
          <w:rFonts w:hint="eastAsia"/>
          <w:color w:val="000000"/>
          <w:sz w:val="32"/>
          <w:szCs w:val="32"/>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二、机构设置及决算单位构成</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（一）内设机构设置</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永州市冷水滩区住房和城乡建设局内设机构包括：机构情况，冷水滩区住建局属正科级行政单位，包括局机关，及下属5个事业单位和1个企业单位。 人员编制情况：在职人员17人，正副科级干部等11人，事业人员2人，工人4人，退休23人。</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（二）决算单位构成</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永州市冷水滩区住房和城乡建设局为一级预算单位，无独立二级单位，因此本次决算公开单位为永州市冷水滩区住房和城乡建设局本级。</w:t>
      </w:r>
      <w:r>
        <w:rPr>
          <w:rFonts w:hint="eastAsia"/>
          <w:color w:val="000000"/>
          <w:sz w:val="27"/>
          <w:szCs w:val="27"/>
        </w:rPr>
        <w:t xml:space="preserve"> </w:t>
      </w:r>
    </w:p>
    <w:p>
      <w:pPr>
        <w:widowControl/>
        <w:jc w:val="left"/>
        <w:rPr>
          <w:rFonts w:ascii="宋体" w:hAnsi="宋体" w:eastAsia="宋体" w:cs="宋体"/>
          <w:color w:val="000000"/>
          <w:kern w:val="0"/>
          <w:sz w:val="32"/>
          <w:szCs w:val="32"/>
        </w:rPr>
        <w:sectPr>
          <w:pgSz w:w="11906" w:h="16838" w:orient="landscape"/>
          <w:pgMar w:top="1440" w:right="1080" w:bottom="1440" w:left="1080" w:header="851" w:footer="992" w:gutter="0"/>
          <w:cols w:space="425" w:num="1"/>
          <w:docGrid w:type="lines" w:linePitch="160" w:charSpace="0"/>
        </w:sectPr>
      </w:pPr>
    </w:p>
    <w:p>
      <w:pPr>
        <w:spacing w:after="2"/>
        <w:ind w:firstLine="721"/>
        <w:jc w:val="center"/>
        <w:rPr>
          <w:rFonts w:hint="eastAsia"/>
          <w:color w:val="000000"/>
          <w:szCs w:val="21"/>
        </w:rPr>
      </w:pPr>
    </w:p>
    <w:p>
      <w:pPr>
        <w:spacing w:after="2"/>
        <w:ind w:firstLine="721"/>
        <w:jc w:val="center"/>
        <w:rPr>
          <w:rFonts w:hint="eastAsia"/>
          <w:color w:val="000000"/>
          <w:szCs w:val="21"/>
        </w:rPr>
      </w:pPr>
      <w:r>
        <w:rPr>
          <w:rFonts w:hint="eastAsia" w:ascii="宋体" w:hAnsi="宋体" w:eastAsia="宋体"/>
          <w:b/>
          <w:bCs/>
          <w:color w:val="000000"/>
          <w:sz w:val="36"/>
          <w:szCs w:val="36"/>
        </w:rPr>
        <w:t>第二部分 2021年度部门决算表</w:t>
      </w:r>
      <w:r>
        <w:rPr>
          <w:rFonts w:hint="eastAsia"/>
          <w:color w:val="000000"/>
          <w:szCs w:val="21"/>
        </w:rPr>
        <w:t xml:space="preserve"> </w:t>
      </w:r>
    </w:p>
    <w:p>
      <w:pPr>
        <w:pStyle w:val="2"/>
        <w:spacing w:before="0" w:beforeAutospacing="0" w:after="2" w:afterAutospacing="0"/>
        <w:rPr>
          <w:rFonts w:hint="eastAsia"/>
          <w:color w:val="000000"/>
          <w:sz w:val="32"/>
          <w:szCs w:val="32"/>
        </w:rPr>
      </w:pPr>
    </w:p>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4802"/>
        <w:gridCol w:w="648"/>
        <w:gridCol w:w="2569"/>
        <w:gridCol w:w="4802"/>
        <w:gridCol w:w="648"/>
        <w:gridCol w:w="2569"/>
      </w:tblGrid>
      <w:tr>
        <w:tblPrEx>
          <w:tblCellMar>
            <w:top w:w="0" w:type="dxa"/>
            <w:left w:w="0" w:type="dxa"/>
            <w:bottom w:w="0" w:type="dxa"/>
            <w:right w:w="0" w:type="dxa"/>
          </w:tblCellMar>
        </w:tblPrEx>
        <w:trPr>
          <w:tblCellSpacing w:w="0" w:type="dxa"/>
          <w:jc w:val="center"/>
        </w:trPr>
        <w:tc>
          <w:tcPr>
            <w:tcW w:w="5000" w:type="pct"/>
            <w:gridSpan w:val="6"/>
            <w:vAlign w:val="center"/>
          </w:tcPr>
          <w:p>
            <w:pPr>
              <w:pStyle w:val="2"/>
              <w:jc w:val="center"/>
              <w:rPr>
                <w:rFonts w:hint="eastAsia"/>
                <w:sz w:val="40"/>
                <w:szCs w:val="40"/>
              </w:rPr>
            </w:pPr>
            <w:r>
              <w:rPr>
                <w:sz w:val="40"/>
                <w:szCs w:val="40"/>
              </w:rPr>
              <w:t>收入支出决算总表</w:t>
            </w:r>
          </w:p>
        </w:tc>
      </w:tr>
      <w:tr>
        <w:tblPrEx>
          <w:tblCellMar>
            <w:top w:w="0" w:type="dxa"/>
            <w:left w:w="0" w:type="dxa"/>
            <w:bottom w:w="0" w:type="dxa"/>
            <w:right w:w="0" w:type="dxa"/>
          </w:tblCellMar>
        </w:tblPrEx>
        <w:trPr>
          <w:tblCellSpacing w:w="0" w:type="dxa"/>
          <w:jc w:val="center"/>
        </w:trPr>
        <w:tc>
          <w:tcPr>
            <w:tcW w:w="1497" w:type="pct"/>
            <w:vAlign w:val="center"/>
          </w:tcPr>
          <w:p>
            <w:pPr>
              <w:rPr>
                <w:sz w:val="40"/>
                <w:szCs w:val="40"/>
              </w:rPr>
            </w:pPr>
          </w:p>
        </w:tc>
        <w:tc>
          <w:tcPr>
            <w:tcW w:w="202" w:type="pct"/>
            <w:vAlign w:val="center"/>
          </w:tcPr>
          <w:p>
            <w:pPr>
              <w:rPr>
                <w:rFonts w:ascii="Times New Roman" w:hAnsi="Times New Roman" w:eastAsia="Times New Roman" w:cs="Times New Roman"/>
                <w:kern w:val="0"/>
                <w:sz w:val="20"/>
                <w:szCs w:val="20"/>
              </w:rPr>
            </w:pPr>
          </w:p>
        </w:tc>
        <w:tc>
          <w:tcPr>
            <w:tcW w:w="799" w:type="pct"/>
            <w:vAlign w:val="center"/>
          </w:tcPr>
          <w:p>
            <w:pPr>
              <w:rPr>
                <w:rFonts w:ascii="Times New Roman" w:hAnsi="Times New Roman" w:eastAsia="Times New Roman" w:cs="Times New Roman"/>
                <w:kern w:val="0"/>
                <w:sz w:val="20"/>
                <w:szCs w:val="20"/>
              </w:rPr>
            </w:pPr>
          </w:p>
        </w:tc>
        <w:tc>
          <w:tcPr>
            <w:tcW w:w="1497" w:type="pct"/>
            <w:vAlign w:val="center"/>
          </w:tcPr>
          <w:p>
            <w:pPr>
              <w:rPr>
                <w:rFonts w:ascii="Times New Roman" w:hAnsi="Times New Roman" w:eastAsia="Times New Roman" w:cs="Times New Roman"/>
                <w:kern w:val="0"/>
                <w:sz w:val="20"/>
                <w:szCs w:val="20"/>
              </w:rPr>
            </w:pPr>
          </w:p>
        </w:tc>
        <w:tc>
          <w:tcPr>
            <w:tcW w:w="1002" w:type="pct"/>
            <w:gridSpan w:val="2"/>
            <w:vAlign w:val="center"/>
          </w:tcPr>
          <w:p>
            <w:pPr>
              <w:pStyle w:val="2"/>
              <w:jc w:val="right"/>
              <w:rPr>
                <w:sz w:val="20"/>
                <w:szCs w:val="20"/>
              </w:rPr>
            </w:pPr>
            <w:r>
              <w:rPr>
                <w:sz w:val="20"/>
                <w:szCs w:val="20"/>
              </w:rPr>
              <w:t>公开01表</w:t>
            </w:r>
          </w:p>
        </w:tc>
      </w:tr>
      <w:tr>
        <w:tblPrEx>
          <w:tblCellMar>
            <w:top w:w="0" w:type="dxa"/>
            <w:left w:w="0" w:type="dxa"/>
            <w:bottom w:w="0" w:type="dxa"/>
            <w:right w:w="0" w:type="dxa"/>
          </w:tblCellMar>
        </w:tblPrEx>
        <w:trPr>
          <w:tblCellSpacing w:w="0" w:type="dxa"/>
          <w:jc w:val="center"/>
        </w:trPr>
        <w:tc>
          <w:tcPr>
            <w:tcW w:w="3997" w:type="pct"/>
            <w:gridSpan w:val="4"/>
            <w:vAlign w:val="center"/>
          </w:tcPr>
          <w:p>
            <w:pPr>
              <w:pStyle w:val="2"/>
              <w:rPr>
                <w:sz w:val="22"/>
                <w:szCs w:val="22"/>
              </w:rPr>
            </w:pPr>
            <w:r>
              <w:rPr>
                <w:sz w:val="22"/>
                <w:szCs w:val="22"/>
              </w:rPr>
              <w:t>部门：永州市冷水滩区住建局</w:t>
            </w:r>
          </w:p>
        </w:tc>
        <w:tc>
          <w:tcPr>
            <w:tcW w:w="1002"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支出</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金额</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金额</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5,269.93</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43</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50</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53</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0"/>
                <w:szCs w:val="20"/>
              </w:rPr>
            </w:pPr>
            <w:r>
              <w:rPr>
                <w:sz w:val="20"/>
                <w:szCs w:val="20"/>
              </w:rPr>
              <w:t>24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0"/>
                <w:szCs w:val="20"/>
              </w:rPr>
            </w:pPr>
            <w:r>
              <w:rPr>
                <w:sz w:val="20"/>
                <w:szCs w:val="20"/>
              </w:rPr>
              <w:t>25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0"/>
                <w:szCs w:val="20"/>
              </w:rPr>
            </w:pPr>
            <w:r>
              <w:rPr>
                <w:sz w:val="20"/>
                <w:szCs w:val="20"/>
              </w:rPr>
              <w:t>26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27</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58</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r>
      <w:tr>
        <w:tblPrEx>
          <w:tblCellMar>
            <w:top w:w="0" w:type="dxa"/>
            <w:left w:w="0" w:type="dxa"/>
            <w:bottom w:w="0" w:type="dxa"/>
            <w:right w:w="0" w:type="dxa"/>
          </w:tblCellMar>
        </w:tblPrEx>
        <w:trPr>
          <w:tblCellSpacing w:w="0" w:type="dxa"/>
          <w:jc w:val="center"/>
        </w:trPr>
        <w:tc>
          <w:tcPr>
            <w:tcW w:w="5000" w:type="pct"/>
            <w:gridSpan w:val="6"/>
            <w:vAlign w:val="center"/>
          </w:tcPr>
          <w:p>
            <w:pPr>
              <w:pStyle w:val="2"/>
              <w:rPr>
                <w:sz w:val="22"/>
                <w:szCs w:val="22"/>
              </w:rPr>
            </w:pPr>
            <w:r>
              <w:rPr>
                <w:sz w:val="22"/>
                <w:szCs w:val="22"/>
              </w:rPr>
              <w:t>注：本表反映部门本年度的总收支和年末结转结余情况。本表金额转换为万元时，因四舍五入可能存在尾数误差。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CellMar>
            <w:top w:w="0" w:type="dxa"/>
            <w:left w:w="0" w:type="dxa"/>
            <w:bottom w:w="0" w:type="dxa"/>
            <w:right w:w="0" w:type="dxa"/>
          </w:tblCellMar>
        </w:tblPrEx>
        <w:trPr>
          <w:tblCellSpacing w:w="0" w:type="dxa"/>
          <w:jc w:val="center"/>
        </w:trPr>
        <w:tc>
          <w:tcPr>
            <w:tcW w:w="5000" w:type="pct"/>
            <w:gridSpan w:val="11"/>
            <w:vAlign w:val="center"/>
          </w:tcPr>
          <w:p>
            <w:pPr>
              <w:pStyle w:val="2"/>
              <w:jc w:val="center"/>
              <w:rPr>
                <w:rFonts w:hint="eastAsia"/>
                <w:sz w:val="40"/>
                <w:szCs w:val="40"/>
              </w:rPr>
            </w:pPr>
            <w:r>
              <w:rPr>
                <w:sz w:val="40"/>
                <w:szCs w:val="40"/>
              </w:rPr>
              <w:t>收入决算表</w:t>
            </w:r>
          </w:p>
        </w:tc>
      </w:tr>
      <w:tr>
        <w:tblPrEx>
          <w:tblCellMar>
            <w:top w:w="0" w:type="dxa"/>
            <w:left w:w="0" w:type="dxa"/>
            <w:bottom w:w="0" w:type="dxa"/>
            <w:right w:w="0" w:type="dxa"/>
          </w:tblCellMar>
        </w:tblPrEx>
        <w:trPr>
          <w:tblCellSpacing w:w="0" w:type="dxa"/>
          <w:jc w:val="center"/>
        </w:trPr>
        <w:tc>
          <w:tcPr>
            <w:tcW w:w="113" w:type="pct"/>
            <w:vAlign w:val="center"/>
          </w:tcPr>
          <w:p>
            <w:pPr>
              <w:rPr>
                <w:sz w:val="40"/>
                <w:szCs w:val="40"/>
              </w:rPr>
            </w:pPr>
          </w:p>
        </w:tc>
        <w:tc>
          <w:tcPr>
            <w:tcW w:w="113" w:type="pct"/>
            <w:vAlign w:val="center"/>
          </w:tcPr>
          <w:p>
            <w:pPr>
              <w:rPr>
                <w:rFonts w:ascii="Times New Roman" w:hAnsi="Times New Roman" w:eastAsia="Times New Roman" w:cs="Times New Roman"/>
                <w:kern w:val="0"/>
                <w:sz w:val="20"/>
                <w:szCs w:val="20"/>
              </w:rPr>
            </w:pPr>
          </w:p>
        </w:tc>
        <w:tc>
          <w:tcPr>
            <w:tcW w:w="113" w:type="pct"/>
            <w:vAlign w:val="center"/>
          </w:tcPr>
          <w:p>
            <w:pPr>
              <w:rPr>
                <w:rFonts w:ascii="Times New Roman" w:hAnsi="Times New Roman" w:eastAsia="Times New Roman" w:cs="Times New Roman"/>
                <w:kern w:val="0"/>
                <w:sz w:val="20"/>
                <w:szCs w:val="20"/>
              </w:rPr>
            </w:pPr>
          </w:p>
        </w:tc>
        <w:tc>
          <w:tcPr>
            <w:tcW w:w="995" w:type="pct"/>
            <w:vAlign w:val="center"/>
          </w:tcPr>
          <w:p>
            <w:pPr>
              <w:rPr>
                <w:rFonts w:ascii="Times New Roman" w:hAnsi="Times New Roman" w:eastAsia="Times New Roman" w:cs="Times New Roman"/>
                <w:kern w:val="0"/>
                <w:sz w:val="20"/>
                <w:szCs w:val="20"/>
              </w:rPr>
            </w:pPr>
          </w:p>
        </w:tc>
        <w:tc>
          <w:tcPr>
            <w:tcW w:w="678"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995" w:type="pct"/>
            <w:gridSpan w:val="2"/>
            <w:vAlign w:val="center"/>
          </w:tcPr>
          <w:p>
            <w:pPr>
              <w:pStyle w:val="2"/>
              <w:jc w:val="right"/>
              <w:rPr>
                <w:sz w:val="20"/>
                <w:szCs w:val="20"/>
              </w:rPr>
            </w:pPr>
            <w:r>
              <w:rPr>
                <w:sz w:val="20"/>
                <w:szCs w:val="20"/>
              </w:rPr>
              <w:t>公开02表</w:t>
            </w:r>
          </w:p>
        </w:tc>
      </w:tr>
      <w:tr>
        <w:tblPrEx>
          <w:tblCellMar>
            <w:top w:w="0" w:type="dxa"/>
            <w:left w:w="0" w:type="dxa"/>
            <w:bottom w:w="0" w:type="dxa"/>
            <w:right w:w="0" w:type="dxa"/>
          </w:tblCellMar>
        </w:tblPrEx>
        <w:trPr>
          <w:tblCellSpacing w:w="0" w:type="dxa"/>
          <w:jc w:val="center"/>
        </w:trPr>
        <w:tc>
          <w:tcPr>
            <w:tcW w:w="4004" w:type="pct"/>
            <w:gridSpan w:val="9"/>
            <w:vAlign w:val="center"/>
          </w:tcPr>
          <w:p>
            <w:pPr>
              <w:pStyle w:val="2"/>
              <w:rPr>
                <w:sz w:val="22"/>
                <w:szCs w:val="22"/>
              </w:rPr>
            </w:pPr>
            <w:r>
              <w:rPr>
                <w:sz w:val="22"/>
                <w:szCs w:val="22"/>
              </w:rPr>
              <w:t>部门：永州市冷水滩区住建局</w:t>
            </w:r>
          </w:p>
        </w:tc>
        <w:tc>
          <w:tcPr>
            <w:tcW w:w="995"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其他收入</w:t>
            </w: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497"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20103</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政府办公厅（室）及相关机构事务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2010302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20104</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发展与改革事务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2010401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节能环保支出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21104</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自然生态保护</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2110402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农村环境保护</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475.18</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475.18</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228.13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228.13</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2120102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2120199</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其他城乡社区管理事务支出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115.00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115.00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21205</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城乡社区环境卫生</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2120501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城乡社区环境卫生</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21299</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2129999</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农林水支出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21308</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普惠金融发展支出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2130803</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农业保险保费补贴</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保障性安居工程支出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2210108</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老旧小区改造</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灾害防治及应急管理支出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应急管理事务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2240106</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安全监管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1"/>
            <w:vAlign w:val="center"/>
          </w:tcPr>
          <w:p>
            <w:pPr>
              <w:pStyle w:val="2"/>
              <w:rPr>
                <w:sz w:val="22"/>
                <w:szCs w:val="22"/>
              </w:rPr>
            </w:pPr>
            <w:r>
              <w:rPr>
                <w:sz w:val="22"/>
                <w:szCs w:val="22"/>
              </w:rPr>
              <w:t>注：本表反映部门本年度取得的各项收入情况。本表金额转换为万元时，因四舍五入可能存在尾数误差。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2"/>
              <w:jc w:val="center"/>
              <w:rPr>
                <w:rFonts w:hint="eastAsia"/>
                <w:sz w:val="40"/>
                <w:szCs w:val="40"/>
              </w:rPr>
            </w:pPr>
            <w:r>
              <w:rPr>
                <w:sz w:val="40"/>
                <w:szCs w:val="40"/>
              </w:rPr>
              <w:t>支出决算表</w:t>
            </w:r>
          </w:p>
        </w:tc>
      </w:tr>
      <w:tr>
        <w:tblPrEx>
          <w:tblCellMar>
            <w:top w:w="0" w:type="dxa"/>
            <w:left w:w="0" w:type="dxa"/>
            <w:bottom w:w="0" w:type="dxa"/>
            <w:right w:w="0" w:type="dxa"/>
          </w:tblCellMar>
        </w:tblPrEx>
        <w:trPr>
          <w:tblCellSpacing w:w="0" w:type="dxa"/>
          <w:jc w:val="center"/>
        </w:trPr>
        <w:tc>
          <w:tcPr>
            <w:tcW w:w="125" w:type="pct"/>
            <w:vAlign w:val="center"/>
          </w:tcPr>
          <w:p>
            <w:pPr>
              <w:rPr>
                <w:sz w:val="40"/>
                <w:szCs w:val="40"/>
              </w:rPr>
            </w:pPr>
          </w:p>
        </w:tc>
        <w:tc>
          <w:tcPr>
            <w:tcW w:w="125" w:type="pct"/>
            <w:vAlign w:val="center"/>
          </w:tcPr>
          <w:p>
            <w:pPr>
              <w:rPr>
                <w:rFonts w:ascii="Times New Roman" w:hAnsi="Times New Roman" w:eastAsia="Times New Roman" w:cs="Times New Roman"/>
                <w:kern w:val="0"/>
                <w:sz w:val="20"/>
                <w:szCs w:val="20"/>
              </w:rPr>
            </w:pPr>
          </w:p>
        </w:tc>
        <w:tc>
          <w:tcPr>
            <w:tcW w:w="125" w:type="pct"/>
            <w:vAlign w:val="center"/>
          </w:tcPr>
          <w:p>
            <w:pPr>
              <w:rPr>
                <w:rFonts w:ascii="Times New Roman" w:hAnsi="Times New Roman" w:eastAsia="Times New Roman" w:cs="Times New Roman"/>
                <w:kern w:val="0"/>
                <w:sz w:val="20"/>
                <w:szCs w:val="20"/>
              </w:rPr>
            </w:pPr>
          </w:p>
        </w:tc>
        <w:tc>
          <w:tcPr>
            <w:tcW w:w="1105" w:type="pct"/>
            <w:vAlign w:val="center"/>
          </w:tcPr>
          <w:p>
            <w:pPr>
              <w:rPr>
                <w:rFonts w:ascii="Times New Roman" w:hAnsi="Times New Roman" w:eastAsia="Times New Roman" w:cs="Times New Roman"/>
                <w:kern w:val="0"/>
                <w:sz w:val="20"/>
                <w:szCs w:val="20"/>
              </w:rPr>
            </w:pPr>
          </w:p>
        </w:tc>
        <w:tc>
          <w:tcPr>
            <w:tcW w:w="753"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1105" w:type="pct"/>
            <w:gridSpan w:val="2"/>
            <w:vAlign w:val="center"/>
          </w:tcPr>
          <w:p>
            <w:pPr>
              <w:pStyle w:val="2"/>
              <w:jc w:val="right"/>
              <w:rPr>
                <w:sz w:val="20"/>
                <w:szCs w:val="20"/>
              </w:rPr>
            </w:pPr>
            <w:r>
              <w:rPr>
                <w:sz w:val="20"/>
                <w:szCs w:val="20"/>
              </w:rPr>
              <w:t>公开03表</w:t>
            </w:r>
          </w:p>
        </w:tc>
      </w:tr>
      <w:tr>
        <w:tblPrEx>
          <w:tblCellMar>
            <w:top w:w="0" w:type="dxa"/>
            <w:left w:w="0" w:type="dxa"/>
            <w:bottom w:w="0" w:type="dxa"/>
            <w:right w:w="0" w:type="dxa"/>
          </w:tblCellMar>
        </w:tblPrEx>
        <w:trPr>
          <w:tblCellSpacing w:w="0" w:type="dxa"/>
          <w:jc w:val="center"/>
        </w:trPr>
        <w:tc>
          <w:tcPr>
            <w:tcW w:w="3894" w:type="pct"/>
            <w:gridSpan w:val="8"/>
            <w:vAlign w:val="center"/>
          </w:tcPr>
          <w:p>
            <w:pPr>
              <w:pStyle w:val="2"/>
              <w:rPr>
                <w:sz w:val="22"/>
                <w:szCs w:val="22"/>
              </w:rPr>
            </w:pPr>
            <w:r>
              <w:rPr>
                <w:sz w:val="22"/>
                <w:szCs w:val="22"/>
              </w:rPr>
              <w:t>部门：永州市冷水滩区住建局</w:t>
            </w:r>
          </w:p>
        </w:tc>
        <w:tc>
          <w:tcPr>
            <w:tcW w:w="1105"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对附属单位补助支出</w:t>
            </w: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r>
      <w:tr>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5,117.88</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152.05</w:t>
            </w:r>
          </w:p>
        </w:tc>
        <w:tc>
          <w:tcPr>
            <w:tcW w:w="552"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20103</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政府办公厅（室）及相关机构事务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2010302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20104</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发展与改革事务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2010401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节能环保支出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21104</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自然生态保护</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2110402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农村环境保护</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402.13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475.18</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343.13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228.13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228.13</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2120102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2120199</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其他城乡社区管理事务支出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115.00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115.00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21205</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城乡社区环境卫生</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2120501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城乡社区环境卫生</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21299</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2129999</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农林水支出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21308</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普惠金融发展支出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2130803</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农业保险保费补贴</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保障性安居工程支出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2210108</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老旧小区改造</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灾害防治及应急管理支出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应急管理事务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2240106</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安全监管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2"/>
              <w:rPr>
                <w:sz w:val="22"/>
                <w:szCs w:val="22"/>
              </w:rPr>
            </w:pPr>
            <w:r>
              <w:rPr>
                <w:sz w:val="22"/>
                <w:szCs w:val="22"/>
              </w:rPr>
              <w:t>注：本表反映部门本年度各项支出情况。本表金额转换为万元时，因四舍五入可能存在尾数误差。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2"/>
              <w:jc w:val="center"/>
              <w:rPr>
                <w:rFonts w:hint="eastAsia"/>
                <w:sz w:val="40"/>
                <w:szCs w:val="40"/>
              </w:rPr>
            </w:pPr>
            <w:r>
              <w:rPr>
                <w:sz w:val="40"/>
                <w:szCs w:val="40"/>
              </w:rPr>
              <w:t>财政拨款收入支出决算总表</w:t>
            </w:r>
          </w:p>
        </w:tc>
      </w:tr>
      <w:tr>
        <w:tblPrEx>
          <w:tblCellMar>
            <w:top w:w="0" w:type="dxa"/>
            <w:left w:w="0" w:type="dxa"/>
            <w:bottom w:w="0" w:type="dxa"/>
            <w:right w:w="0" w:type="dxa"/>
          </w:tblCellMar>
        </w:tblPrEx>
        <w:trPr>
          <w:tblCellSpacing w:w="0" w:type="dxa"/>
          <w:jc w:val="center"/>
        </w:trPr>
        <w:tc>
          <w:tcPr>
            <w:tcW w:w="999"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486" w:type="pct"/>
            <w:vAlign w:val="center"/>
          </w:tcPr>
          <w:p>
            <w:pPr>
              <w:rPr>
                <w:rFonts w:ascii="Times New Roman" w:hAnsi="Times New Roman" w:eastAsia="Times New Roman" w:cs="Times New Roman"/>
                <w:kern w:val="0"/>
                <w:sz w:val="20"/>
                <w:szCs w:val="20"/>
              </w:rPr>
            </w:pPr>
          </w:p>
        </w:tc>
        <w:tc>
          <w:tcPr>
            <w:tcW w:w="1151"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664" w:type="pct"/>
            <w:vAlign w:val="center"/>
          </w:tcPr>
          <w:p>
            <w:pPr>
              <w:rPr>
                <w:rFonts w:ascii="Times New Roman" w:hAnsi="Times New Roman" w:eastAsia="Times New Roman" w:cs="Times New Roman"/>
                <w:kern w:val="0"/>
                <w:sz w:val="20"/>
                <w:szCs w:val="20"/>
              </w:rPr>
            </w:pPr>
          </w:p>
        </w:tc>
        <w:tc>
          <w:tcPr>
            <w:tcW w:w="456" w:type="pct"/>
            <w:vAlign w:val="center"/>
          </w:tcPr>
          <w:p>
            <w:pPr>
              <w:rPr>
                <w:rFonts w:ascii="Times New Roman" w:hAnsi="Times New Roman" w:eastAsia="Times New Roman" w:cs="Times New Roman"/>
                <w:kern w:val="0"/>
                <w:sz w:val="20"/>
                <w:szCs w:val="20"/>
              </w:rPr>
            </w:pPr>
          </w:p>
        </w:tc>
        <w:tc>
          <w:tcPr>
            <w:tcW w:w="912" w:type="pct"/>
            <w:gridSpan w:val="2"/>
            <w:vAlign w:val="center"/>
          </w:tcPr>
          <w:p>
            <w:pPr>
              <w:pStyle w:val="2"/>
              <w:jc w:val="right"/>
              <w:rPr>
                <w:sz w:val="20"/>
                <w:szCs w:val="20"/>
              </w:rPr>
            </w:pPr>
            <w:r>
              <w:rPr>
                <w:sz w:val="20"/>
                <w:szCs w:val="20"/>
              </w:rPr>
              <w:t>公开04表</w:t>
            </w:r>
          </w:p>
        </w:tc>
      </w:tr>
      <w:tr>
        <w:tblPrEx>
          <w:tblCellMar>
            <w:top w:w="0" w:type="dxa"/>
            <w:left w:w="0" w:type="dxa"/>
            <w:bottom w:w="0" w:type="dxa"/>
            <w:right w:w="0" w:type="dxa"/>
          </w:tblCellMar>
        </w:tblPrEx>
        <w:trPr>
          <w:tblCellSpacing w:w="0" w:type="dxa"/>
          <w:jc w:val="center"/>
        </w:trPr>
        <w:tc>
          <w:tcPr>
            <w:tcW w:w="4087" w:type="pct"/>
            <w:gridSpan w:val="7"/>
            <w:vAlign w:val="center"/>
          </w:tcPr>
          <w:p>
            <w:pPr>
              <w:pStyle w:val="2"/>
              <w:rPr>
                <w:sz w:val="22"/>
                <w:szCs w:val="22"/>
              </w:rPr>
            </w:pPr>
            <w:r>
              <w:rPr>
                <w:sz w:val="22"/>
                <w:szCs w:val="22"/>
              </w:rPr>
              <w:t>部门：永州市冷水滩区住建局</w:t>
            </w:r>
          </w:p>
        </w:tc>
        <w:tc>
          <w:tcPr>
            <w:tcW w:w="912"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支 出</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国有资本经营预算财政拨款</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5,269.93</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33</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42</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43</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44</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51</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54</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27</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59</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32</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64</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5000" w:type="pct"/>
            <w:gridSpan w:val="9"/>
            <w:vAlign w:val="center"/>
          </w:tcPr>
          <w:p>
            <w:pPr>
              <w:pStyle w:val="2"/>
              <w:rPr>
                <w:sz w:val="22"/>
                <w:szCs w:val="22"/>
              </w:rPr>
            </w:pPr>
            <w:r>
              <w:rPr>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452"/>
        <w:gridCol w:w="452"/>
        <w:gridCol w:w="455"/>
        <w:gridCol w:w="5398"/>
        <w:gridCol w:w="3092"/>
        <w:gridCol w:w="3093"/>
        <w:gridCol w:w="3096"/>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2"/>
              <w:jc w:val="center"/>
              <w:rPr>
                <w:rFonts w:hint="eastAsia"/>
                <w:sz w:val="40"/>
                <w:szCs w:val="40"/>
              </w:rPr>
            </w:pPr>
            <w:r>
              <w:rPr>
                <w:sz w:val="40"/>
                <w:szCs w:val="40"/>
              </w:rPr>
              <w:t>一般公共预算财政拨款支出决算表</w:t>
            </w:r>
          </w:p>
        </w:tc>
      </w:tr>
      <w:tr>
        <w:tblPrEx>
          <w:tblCellMar>
            <w:top w:w="0" w:type="dxa"/>
            <w:left w:w="0" w:type="dxa"/>
            <w:bottom w:w="0" w:type="dxa"/>
            <w:right w:w="0" w:type="dxa"/>
          </w:tblCellMar>
        </w:tblPrEx>
        <w:trPr>
          <w:tblCellSpacing w:w="0" w:type="dxa"/>
          <w:jc w:val="center"/>
        </w:trPr>
        <w:tc>
          <w:tcPr>
            <w:tcW w:w="141" w:type="pct"/>
            <w:vAlign w:val="center"/>
          </w:tcPr>
          <w:p>
            <w:pPr>
              <w:rPr>
                <w:sz w:val="40"/>
                <w:szCs w:val="40"/>
              </w:rPr>
            </w:pPr>
          </w:p>
        </w:tc>
        <w:tc>
          <w:tcPr>
            <w:tcW w:w="141" w:type="pct"/>
            <w:vAlign w:val="center"/>
          </w:tcPr>
          <w:p>
            <w:pPr>
              <w:rPr>
                <w:rFonts w:ascii="Times New Roman" w:hAnsi="Times New Roman" w:eastAsia="Times New Roman" w:cs="Times New Roman"/>
                <w:kern w:val="0"/>
                <w:sz w:val="20"/>
                <w:szCs w:val="20"/>
              </w:rPr>
            </w:pPr>
          </w:p>
        </w:tc>
        <w:tc>
          <w:tcPr>
            <w:tcW w:w="141" w:type="pct"/>
            <w:vAlign w:val="center"/>
          </w:tcPr>
          <w:p>
            <w:pPr>
              <w:rPr>
                <w:rFonts w:ascii="Times New Roman" w:hAnsi="Times New Roman" w:eastAsia="Times New Roman" w:cs="Times New Roman"/>
                <w:kern w:val="0"/>
                <w:sz w:val="20"/>
                <w:szCs w:val="20"/>
              </w:rPr>
            </w:pPr>
          </w:p>
        </w:tc>
        <w:tc>
          <w:tcPr>
            <w:tcW w:w="1683" w:type="pct"/>
            <w:vAlign w:val="center"/>
          </w:tcPr>
          <w:p>
            <w:pPr>
              <w:rPr>
                <w:rFonts w:ascii="Times New Roman" w:hAnsi="Times New Roman" w:eastAsia="Times New Roman" w:cs="Times New Roman"/>
                <w:kern w:val="0"/>
                <w:sz w:val="20"/>
                <w:szCs w:val="20"/>
              </w:rPr>
            </w:pPr>
          </w:p>
        </w:tc>
        <w:tc>
          <w:tcPr>
            <w:tcW w:w="964" w:type="pct"/>
            <w:vAlign w:val="center"/>
          </w:tcPr>
          <w:p>
            <w:pPr>
              <w:rPr>
                <w:rFonts w:ascii="Times New Roman" w:hAnsi="Times New Roman" w:eastAsia="Times New Roman" w:cs="Times New Roman"/>
                <w:kern w:val="0"/>
                <w:sz w:val="20"/>
                <w:szCs w:val="20"/>
              </w:rPr>
            </w:pPr>
          </w:p>
        </w:tc>
        <w:tc>
          <w:tcPr>
            <w:tcW w:w="1928" w:type="pct"/>
            <w:gridSpan w:val="2"/>
            <w:vAlign w:val="center"/>
          </w:tcPr>
          <w:p>
            <w:pPr>
              <w:pStyle w:val="2"/>
              <w:jc w:val="right"/>
              <w:rPr>
                <w:sz w:val="20"/>
                <w:szCs w:val="20"/>
              </w:rPr>
            </w:pPr>
            <w:r>
              <w:rPr>
                <w:sz w:val="20"/>
                <w:szCs w:val="20"/>
              </w:rPr>
              <w:t>公开05表</w:t>
            </w:r>
          </w:p>
        </w:tc>
      </w:tr>
      <w:tr>
        <w:tblPrEx>
          <w:tblCellMar>
            <w:top w:w="0" w:type="dxa"/>
            <w:left w:w="0" w:type="dxa"/>
            <w:bottom w:w="0" w:type="dxa"/>
            <w:right w:w="0" w:type="dxa"/>
          </w:tblCellMar>
        </w:tblPrEx>
        <w:trPr>
          <w:tblCellSpacing w:w="0" w:type="dxa"/>
          <w:jc w:val="center"/>
        </w:trPr>
        <w:tc>
          <w:tcPr>
            <w:tcW w:w="3071" w:type="pct"/>
            <w:gridSpan w:val="5"/>
            <w:vAlign w:val="center"/>
          </w:tcPr>
          <w:p>
            <w:pPr>
              <w:pStyle w:val="2"/>
              <w:rPr>
                <w:sz w:val="22"/>
                <w:szCs w:val="22"/>
              </w:rPr>
            </w:pPr>
            <w:r>
              <w:rPr>
                <w:sz w:val="22"/>
                <w:szCs w:val="22"/>
              </w:rPr>
              <w:t>部门：永州市冷水滩区住建局</w:t>
            </w:r>
          </w:p>
        </w:tc>
        <w:tc>
          <w:tcPr>
            <w:tcW w:w="1928"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5,269.93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5,117.88</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152.05</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25.22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20103</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政府办公厅（室）及相关机构事务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2010302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20.00</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20104</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发展与改革事务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2010401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5.22</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节能环保支出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21104</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自然生态保护</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2110402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农村环境保护</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94.13</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534.18</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402.13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475.18</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343.13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228.13</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228.13</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2120102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132.05</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2120199</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其他城乡社区管理事务支出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115.00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115.00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21205</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城乡社区环境卫生</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2120501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城乡社区环境卫生</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55.00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21299</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2129999</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其他城乡社区支出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农林水支出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21308</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普惠金融发展支出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2130803</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农业保险保费补贴</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保障性安居工程支出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2210108</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老旧小区改造</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4,565.90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灾害防治及应急管理支出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应急管理事务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2240106</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安全监管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0.50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2"/>
              <w:rPr>
                <w:sz w:val="22"/>
                <w:szCs w:val="22"/>
              </w:rPr>
            </w:pPr>
            <w:r>
              <w:rPr>
                <w:sz w:val="22"/>
                <w:szCs w:val="22"/>
              </w:rPr>
              <w:t>注：本表反映部门本年度一般公共预算财政拨款支出情况。本表金额转换为万元时，因四舍五入可能存在尾数误差。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2"/>
              <w:jc w:val="center"/>
              <w:rPr>
                <w:rFonts w:hint="eastAsia"/>
                <w:sz w:val="40"/>
                <w:szCs w:val="40"/>
              </w:rPr>
            </w:pPr>
            <w:r>
              <w:rPr>
                <w:sz w:val="40"/>
                <w:szCs w:val="40"/>
              </w:rPr>
              <w:t>一般公共预算财政拨款基本支出决算明细表</w:t>
            </w:r>
          </w:p>
        </w:tc>
      </w:tr>
      <w:tr>
        <w:tblPrEx>
          <w:tblCellMar>
            <w:top w:w="0" w:type="dxa"/>
            <w:left w:w="0" w:type="dxa"/>
            <w:bottom w:w="0" w:type="dxa"/>
            <w:right w:w="0" w:type="dxa"/>
          </w:tblCellMar>
        </w:tblPrEx>
        <w:trPr>
          <w:tblCellSpacing w:w="0" w:type="dxa"/>
          <w:jc w:val="center"/>
        </w:trPr>
        <w:tc>
          <w:tcPr>
            <w:tcW w:w="224" w:type="pct"/>
            <w:vAlign w:val="center"/>
          </w:tcPr>
          <w:p>
            <w:pPr>
              <w:rPr>
                <w:sz w:val="40"/>
                <w:szCs w:val="40"/>
              </w:rPr>
            </w:pPr>
          </w:p>
        </w:tc>
        <w:tc>
          <w:tcPr>
            <w:tcW w:w="1053"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829"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1367" w:type="pct"/>
            <w:gridSpan w:val="2"/>
            <w:vAlign w:val="center"/>
          </w:tcPr>
          <w:p>
            <w:pPr>
              <w:pStyle w:val="2"/>
              <w:jc w:val="right"/>
              <w:rPr>
                <w:sz w:val="18"/>
                <w:szCs w:val="18"/>
              </w:rPr>
            </w:pPr>
            <w:r>
              <w:rPr>
                <w:sz w:val="18"/>
                <w:szCs w:val="18"/>
              </w:rPr>
              <w:t>公开06表</w:t>
            </w:r>
          </w:p>
        </w:tc>
      </w:tr>
      <w:tr>
        <w:tblPrEx>
          <w:tblCellMar>
            <w:top w:w="0" w:type="dxa"/>
            <w:left w:w="0" w:type="dxa"/>
            <w:bottom w:w="0" w:type="dxa"/>
            <w:right w:w="0" w:type="dxa"/>
          </w:tblCellMar>
        </w:tblPrEx>
        <w:trPr>
          <w:tblCellSpacing w:w="0" w:type="dxa"/>
          <w:jc w:val="center"/>
        </w:trPr>
        <w:tc>
          <w:tcPr>
            <w:tcW w:w="3632" w:type="pct"/>
            <w:gridSpan w:val="7"/>
            <w:vAlign w:val="center"/>
          </w:tcPr>
          <w:p>
            <w:pPr>
              <w:pStyle w:val="2"/>
              <w:rPr>
                <w:sz w:val="22"/>
                <w:szCs w:val="22"/>
              </w:rPr>
            </w:pPr>
            <w:r>
              <w:rPr>
                <w:sz w:val="22"/>
                <w:szCs w:val="22"/>
              </w:rPr>
              <w:t>部门：永州市冷水滩区住建局</w:t>
            </w:r>
          </w:p>
        </w:tc>
        <w:tc>
          <w:tcPr>
            <w:tcW w:w="1367" w:type="pct"/>
            <w:gridSpan w:val="2"/>
            <w:vAlign w:val="center"/>
          </w:tcPr>
          <w:p>
            <w:pPr>
              <w:pStyle w:val="2"/>
              <w:jc w:val="right"/>
              <w:rPr>
                <w:sz w:val="18"/>
                <w:szCs w:val="18"/>
              </w:rPr>
            </w:pPr>
            <w:r>
              <w:rPr>
                <w:sz w:val="18"/>
                <w:szCs w:val="18"/>
              </w:rPr>
              <w:t>金额单位：万元</w:t>
            </w:r>
          </w:p>
        </w:tc>
      </w:tr>
      <w:tr>
        <w:tblPrEx>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公用经费</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209.84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4,908.04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92.67</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2.94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30701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44.68</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1.82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30702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奖金</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23.49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7.14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21.50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电费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3.00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0.30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11.46</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1.94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5.62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30114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0.22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30199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6.97</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0.10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0.45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31019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30218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31021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31022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30305</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31099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b/>
                <w:bCs/>
                <w:sz w:val="22"/>
                <w:szCs w:val="22"/>
              </w:rPr>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4,884.53</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赠与</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8.00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30229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30231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39999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30239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30399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30240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30299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2"/>
              <w:rPr>
                <w:sz w:val="22"/>
                <w:szCs w:val="22"/>
              </w:rPr>
            </w:pPr>
            <w:r>
              <w:rPr>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1.06</w:t>
            </w:r>
          </w:p>
        </w:tc>
        <w:tc>
          <w:tcPr>
            <w:tcW w:w="22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209.84</w:t>
            </w:r>
          </w:p>
        </w:tc>
        <w:tc>
          <w:tcPr>
            <w:tcW w:w="2645" w:type="pct"/>
            <w:gridSpan w:val="5"/>
            <w:tcBorders>
              <w:top w:val="single" w:color="666666" w:sz="6" w:space="0"/>
              <w:left w:val="single" w:color="666666" w:sz="6" w:space="0"/>
              <w:bottom w:val="single" w:color="666666" w:sz="6" w:space="0"/>
              <w:right w:val="single" w:color="666666" w:sz="6" w:space="0"/>
            </w:tcBorders>
            <w:vAlign w:val="center"/>
          </w:tcPr>
          <w:p>
            <w:pPr>
              <w:pStyle w:val="2"/>
              <w:jc w:val="center"/>
              <w:rPr>
                <w:b/>
                <w:bCs/>
                <w:sz w:val="22"/>
                <w:szCs w:val="22"/>
              </w:rP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2"/>
              <w:jc w:val="right"/>
              <w:rPr>
                <w:b/>
                <w:bCs/>
                <w:sz w:val="22"/>
                <w:szCs w:val="22"/>
              </w:rPr>
            </w:pPr>
            <w:r>
              <w:rPr>
                <w:b/>
                <w:bCs/>
                <w:sz w:val="22"/>
                <w:szCs w:val="22"/>
              </w:rPr>
              <w:t>4,908.04</w:t>
            </w: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2"/>
              <w:rPr>
                <w:sz w:val="22"/>
                <w:szCs w:val="22"/>
              </w:rPr>
            </w:pPr>
            <w:r>
              <w:rPr>
                <w:sz w:val="22"/>
                <w:szCs w:val="22"/>
              </w:rPr>
              <w:t>注：本表反映部门本年度一般公共预算财政拨款基本支出明细情况。本表金额转换为万元时，因四舍五入可能存在尾数误差。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CellMar>
            <w:top w:w="0" w:type="dxa"/>
            <w:left w:w="0" w:type="dxa"/>
            <w:bottom w:w="0" w:type="dxa"/>
            <w:right w:w="0" w:type="dxa"/>
          </w:tblCellMar>
        </w:tblPrEx>
        <w:trPr>
          <w:tblCellSpacing w:w="0" w:type="dxa"/>
          <w:jc w:val="center"/>
        </w:trPr>
        <w:tc>
          <w:tcPr>
            <w:tcW w:w="5000" w:type="pct"/>
            <w:gridSpan w:val="12"/>
            <w:vAlign w:val="center"/>
          </w:tcPr>
          <w:p>
            <w:pPr>
              <w:pStyle w:val="2"/>
              <w:jc w:val="center"/>
              <w:rPr>
                <w:rFonts w:hint="eastAsia"/>
                <w:sz w:val="40"/>
                <w:szCs w:val="40"/>
              </w:rPr>
            </w:pPr>
            <w:r>
              <w:rPr>
                <w:sz w:val="40"/>
                <w:szCs w:val="40"/>
              </w:rPr>
              <w:t>一般公共预算财政拨款“三公”经费支出决算表</w:t>
            </w:r>
          </w:p>
        </w:tc>
      </w:tr>
      <w:tr>
        <w:tblPrEx>
          <w:tblCellMar>
            <w:top w:w="0" w:type="dxa"/>
            <w:left w:w="0" w:type="dxa"/>
            <w:bottom w:w="0" w:type="dxa"/>
            <w:right w:w="0" w:type="dxa"/>
          </w:tblCellMar>
        </w:tblPrEx>
        <w:trPr>
          <w:tblCellSpacing w:w="0" w:type="dxa"/>
          <w:jc w:val="center"/>
        </w:trPr>
        <w:tc>
          <w:tcPr>
            <w:tcW w:w="416" w:type="pct"/>
            <w:vAlign w:val="center"/>
          </w:tcPr>
          <w:p>
            <w:pPr>
              <w:rPr>
                <w:sz w:val="40"/>
                <w:szCs w:val="4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833" w:type="pct"/>
            <w:gridSpan w:val="2"/>
            <w:vAlign w:val="center"/>
          </w:tcPr>
          <w:p>
            <w:pPr>
              <w:pStyle w:val="2"/>
              <w:jc w:val="right"/>
              <w:rPr>
                <w:sz w:val="20"/>
                <w:szCs w:val="20"/>
              </w:rPr>
            </w:pPr>
            <w:r>
              <w:rPr>
                <w:sz w:val="20"/>
                <w:szCs w:val="20"/>
              </w:rPr>
              <w:t>公开07表</w:t>
            </w:r>
          </w:p>
        </w:tc>
      </w:tr>
      <w:tr>
        <w:tblPrEx>
          <w:tblCellMar>
            <w:top w:w="0" w:type="dxa"/>
            <w:left w:w="0" w:type="dxa"/>
            <w:bottom w:w="0" w:type="dxa"/>
            <w:right w:w="0" w:type="dxa"/>
          </w:tblCellMar>
        </w:tblPrEx>
        <w:trPr>
          <w:tblCellSpacing w:w="0" w:type="dxa"/>
          <w:jc w:val="center"/>
        </w:trPr>
        <w:tc>
          <w:tcPr>
            <w:tcW w:w="4166" w:type="pct"/>
            <w:gridSpan w:val="10"/>
            <w:vAlign w:val="center"/>
          </w:tcPr>
          <w:p>
            <w:pPr>
              <w:pStyle w:val="2"/>
              <w:rPr>
                <w:sz w:val="22"/>
                <w:szCs w:val="22"/>
              </w:rPr>
            </w:pPr>
            <w:r>
              <w:rPr>
                <w:sz w:val="22"/>
                <w:szCs w:val="22"/>
              </w:rPr>
              <w:t>部门：永州市冷水滩区住建局</w:t>
            </w:r>
          </w:p>
        </w:tc>
        <w:tc>
          <w:tcPr>
            <w:tcW w:w="833"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决算数</w:t>
            </w:r>
          </w:p>
        </w:tc>
      </w:tr>
      <w:tr>
        <w:tblPrEx>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公务接待费</w:t>
            </w:r>
          </w:p>
        </w:tc>
      </w:tr>
      <w:tr>
        <w:tblPrEx>
          <w:tblCellMar>
            <w:top w:w="0" w:type="dxa"/>
            <w:left w:w="0" w:type="dxa"/>
            <w:bottom w:w="0" w:type="dxa"/>
            <w:right w:w="0" w:type="dxa"/>
          </w:tblCellMar>
        </w:tblPrEx>
        <w:trPr>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7</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8</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9</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12</w:t>
            </w: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1.40</w:t>
            </w:r>
          </w:p>
        </w:tc>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1.40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0.45</w:t>
            </w:r>
          </w:p>
        </w:tc>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2"/>
              <w:jc w:val="right"/>
              <w:rPr>
                <w:sz w:val="22"/>
                <w:szCs w:val="22"/>
              </w:rPr>
            </w:pPr>
            <w:r>
              <w:rPr>
                <w:sz w:val="22"/>
                <w:szCs w:val="22"/>
              </w:rPr>
              <w:t>0.45</w:t>
            </w:r>
          </w:p>
        </w:tc>
      </w:tr>
      <w:tr>
        <w:tblPrEx>
          <w:tblCellMar>
            <w:top w:w="0" w:type="dxa"/>
            <w:left w:w="0" w:type="dxa"/>
            <w:bottom w:w="0" w:type="dxa"/>
            <w:right w:w="0" w:type="dxa"/>
          </w:tblCellMar>
        </w:tblPrEx>
        <w:trPr>
          <w:tblCellSpacing w:w="0" w:type="dxa"/>
          <w:jc w:val="center"/>
        </w:trPr>
        <w:tc>
          <w:tcPr>
            <w:tcW w:w="5000" w:type="pct"/>
            <w:gridSpan w:val="12"/>
            <w:vAlign w:val="center"/>
          </w:tcPr>
          <w:p>
            <w:pPr>
              <w:pStyle w:val="2"/>
              <w:rPr>
                <w:sz w:val="22"/>
                <w:szCs w:val="22"/>
              </w:rPr>
            </w:pPr>
            <w:r>
              <w:rPr>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2"/>
              <w:jc w:val="center"/>
              <w:rPr>
                <w:rFonts w:hint="eastAsia"/>
                <w:sz w:val="40"/>
                <w:szCs w:val="40"/>
              </w:rPr>
            </w:pPr>
            <w:r>
              <w:rPr>
                <w:sz w:val="40"/>
                <w:szCs w:val="40"/>
              </w:rPr>
              <w:t>政府性基金预算财政拨款收入支出决算表</w:t>
            </w:r>
          </w:p>
        </w:tc>
      </w:tr>
      <w:tr>
        <w:tblPrEx>
          <w:tblCellMar>
            <w:top w:w="0" w:type="dxa"/>
            <w:left w:w="0" w:type="dxa"/>
            <w:bottom w:w="0" w:type="dxa"/>
            <w:right w:w="0" w:type="dxa"/>
          </w:tblCellMar>
        </w:tblPrEx>
        <w:trPr>
          <w:tblCellSpacing w:w="0" w:type="dxa"/>
          <w:jc w:val="center"/>
        </w:trPr>
        <w:tc>
          <w:tcPr>
            <w:tcW w:w="104" w:type="pct"/>
            <w:vAlign w:val="center"/>
          </w:tcPr>
          <w:p>
            <w:pPr>
              <w:rPr>
                <w:sz w:val="40"/>
                <w:szCs w:val="40"/>
              </w:rPr>
            </w:pPr>
          </w:p>
        </w:tc>
        <w:tc>
          <w:tcPr>
            <w:tcW w:w="104" w:type="pct"/>
            <w:vAlign w:val="center"/>
          </w:tcPr>
          <w:p>
            <w:pPr>
              <w:rPr>
                <w:rFonts w:ascii="Times New Roman" w:hAnsi="Times New Roman" w:eastAsia="Times New Roman" w:cs="Times New Roman"/>
                <w:kern w:val="0"/>
                <w:sz w:val="20"/>
                <w:szCs w:val="20"/>
              </w:rPr>
            </w:pPr>
          </w:p>
        </w:tc>
        <w:tc>
          <w:tcPr>
            <w:tcW w:w="104" w:type="pct"/>
            <w:vAlign w:val="center"/>
          </w:tcPr>
          <w:p>
            <w:pPr>
              <w:rPr>
                <w:rFonts w:ascii="Times New Roman" w:hAnsi="Times New Roman" w:eastAsia="Times New Roman" w:cs="Times New Roman"/>
                <w:kern w:val="0"/>
                <w:sz w:val="20"/>
                <w:szCs w:val="20"/>
              </w:rPr>
            </w:pPr>
          </w:p>
        </w:tc>
        <w:tc>
          <w:tcPr>
            <w:tcW w:w="1078" w:type="pct"/>
            <w:vAlign w:val="center"/>
          </w:tcPr>
          <w:p>
            <w:pPr>
              <w:rPr>
                <w:rFonts w:ascii="Times New Roman" w:hAnsi="Times New Roman" w:eastAsia="Times New Roman" w:cs="Times New Roman"/>
                <w:kern w:val="0"/>
                <w:sz w:val="20"/>
                <w:szCs w:val="20"/>
              </w:rPr>
            </w:pPr>
          </w:p>
        </w:tc>
        <w:tc>
          <w:tcPr>
            <w:tcW w:w="368" w:type="pct"/>
            <w:vAlign w:val="center"/>
          </w:tcPr>
          <w:p>
            <w:pPr>
              <w:rPr>
                <w:rFonts w:ascii="Times New Roman" w:hAnsi="Times New Roman" w:eastAsia="Times New Roman" w:cs="Times New Roman"/>
                <w:kern w:val="0"/>
                <w:sz w:val="20"/>
                <w:szCs w:val="20"/>
              </w:rPr>
            </w:pPr>
          </w:p>
        </w:tc>
        <w:tc>
          <w:tcPr>
            <w:tcW w:w="614" w:type="pct"/>
            <w:vAlign w:val="center"/>
          </w:tcPr>
          <w:p>
            <w:pPr>
              <w:rPr>
                <w:rFonts w:ascii="Times New Roman" w:hAnsi="Times New Roman" w:eastAsia="Times New Roman" w:cs="Times New Roman"/>
                <w:kern w:val="0"/>
                <w:sz w:val="20"/>
                <w:szCs w:val="20"/>
              </w:rPr>
            </w:pPr>
          </w:p>
        </w:tc>
        <w:tc>
          <w:tcPr>
            <w:tcW w:w="335" w:type="pct"/>
            <w:vAlign w:val="center"/>
          </w:tcPr>
          <w:p>
            <w:pPr>
              <w:rPr>
                <w:rFonts w:ascii="Times New Roman" w:hAnsi="Times New Roman" w:eastAsia="Times New Roman" w:cs="Times New Roman"/>
                <w:kern w:val="0"/>
                <w:sz w:val="20"/>
                <w:szCs w:val="20"/>
              </w:rPr>
            </w:pPr>
          </w:p>
        </w:tc>
        <w:tc>
          <w:tcPr>
            <w:tcW w:w="473" w:type="pct"/>
            <w:vAlign w:val="center"/>
          </w:tcPr>
          <w:p>
            <w:pPr>
              <w:rPr>
                <w:rFonts w:ascii="Times New Roman" w:hAnsi="Times New Roman" w:eastAsia="Times New Roman" w:cs="Times New Roman"/>
                <w:kern w:val="0"/>
                <w:sz w:val="20"/>
                <w:szCs w:val="20"/>
              </w:rPr>
            </w:pPr>
          </w:p>
        </w:tc>
        <w:tc>
          <w:tcPr>
            <w:tcW w:w="1816" w:type="pct"/>
            <w:gridSpan w:val="2"/>
            <w:vAlign w:val="center"/>
          </w:tcPr>
          <w:p>
            <w:pPr>
              <w:pStyle w:val="2"/>
              <w:jc w:val="right"/>
              <w:rPr>
                <w:sz w:val="20"/>
                <w:szCs w:val="20"/>
              </w:rPr>
            </w:pPr>
            <w:r>
              <w:rPr>
                <w:sz w:val="20"/>
                <w:szCs w:val="20"/>
              </w:rPr>
              <w:t>公开08表</w:t>
            </w:r>
          </w:p>
        </w:tc>
      </w:tr>
      <w:tr>
        <w:tblPrEx>
          <w:tblCellMar>
            <w:top w:w="0" w:type="dxa"/>
            <w:left w:w="0" w:type="dxa"/>
            <w:bottom w:w="0" w:type="dxa"/>
            <w:right w:w="0" w:type="dxa"/>
          </w:tblCellMar>
        </w:tblPrEx>
        <w:trPr>
          <w:tblCellSpacing w:w="0" w:type="dxa"/>
          <w:jc w:val="center"/>
        </w:trPr>
        <w:tc>
          <w:tcPr>
            <w:tcW w:w="3183" w:type="pct"/>
            <w:gridSpan w:val="8"/>
            <w:vAlign w:val="center"/>
          </w:tcPr>
          <w:p>
            <w:pPr>
              <w:pStyle w:val="2"/>
              <w:rPr>
                <w:sz w:val="22"/>
                <w:szCs w:val="22"/>
              </w:rPr>
            </w:pPr>
            <w:r>
              <w:rPr>
                <w:sz w:val="22"/>
                <w:szCs w:val="22"/>
              </w:rPr>
              <w:t>部门：永州市冷水滩区住建局</w:t>
            </w:r>
          </w:p>
        </w:tc>
        <w:tc>
          <w:tcPr>
            <w:tcW w:w="1816"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年末结转和结余</w:t>
            </w: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368"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614"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335"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4</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5</w:t>
            </w:r>
          </w:p>
        </w:tc>
        <w:tc>
          <w:tcPr>
            <w:tcW w:w="13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36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2"/>
              <w:rPr>
                <w:sz w:val="22"/>
                <w:szCs w:val="22"/>
              </w:rPr>
            </w:pPr>
            <w:r>
              <w:rPr>
                <w:sz w:val="22"/>
                <w:szCs w:val="22"/>
              </w:rPr>
              <w:t>注：本表反映部门本年度政府性基金预算财政拨款收入、支出及结转和结余情况。本单位没有政府性基金收入，也没有使用政府性基金安排的支出，故本表无数据。</w:t>
            </w:r>
          </w:p>
        </w:tc>
      </w:tr>
    </w:tbl>
    <w:p>
      <w:pPr>
        <w:spacing w:after="2"/>
        <w:jc w:val="center"/>
        <w:rPr>
          <w:color w:val="000000"/>
          <w:szCs w:val="21"/>
        </w:rPr>
      </w:pPr>
    </w:p>
    <w:tbl>
      <w:tblPr>
        <w:tblStyle w:val="3"/>
        <w:tblW w:w="5000" w:type="pct"/>
        <w:jc w:val="center"/>
        <w:tblCellSpacing w:w="0" w:type="dxa"/>
        <w:tblLayout w:type="autofit"/>
        <w:tblCellMar>
          <w:top w:w="0" w:type="dxa"/>
          <w:left w:w="0" w:type="dxa"/>
          <w:bottom w:w="0" w:type="dxa"/>
          <w:right w:w="0" w:type="dxa"/>
        </w:tblCellMar>
      </w:tblPr>
      <w:tblGrid>
        <w:gridCol w:w="529"/>
        <w:gridCol w:w="529"/>
        <w:gridCol w:w="532"/>
        <w:gridCol w:w="6329"/>
        <w:gridCol w:w="2707"/>
        <w:gridCol w:w="2704"/>
        <w:gridCol w:w="2708"/>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2"/>
              <w:jc w:val="center"/>
              <w:rPr>
                <w:rFonts w:hint="eastAsia"/>
                <w:sz w:val="40"/>
                <w:szCs w:val="40"/>
              </w:rPr>
            </w:pPr>
            <w:r>
              <w:rPr>
                <w:sz w:val="40"/>
                <w:szCs w:val="40"/>
              </w:rPr>
              <w:t>国有资本经营预算财政拨款支出决算表</w:t>
            </w:r>
          </w:p>
        </w:tc>
      </w:tr>
      <w:tr>
        <w:trPr>
          <w:tblCellSpacing w:w="0" w:type="dxa"/>
          <w:jc w:val="center"/>
        </w:trPr>
        <w:tc>
          <w:tcPr>
            <w:tcW w:w="165"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1972" w:type="pct"/>
            <w:vAlign w:val="center"/>
          </w:tcPr>
          <w:p>
            <w:pPr>
              <w:rPr>
                <w:rFonts w:ascii="Times New Roman" w:hAnsi="Times New Roman" w:eastAsia="Times New Roman" w:cs="Times New Roman"/>
                <w:kern w:val="0"/>
                <w:sz w:val="20"/>
                <w:szCs w:val="20"/>
              </w:rPr>
            </w:pPr>
          </w:p>
        </w:tc>
        <w:tc>
          <w:tcPr>
            <w:tcW w:w="843" w:type="pct"/>
            <w:vAlign w:val="center"/>
          </w:tcPr>
          <w:p>
            <w:pPr>
              <w:rPr>
                <w:rFonts w:ascii="Times New Roman" w:hAnsi="Times New Roman" w:eastAsia="Times New Roman" w:cs="Times New Roman"/>
                <w:kern w:val="0"/>
                <w:sz w:val="20"/>
                <w:szCs w:val="20"/>
              </w:rPr>
            </w:pPr>
          </w:p>
        </w:tc>
        <w:tc>
          <w:tcPr>
            <w:tcW w:w="1686" w:type="pct"/>
            <w:gridSpan w:val="2"/>
            <w:vAlign w:val="center"/>
          </w:tcPr>
          <w:p>
            <w:pPr>
              <w:pStyle w:val="2"/>
              <w:jc w:val="right"/>
              <w:rPr>
                <w:sz w:val="20"/>
                <w:szCs w:val="20"/>
              </w:rPr>
            </w:pPr>
            <w:r>
              <w:rPr>
                <w:sz w:val="20"/>
                <w:szCs w:val="20"/>
              </w:rPr>
              <w:t>公开09表</w:t>
            </w:r>
          </w:p>
        </w:tc>
      </w:tr>
      <w:tr>
        <w:tblPrEx>
          <w:tblCellMar>
            <w:top w:w="0" w:type="dxa"/>
            <w:left w:w="0" w:type="dxa"/>
            <w:bottom w:w="0" w:type="dxa"/>
            <w:right w:w="0" w:type="dxa"/>
          </w:tblCellMar>
        </w:tblPrEx>
        <w:trPr>
          <w:tblCellSpacing w:w="0" w:type="dxa"/>
          <w:jc w:val="center"/>
        </w:trPr>
        <w:tc>
          <w:tcPr>
            <w:tcW w:w="3313" w:type="pct"/>
            <w:gridSpan w:val="5"/>
            <w:vAlign w:val="center"/>
          </w:tcPr>
          <w:p>
            <w:pPr>
              <w:pStyle w:val="2"/>
              <w:rPr>
                <w:sz w:val="22"/>
                <w:szCs w:val="22"/>
              </w:rPr>
            </w:pPr>
            <w:r>
              <w:rPr>
                <w:sz w:val="22"/>
                <w:szCs w:val="22"/>
              </w:rPr>
              <w:t>部门：永州市冷水滩区住建局</w:t>
            </w:r>
          </w:p>
        </w:tc>
        <w:tc>
          <w:tcPr>
            <w:tcW w:w="1686" w:type="pct"/>
            <w:gridSpan w:val="2"/>
            <w:vAlign w:val="center"/>
          </w:tcPr>
          <w:p>
            <w:pPr>
              <w:pStyle w:val="2"/>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栏次</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1</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2</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3</w:t>
            </w:r>
          </w:p>
        </w:tc>
      </w:tr>
      <w:tr>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2"/>
              <w:jc w:val="center"/>
              <w:rPr>
                <w:sz w:val="22"/>
                <w:szCs w:val="22"/>
              </w:rPr>
            </w:pPr>
            <w:r>
              <w:rPr>
                <w:sz w:val="22"/>
                <w:szCs w:val="22"/>
              </w:rPr>
              <w:t>合计</w:t>
            </w:r>
          </w:p>
        </w:tc>
        <w:tc>
          <w:tcPr>
            <w:tcW w:w="843"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2"/>
              <w:rPr>
                <w:sz w:val="22"/>
                <w:szCs w:val="22"/>
              </w:rPr>
            </w:pPr>
            <w:r>
              <w:rPr>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widowControl/>
        <w:jc w:val="left"/>
        <w:rPr>
          <w:rFonts w:ascii="宋体" w:hAnsi="宋体" w:eastAsia="宋体" w:cs="宋体"/>
          <w:color w:val="000000"/>
          <w:kern w:val="0"/>
          <w:sz w:val="32"/>
          <w:szCs w:val="32"/>
        </w:rPr>
        <w:sectPr>
          <w:pgSz w:w="16838" w:h="11906"/>
          <w:pgMar w:top="1080" w:right="400" w:bottom="1080" w:left="400" w:header="851" w:footer="992" w:gutter="0"/>
          <w:cols w:space="720" w:num="1"/>
          <w:docGrid w:type="lines" w:linePitch="160" w:charSpace="0"/>
        </w:sectPr>
      </w:pPr>
    </w:p>
    <w:p>
      <w:pPr>
        <w:spacing w:after="2"/>
        <w:jc w:val="center"/>
        <w:rPr>
          <w:color w:val="000000"/>
          <w:szCs w:val="21"/>
        </w:rPr>
      </w:pPr>
      <w:r>
        <w:rPr>
          <w:rFonts w:hint="eastAsia" w:ascii="宋体" w:hAnsi="宋体" w:eastAsia="宋体"/>
          <w:b/>
          <w:bCs/>
          <w:color w:val="000000"/>
          <w:sz w:val="36"/>
          <w:szCs w:val="36"/>
        </w:rPr>
        <w:t>第三部分 2021年度部门决算情况说明</w:t>
      </w:r>
      <w:r>
        <w:rPr>
          <w:rFonts w:hint="eastAsia"/>
          <w:color w:val="000000"/>
          <w:szCs w:val="21"/>
        </w:rPr>
        <w:t xml:space="preserve"> </w:t>
      </w:r>
    </w:p>
    <w:p>
      <w:pPr>
        <w:rPr>
          <w:rFonts w:hint="eastAsia"/>
          <w:color w:val="000000"/>
        </w:rPr>
      </w:pPr>
    </w:p>
    <w:p>
      <w:pPr>
        <w:pStyle w:val="8"/>
        <w:spacing w:after="2"/>
        <w:ind w:firstLine="641"/>
        <w:rPr>
          <w:rFonts w:hint="eastAsia"/>
          <w:color w:val="000000"/>
          <w:sz w:val="27"/>
          <w:szCs w:val="27"/>
        </w:rPr>
      </w:pPr>
      <w:r>
        <w:rPr>
          <w:rFonts w:hint="eastAsia" w:ascii="宋体" w:hAnsi="宋体" w:eastAsia="宋体"/>
          <w:b/>
          <w:bCs/>
          <w:color w:val="000000"/>
          <w:sz w:val="32"/>
          <w:szCs w:val="32"/>
        </w:rPr>
        <w:t>一、收入支出决算总体情况说明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2021年度收、支总计5,269.93万元。与上一年度相比，收、支总计各减少14,792.87万元，下降73.73%。主要是因为</w:t>
      </w:r>
      <w:r>
        <w:rPr>
          <w:rStyle w:val="10"/>
          <w:rFonts w:hint="eastAsia" w:ascii="宋体" w:hAnsi="宋体" w:eastAsia="宋体"/>
          <w:color w:val="000000"/>
          <w:sz w:val="32"/>
          <w:szCs w:val="32"/>
        </w:rPr>
        <w:t>廉租房建设及棚户区改造基本完工</w:t>
      </w:r>
      <w:r>
        <w:rPr>
          <w:rFonts w:hint="eastAsia" w:ascii="宋体" w:hAnsi="宋体" w:eastAsia="宋体"/>
          <w:color w:val="000000"/>
          <w:sz w:val="32"/>
          <w:szCs w:val="32"/>
        </w:rPr>
        <w:t>。</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二、收入决算情况说明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2021年度收入合计5,269.93万元，其中：财政拨款收入5,269.93万元，占100%；上级补助收入0万元，占0%；事业收入0万元，占0%；经营收入0万元，占0%；附属单位上缴收入0万元，占0%；其他收入0万元，占0%。</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三、支出决算情况说明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2021年度支出合计5,269.93万元，其中：基本支出5,117.88万元，占97.11%；项目支出152.05万元，占2.89%；上缴上级支出0万元，占0%；经营支出0万元，占0%；对附属单位补助支出0万元，占0%。</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四、财政拨款收入支出决算总体情况说明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2021年度财政拨款收、支总计5,269.93万元。与上一年度相比，财政拨款收、支总计各减少14,792.87万元，下降73.73%。主要是因为</w:t>
      </w:r>
      <w:r>
        <w:rPr>
          <w:rStyle w:val="10"/>
          <w:rFonts w:hint="eastAsia" w:ascii="宋体" w:hAnsi="宋体" w:eastAsia="宋体"/>
          <w:color w:val="000000"/>
          <w:sz w:val="32"/>
          <w:szCs w:val="32"/>
        </w:rPr>
        <w:t>廉租房建设及棚户区改造基本完工</w:t>
      </w:r>
      <w:r>
        <w:rPr>
          <w:rFonts w:hint="eastAsia" w:ascii="宋体" w:hAnsi="宋体" w:eastAsia="宋体"/>
          <w:color w:val="000000"/>
          <w:sz w:val="32"/>
          <w:szCs w:val="32"/>
        </w:rPr>
        <w:t>。</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五、一般公共预算财政拨款支出决算情况说明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（一）财政拨款支出决算总体情况</w:t>
      </w:r>
      <w:r>
        <w:rPr>
          <w:rFonts w:hint="eastAsia"/>
          <w:color w:val="000000"/>
          <w:sz w:val="27"/>
          <w:szCs w:val="27"/>
        </w:rPr>
        <w:t xml:space="preserve"> </w:t>
      </w:r>
    </w:p>
    <w:p>
      <w:pPr>
        <w:pStyle w:val="8"/>
        <w:spacing w:after="2"/>
        <w:ind w:firstLine="855"/>
        <w:rPr>
          <w:rFonts w:hint="eastAsia" w:ascii="宋体" w:hAnsi="宋体" w:eastAsia="宋体"/>
          <w:color w:val="000000"/>
          <w:sz w:val="32"/>
          <w:szCs w:val="32"/>
        </w:rPr>
      </w:pPr>
      <w:r>
        <w:rPr>
          <w:rFonts w:hint="eastAsia" w:ascii="宋体" w:hAnsi="宋体" w:eastAsia="宋体"/>
          <w:color w:val="000000"/>
          <w:sz w:val="32"/>
          <w:szCs w:val="32"/>
        </w:rPr>
        <w:t>2021年度财政拨款支出5,269.93万元，占本年支出合计的100%。与上一年度相比，财政拨款支出减少14,792.87万元，下降73.73%。主要是因为</w:t>
      </w:r>
      <w:r>
        <w:rPr>
          <w:rStyle w:val="10"/>
          <w:rFonts w:hint="eastAsia" w:ascii="宋体" w:hAnsi="宋体" w:eastAsia="宋体"/>
          <w:color w:val="000000"/>
          <w:sz w:val="32"/>
          <w:szCs w:val="32"/>
        </w:rPr>
        <w:t>廉租房建设及棚户区改造基本完工</w:t>
      </w:r>
      <w:r>
        <w:rPr>
          <w:rFonts w:hint="eastAsia" w:ascii="宋体" w:hAnsi="宋体" w:eastAsia="宋体"/>
          <w:color w:val="000000"/>
          <w:sz w:val="32"/>
          <w:szCs w:val="32"/>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（二）财政拨款支出决算结构情况</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财政拨款支出5,269.93万元，主要用于以下方面：一般公共服务支出25.22万元，占0.48%；节能环保支出94.13万元，占1.79%；城乡社区支出534.18万元，占10.14%；农林水支出50万元，占0.95%；住房保障支出4,565.9万元，占86.63%；灾害防治及应急管理支出0.5万元，占0.01%。</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（三）财政拨款支出决算具体情况</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2021年度财政拨款支出年初预算数为241.69万元，支出决算数为5,269.93万元，完成年初预算的2,180.44%，其中：</w:t>
      </w:r>
      <w:r>
        <w:rPr>
          <w:rFonts w:hint="eastAsia"/>
          <w:color w:val="000000"/>
          <w:sz w:val="27"/>
          <w:szCs w:val="27"/>
        </w:rPr>
        <w:t xml:space="preserve"> </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1、一般公共服务支出（类）政府办公厅（室）及相关机构事务（款）一般行政管理事务（项）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年初预算为0万元，支出决算为20万元，超出年初预算的100%。决算数大于年初预算数的主要原因是：</w:t>
      </w:r>
      <w:r>
        <w:rPr>
          <w:rStyle w:val="10"/>
          <w:rFonts w:hint="eastAsia" w:ascii="宋体" w:hAnsi="宋体" w:eastAsia="宋体"/>
          <w:color w:val="000000"/>
          <w:sz w:val="32"/>
          <w:szCs w:val="32"/>
        </w:rPr>
        <w:t>小区综合整治办工作经费增加</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2、一般公共服务支出（类）发展与改革事务（款）行政运行（项）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年初预算为0万元，支出决算为5.22万元，超出年初预算的100%。决算数大于年初预算数的主要原因是：</w:t>
      </w:r>
      <w:r>
        <w:rPr>
          <w:rStyle w:val="10"/>
          <w:rFonts w:hint="eastAsia" w:ascii="宋体" w:hAnsi="宋体" w:eastAsia="宋体"/>
          <w:color w:val="000000"/>
          <w:sz w:val="32"/>
          <w:szCs w:val="32"/>
        </w:rPr>
        <w:t>财政拨入公务员13月考核工资</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3、节能环保支出（类）自然生态保护（款）农村环境保护（项）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年初预算为0万元，支出决算为94.13万元，超出年初预算的100%。决算数大于年初预算数的主要原因是：</w:t>
      </w:r>
      <w:r>
        <w:rPr>
          <w:rStyle w:val="10"/>
          <w:rFonts w:hint="eastAsia" w:ascii="宋体" w:hAnsi="宋体" w:eastAsia="宋体"/>
          <w:color w:val="000000"/>
          <w:sz w:val="32"/>
          <w:szCs w:val="32"/>
        </w:rPr>
        <w:t>财政拨入普利桥小水村污水管网惠民经费</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4、城乡社区支出（类）城乡社区管理事务（款）行政运行（项）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年初预算为228.44万元，支出决算为228.13万元，完成年初预算的99.86%。决算数小于年初预算数的主要原因是：</w:t>
      </w:r>
      <w:r>
        <w:rPr>
          <w:rStyle w:val="10"/>
          <w:rFonts w:hint="eastAsia" w:ascii="宋体" w:hAnsi="宋体" w:eastAsia="宋体"/>
          <w:color w:val="000000"/>
          <w:sz w:val="32"/>
          <w:szCs w:val="32"/>
        </w:rPr>
        <w:t>厉行节约，减少各项费用支出</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5、城乡社区支出（类）城乡社区管理事务（款）一般行政管理事务（项）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年初预算为0万元，支出决算为132.05万元，超出年初预算的100%。决算数大于年初预算数的主要原因是：</w:t>
      </w:r>
      <w:r>
        <w:rPr>
          <w:rStyle w:val="10"/>
          <w:rFonts w:hint="eastAsia" w:ascii="宋体" w:hAnsi="宋体" w:eastAsia="宋体"/>
          <w:color w:val="000000"/>
          <w:sz w:val="32"/>
          <w:szCs w:val="32"/>
        </w:rPr>
        <w:t>冷水滩区规划建设设计院单位部分养老保险费的拨入</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6、城乡社区支出（类）城乡社区管理事务（款）其他城乡社区管理事务支出（项）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年初预算为0万元，支出决算为115万元，超出年初预算的100%。决算数大于年初预算数的主要原因是：</w:t>
      </w:r>
      <w:r>
        <w:rPr>
          <w:rStyle w:val="10"/>
          <w:rFonts w:hint="eastAsia" w:ascii="宋体" w:hAnsi="宋体" w:eastAsia="宋体"/>
          <w:color w:val="000000"/>
          <w:sz w:val="32"/>
          <w:szCs w:val="32"/>
        </w:rPr>
        <w:t>财政拨入施工图审查费等</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7、城乡社区支出（类）城乡社区环境卫生（款）城乡社区环境卫生（项）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年初预算为0万元，支出决算为55万元，超出年初预算的100%。决算数大于年初预算数的主要原因是：</w:t>
      </w:r>
      <w:r>
        <w:rPr>
          <w:rStyle w:val="10"/>
          <w:rFonts w:hint="eastAsia" w:ascii="宋体" w:hAnsi="宋体" w:eastAsia="宋体"/>
          <w:color w:val="000000"/>
          <w:sz w:val="32"/>
          <w:szCs w:val="32"/>
        </w:rPr>
        <w:t>财政拨入文明创建资金</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8、城乡社区支出（类）其他城乡社区支出（款）其他城乡社区支出（项）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年初预算为0万元，支出决算为4万元，超出年初预算的100%。决算数大于年初预算数的主要原因是：</w:t>
      </w:r>
      <w:r>
        <w:rPr>
          <w:rStyle w:val="10"/>
          <w:rFonts w:hint="eastAsia" w:ascii="宋体" w:hAnsi="宋体" w:eastAsia="宋体"/>
          <w:color w:val="000000"/>
          <w:sz w:val="32"/>
          <w:szCs w:val="32"/>
        </w:rPr>
        <w:t>财政拨入小区整治办工作经费</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9、农林水支出（类）普惠金融发展支出（款）农业保险保费补贴（项）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年初预算为0万元，支出决算为50万元，超出年初预算的100%。决算数大于年初预算数的主要原因是：</w:t>
      </w:r>
      <w:r>
        <w:rPr>
          <w:rStyle w:val="10"/>
          <w:rFonts w:hint="eastAsia" w:ascii="宋体" w:hAnsi="宋体" w:eastAsia="宋体"/>
          <w:color w:val="000000"/>
          <w:sz w:val="32"/>
          <w:szCs w:val="32"/>
        </w:rPr>
        <w:t>财政拨入农村房屋保险费</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10、住房保障支出（类）保障性安居工程支出（款）老旧小区改造（项）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年初预算为0万元，支出决算为4,565.9万元，超出年初预算的100%。决算数大于年初预算数的主要原因是：</w:t>
      </w:r>
      <w:r>
        <w:rPr>
          <w:rStyle w:val="10"/>
          <w:rFonts w:hint="eastAsia" w:ascii="宋体" w:hAnsi="宋体" w:eastAsia="宋体"/>
          <w:color w:val="000000"/>
          <w:sz w:val="32"/>
          <w:szCs w:val="32"/>
        </w:rPr>
        <w:t>老旧小区改造资金拨入</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Style w:val="5"/>
          <w:rFonts w:hint="eastAsia" w:ascii="宋体" w:hAnsi="宋体" w:eastAsia="宋体"/>
          <w:color w:val="000000"/>
          <w:sz w:val="32"/>
          <w:szCs w:val="32"/>
        </w:rPr>
        <w:t>11、灾害防治及应急管理支出（类）应急管理事务（款）安全监管（项）</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年初预算为0万元，支出决算为0.5万元，超出年初预算的100%。决算数大于年初预算数的主要原因是：</w:t>
      </w:r>
      <w:r>
        <w:rPr>
          <w:rStyle w:val="10"/>
          <w:rFonts w:hint="eastAsia" w:ascii="宋体" w:hAnsi="宋体" w:eastAsia="宋体"/>
          <w:color w:val="000000"/>
          <w:sz w:val="32"/>
          <w:szCs w:val="32"/>
        </w:rPr>
        <w:t>拨入宋家洲拆迁奖金</w:t>
      </w:r>
      <w:r>
        <w:rPr>
          <w:rFonts w:hint="eastAsia" w:ascii="宋体" w:hAnsi="宋体" w:eastAsia="宋体"/>
          <w:color w:val="000000"/>
          <w:sz w:val="32"/>
          <w:szCs w:val="32"/>
        </w:rPr>
        <w:t>。</w:t>
      </w:r>
    </w:p>
    <w:p>
      <w:pPr>
        <w:pStyle w:val="8"/>
        <w:spacing w:after="2"/>
        <w:ind w:firstLine="641"/>
        <w:rPr>
          <w:rFonts w:hint="eastAsia"/>
          <w:color w:val="000000"/>
          <w:sz w:val="27"/>
          <w:szCs w:val="27"/>
        </w:rPr>
      </w:pPr>
      <w:r>
        <w:rPr>
          <w:rFonts w:hint="eastAsia" w:ascii="宋体" w:hAnsi="宋体" w:eastAsia="宋体"/>
          <w:b/>
          <w:bCs/>
          <w:color w:val="000000"/>
          <w:sz w:val="32"/>
          <w:szCs w:val="32"/>
        </w:rPr>
        <w:t>六、一般公共预算财政拨款基本支出决算情况说明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color w:val="000000"/>
          <w:sz w:val="32"/>
          <w:szCs w:val="32"/>
        </w:rPr>
        <w:t>2021年度财政拨款基本支出5,117.88万元，其中：人员经费209.84万元，占基本支出的4.1%，主要包括：基本工资、津贴补贴、奖金、伙食补助费、机关事业单位基本养老保险缴费、职工基本医疗保险缴费、其他社会保障缴费、其他工资福利支出。公用经费4,908.04万元，占基本支出的95.9%，主要包括：办公费、印刷费、电费、邮电费、差旅费、维修（护）费、培训费、公务接待费、委托业务费、工会经费、其他商品和服务支出。</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七、一般公共预算财政拨款三公经费支出决算情况说明</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（一）“三公”经费财政拨款支出决算总体情况说明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2021年度“三公”经费财政拨款支出预算为1.4万元，支出决算为0.45万元，完成预算的32.14%，其中：</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因公出国（境）费支出预算为0万元，支出决算为0万元，决算数与预算数一致，我单位严格按预算执行决算，因公出国（境）费支出与上年持平。</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公务接待费支出预算为1.4万元，支出决算为0.45万元，完成预算的32.14%，决算数小于预算数的主要原因是</w:t>
      </w:r>
      <w:r>
        <w:rPr>
          <w:rStyle w:val="10"/>
          <w:rFonts w:hint="eastAsia" w:ascii="宋体" w:hAnsi="宋体" w:eastAsia="宋体"/>
          <w:color w:val="000000"/>
          <w:sz w:val="32"/>
          <w:szCs w:val="32"/>
        </w:rPr>
        <w:t>加强廉政建设，减少三公经费支出</w:t>
      </w:r>
      <w:r>
        <w:rPr>
          <w:rFonts w:hint="eastAsia" w:ascii="宋体" w:hAnsi="宋体" w:eastAsia="宋体"/>
          <w:color w:val="000000"/>
          <w:sz w:val="32"/>
          <w:szCs w:val="32"/>
        </w:rPr>
        <w:t xml:space="preserve"> ，公务接待费支出与上年持平。</w:t>
      </w:r>
    </w:p>
    <w:p>
      <w:pPr>
        <w:pStyle w:val="8"/>
        <w:spacing w:after="2"/>
        <w:ind w:firstLine="640"/>
        <w:rPr>
          <w:rFonts w:hint="eastAsia"/>
          <w:color w:val="000000"/>
          <w:sz w:val="27"/>
          <w:szCs w:val="27"/>
        </w:rPr>
      </w:pPr>
      <w:r>
        <w:rPr>
          <w:rFonts w:hint="eastAsia" w:ascii="宋体" w:hAnsi="宋体" w:eastAsia="宋体"/>
          <w:color w:val="000000"/>
          <w:sz w:val="32"/>
          <w:szCs w:val="32"/>
        </w:rPr>
        <w:t>公务用车购置费支出预算为0万元，支出决算为0万元，决算数与预算数一致，我单位严格按预算执行决算，公务用车购置费支出与上年持平。</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公务用车运行维护费支出预算为0万元，支出决算为0万元，决算数与预算数一致，我单位严格按预算执行决算，公务用车运行维护费支出与上年持平。</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（二）“三公”经费财政拨款支出决算具体情况说明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2021年度“三公”经费财政拨款支出决算中，公务接待费支出决算0.45万元，占100%，因公出国（境）费支出决算0万元，占0%，公务用车购置费及运行维护费支出决算0万元，占0%。其中：</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1、因公出国（境）费支出决算为0万元，全年安排因公出国（境）团组0个，累计0人次，我单位2021年度无因公出国（境）费支出。</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2、公务接待费支出决算为0.45万元，全年共接待来访团组8个、来宾59人次，主要是</w:t>
      </w:r>
      <w:r>
        <w:rPr>
          <w:rStyle w:val="10"/>
          <w:rFonts w:hint="eastAsia" w:ascii="宋体" w:hAnsi="宋体" w:eastAsia="宋体"/>
          <w:color w:val="000000"/>
          <w:sz w:val="32"/>
          <w:szCs w:val="32"/>
        </w:rPr>
        <w:t>省级领导检查及调研工作</w:t>
      </w:r>
      <w:r>
        <w:rPr>
          <w:rFonts w:hint="eastAsia" w:ascii="宋体" w:hAnsi="宋体" w:eastAsia="宋体"/>
          <w:color w:val="000000"/>
          <w:sz w:val="32"/>
          <w:szCs w:val="32"/>
        </w:rPr>
        <w:t>发生的接待支出。</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eastAsia"/>
          <w:color w:val="000000"/>
          <w:sz w:val="27"/>
          <w:szCs w:val="27"/>
        </w:rPr>
        <w:t xml:space="preserve"> </w:t>
      </w:r>
    </w:p>
    <w:p>
      <w:pPr>
        <w:pStyle w:val="8"/>
        <w:spacing w:after="2"/>
        <w:ind w:firstLine="641"/>
        <w:rPr>
          <w:rFonts w:hint="eastAsia"/>
          <w:color w:val="000000"/>
          <w:sz w:val="27"/>
          <w:szCs w:val="27"/>
        </w:rPr>
      </w:pPr>
      <w:r>
        <w:rPr>
          <w:rFonts w:hint="eastAsia" w:ascii="宋体" w:hAnsi="宋体" w:eastAsia="宋体"/>
          <w:b/>
          <w:bCs/>
          <w:color w:val="000000"/>
          <w:sz w:val="32"/>
          <w:szCs w:val="32"/>
        </w:rPr>
        <w:t>八、政府性基金预算收入支出决算情况</w:t>
      </w:r>
      <w:r>
        <w:rPr>
          <w:rFonts w:hint="eastAsia"/>
          <w:color w:val="000000"/>
          <w:sz w:val="27"/>
          <w:szCs w:val="27"/>
        </w:rPr>
        <w:t xml:space="preserve"> </w:t>
      </w:r>
    </w:p>
    <w:p>
      <w:pPr>
        <w:pStyle w:val="8"/>
        <w:spacing w:after="2"/>
        <w:ind w:firstLine="641"/>
        <w:rPr>
          <w:rFonts w:hint="eastAsia" w:ascii="宋体" w:hAnsi="宋体" w:eastAsia="宋体"/>
          <w:color w:val="000000"/>
          <w:sz w:val="32"/>
          <w:szCs w:val="32"/>
        </w:rPr>
      </w:pPr>
      <w:r>
        <w:rPr>
          <w:rFonts w:hint="eastAsia" w:ascii="宋体" w:hAnsi="宋体" w:eastAsia="宋体"/>
          <w:color w:val="000000"/>
          <w:sz w:val="32"/>
          <w:szCs w:val="32"/>
        </w:rPr>
        <w:t xml:space="preserve">永州市冷水滩区住房和城乡建设局2021年度没有政府性基金收入，也没有使用政府性基金安排的支出，并已公开空表。 </w:t>
      </w:r>
    </w:p>
    <w:p>
      <w:pPr>
        <w:pStyle w:val="8"/>
        <w:spacing w:after="2"/>
        <w:ind w:firstLine="641"/>
        <w:rPr>
          <w:rFonts w:hint="eastAsia"/>
          <w:color w:val="000000"/>
          <w:sz w:val="27"/>
          <w:szCs w:val="27"/>
        </w:rPr>
      </w:pPr>
      <w:r>
        <w:rPr>
          <w:rFonts w:hint="eastAsia" w:ascii="宋体" w:hAnsi="宋体" w:eastAsia="宋体"/>
          <w:b/>
          <w:bCs/>
          <w:color w:val="000000"/>
          <w:sz w:val="32"/>
          <w:szCs w:val="32"/>
        </w:rPr>
        <w:t>九、关于机关运行经费支出说明</w:t>
      </w:r>
      <w:r>
        <w:rPr>
          <w:rFonts w:hint="eastAsia"/>
          <w:color w:val="000000"/>
          <w:sz w:val="27"/>
          <w:szCs w:val="27"/>
        </w:rPr>
        <w:t xml:space="preserve"> </w:t>
      </w:r>
    </w:p>
    <w:p>
      <w:pPr>
        <w:pStyle w:val="8"/>
        <w:spacing w:after="2"/>
        <w:ind w:firstLine="640"/>
        <w:rPr>
          <w:rFonts w:hint="eastAsia" w:ascii="宋体" w:hAnsi="宋体" w:eastAsia="宋体"/>
          <w:color w:val="000000"/>
          <w:sz w:val="32"/>
          <w:szCs w:val="32"/>
        </w:rPr>
      </w:pPr>
      <w:r>
        <w:rPr>
          <w:rFonts w:hint="eastAsia" w:ascii="宋体" w:hAnsi="宋体" w:eastAsia="宋体"/>
          <w:color w:val="000000"/>
          <w:sz w:val="32"/>
          <w:szCs w:val="32"/>
        </w:rPr>
        <w:t>永州市冷水滩区住房和城乡建设局2021年度机关运行经费支出4,908.04万元，比年初预算数增加4,881.86万元，增长18,648%。主要原因是：</w:t>
      </w:r>
      <w:r>
        <w:rPr>
          <w:rStyle w:val="10"/>
          <w:rFonts w:hint="eastAsia" w:ascii="宋体" w:hAnsi="宋体" w:eastAsia="宋体"/>
          <w:color w:val="000000"/>
          <w:sz w:val="32"/>
          <w:szCs w:val="32"/>
        </w:rPr>
        <w:t>老旧小区改造资金投入的增加</w:t>
      </w:r>
      <w:r>
        <w:rPr>
          <w:rFonts w:hint="eastAsia" w:ascii="宋体" w:hAnsi="宋体" w:eastAsia="宋体"/>
          <w:color w:val="000000"/>
          <w:sz w:val="32"/>
          <w:szCs w:val="32"/>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十、一般性支出情况</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2021年度永州市冷水滩区住房和城乡建设局开支会议费0万元，我单位2021年度无会议费支出；开支培训费0.1万元，</w:t>
      </w:r>
      <w:r>
        <w:rPr>
          <w:rStyle w:val="10"/>
          <w:rFonts w:hint="eastAsia" w:ascii="宋体" w:hAnsi="宋体" w:eastAsia="宋体"/>
          <w:color w:val="000000"/>
          <w:sz w:val="32"/>
          <w:szCs w:val="32"/>
        </w:rPr>
        <w:t>用于职工参加省级培训学习</w:t>
      </w:r>
      <w:r>
        <w:rPr>
          <w:rFonts w:hint="eastAsia" w:ascii="宋体" w:hAnsi="宋体" w:eastAsia="宋体"/>
          <w:color w:val="000000"/>
          <w:sz w:val="32"/>
          <w:szCs w:val="32"/>
        </w:rPr>
        <w:t>；举办</w:t>
      </w:r>
      <w:r>
        <w:rPr>
          <w:rStyle w:val="10"/>
          <w:rFonts w:hint="eastAsia" w:ascii="宋体" w:hAnsi="宋体" w:eastAsia="宋体"/>
          <w:color w:val="000000"/>
          <w:sz w:val="32"/>
          <w:szCs w:val="32"/>
        </w:rPr>
        <w:t>0</w:t>
      </w:r>
      <w:r>
        <w:rPr>
          <w:rFonts w:hint="eastAsia" w:ascii="宋体" w:hAnsi="宋体" w:eastAsia="宋体"/>
          <w:color w:val="000000"/>
          <w:sz w:val="32"/>
          <w:szCs w:val="32"/>
        </w:rPr>
        <w:t>场节庆、晚会、论坛、赛事活动，开支</w:t>
      </w:r>
      <w:r>
        <w:rPr>
          <w:rStyle w:val="10"/>
          <w:rFonts w:hint="eastAsia" w:ascii="宋体" w:hAnsi="宋体" w:eastAsia="宋体"/>
          <w:color w:val="000000"/>
          <w:sz w:val="32"/>
          <w:szCs w:val="32"/>
        </w:rPr>
        <w:t>0</w:t>
      </w:r>
      <w:r>
        <w:rPr>
          <w:rFonts w:hint="eastAsia" w:ascii="宋体" w:hAnsi="宋体" w:eastAsia="宋体"/>
          <w:color w:val="000000"/>
          <w:sz w:val="32"/>
          <w:szCs w:val="32"/>
        </w:rPr>
        <w:t>万元，</w:t>
      </w:r>
      <w:r>
        <w:rPr>
          <w:rStyle w:val="10"/>
          <w:rFonts w:hint="eastAsia" w:ascii="宋体" w:hAnsi="宋体" w:eastAsia="宋体"/>
          <w:color w:val="000000"/>
          <w:sz w:val="32"/>
          <w:szCs w:val="32"/>
        </w:rPr>
        <w:t>本单位本年度无相关活动计划</w:t>
      </w:r>
      <w:r>
        <w:rPr>
          <w:rFonts w:hint="eastAsia" w:ascii="宋体" w:hAnsi="宋体" w:eastAsia="宋体"/>
          <w:color w:val="000000"/>
          <w:sz w:val="32"/>
          <w:szCs w:val="32"/>
        </w:rPr>
        <w:t>。</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十一、关于政府采购支出说明</w:t>
      </w:r>
      <w:r>
        <w:rPr>
          <w:rFonts w:hint="eastAsia"/>
          <w:color w:val="000000"/>
          <w:sz w:val="27"/>
          <w:szCs w:val="27"/>
        </w:rPr>
        <w:t xml:space="preserve"> </w:t>
      </w:r>
    </w:p>
    <w:p>
      <w:pPr>
        <w:pStyle w:val="8"/>
        <w:spacing w:after="2"/>
        <w:ind w:firstLine="853"/>
        <w:rPr>
          <w:rFonts w:hint="eastAsia" w:ascii="宋体" w:hAnsi="宋体" w:eastAsia="宋体"/>
          <w:color w:val="000000"/>
          <w:sz w:val="32"/>
          <w:szCs w:val="32"/>
        </w:rPr>
      </w:pPr>
      <w:r>
        <w:rPr>
          <w:rFonts w:hint="eastAsia" w:ascii="宋体" w:hAnsi="宋体" w:eastAsia="宋体"/>
          <w:color w:val="000000"/>
          <w:sz w:val="32"/>
          <w:szCs w:val="32"/>
        </w:rPr>
        <w:t>永州市冷水滩区住房和城乡建设局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w:t>
      </w:r>
      <w:r>
        <w:rPr>
          <w:rStyle w:val="10"/>
          <w:rFonts w:hint="eastAsia" w:ascii="宋体" w:hAnsi="宋体" w:eastAsia="宋体"/>
          <w:color w:val="000000"/>
          <w:sz w:val="32"/>
          <w:szCs w:val="32"/>
        </w:rPr>
        <w:t>0</w:t>
      </w:r>
      <w:r>
        <w:rPr>
          <w:rFonts w:hint="eastAsia" w:ascii="宋体" w:hAnsi="宋体" w:eastAsia="宋体"/>
          <w:color w:val="000000"/>
          <w:sz w:val="32"/>
          <w:szCs w:val="32"/>
        </w:rPr>
        <w:t>%，工程采购授予中小企业合同金额占工程支出金额的</w:t>
      </w:r>
      <w:r>
        <w:rPr>
          <w:rStyle w:val="10"/>
          <w:rFonts w:hint="eastAsia" w:ascii="宋体" w:hAnsi="宋体" w:eastAsia="宋体"/>
          <w:color w:val="000000"/>
          <w:sz w:val="32"/>
          <w:szCs w:val="32"/>
        </w:rPr>
        <w:t>0</w:t>
      </w:r>
      <w:r>
        <w:rPr>
          <w:rFonts w:hint="eastAsia" w:ascii="宋体" w:hAnsi="宋体" w:eastAsia="宋体"/>
          <w:color w:val="000000"/>
          <w:sz w:val="32"/>
          <w:szCs w:val="32"/>
        </w:rPr>
        <w:t>%，服务采购授予中小企业合同金额占服务支出金额的</w:t>
      </w:r>
      <w:r>
        <w:rPr>
          <w:rStyle w:val="10"/>
          <w:rFonts w:hint="eastAsia" w:ascii="宋体" w:hAnsi="宋体" w:eastAsia="宋体"/>
          <w:color w:val="000000"/>
          <w:sz w:val="32"/>
          <w:szCs w:val="32"/>
        </w:rPr>
        <w:t>0</w:t>
      </w:r>
      <w:r>
        <w:rPr>
          <w:rFonts w:hint="eastAsia" w:ascii="宋体" w:hAnsi="宋体" w:eastAsia="宋体"/>
          <w:color w:val="000000"/>
          <w:sz w:val="32"/>
          <w:szCs w:val="32"/>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十二、关于国有资产占用情况说明</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color w:val="000000"/>
          <w:sz w:val="32"/>
          <w:szCs w:val="32"/>
        </w:rPr>
        <w:t>截至2021年12月31日，永州市冷水滩区住房和城乡建设局共有车辆0辆（台），其中：机要通信用车0辆、应急保障用车0辆、执法执勤用车0辆、特种专业技术用车0辆、其他用车0辆；单价50万元（含）以上通用设备0台（套），单价100万元（含）以上专用设备0台（套）。</w:t>
      </w:r>
      <w:r>
        <w:rPr>
          <w:rFonts w:hint="eastAsia"/>
          <w:color w:val="000000"/>
          <w:sz w:val="27"/>
          <w:szCs w:val="27"/>
        </w:rPr>
        <w:t xml:space="preserve"> </w:t>
      </w:r>
    </w:p>
    <w:p>
      <w:pPr>
        <w:pStyle w:val="8"/>
        <w:spacing w:after="2"/>
        <w:ind w:firstLine="640"/>
        <w:rPr>
          <w:rFonts w:hint="eastAsia"/>
          <w:color w:val="000000"/>
          <w:sz w:val="27"/>
          <w:szCs w:val="27"/>
        </w:rPr>
      </w:pPr>
      <w:r>
        <w:rPr>
          <w:rFonts w:hint="eastAsia" w:ascii="宋体" w:hAnsi="宋体" w:eastAsia="宋体"/>
          <w:b/>
          <w:bCs/>
          <w:color w:val="000000"/>
          <w:sz w:val="32"/>
          <w:szCs w:val="32"/>
        </w:rPr>
        <w:t>十三、关于2021年度预算绩效情况说明</w:t>
      </w:r>
      <w:r>
        <w:rPr>
          <w:rFonts w:hint="eastAsia"/>
          <w:color w:val="000000"/>
          <w:sz w:val="27"/>
          <w:szCs w:val="27"/>
        </w:rPr>
        <w:t xml:space="preserve"> </w:t>
      </w:r>
    </w:p>
    <w:p>
      <w:pPr>
        <w:pStyle w:val="8"/>
        <w:spacing w:after="2"/>
        <w:ind w:firstLine="640"/>
        <w:rPr>
          <w:rFonts w:hint="eastAsia"/>
          <w:color w:val="000000"/>
          <w:sz w:val="27"/>
          <w:szCs w:val="27"/>
        </w:rPr>
      </w:pPr>
      <w:r>
        <w:rPr>
          <w:rStyle w:val="5"/>
          <w:rFonts w:hint="eastAsia" w:ascii="宋体" w:hAnsi="宋体" w:eastAsia="宋体"/>
          <w:color w:val="000000"/>
          <w:sz w:val="36"/>
          <w:szCs w:val="36"/>
        </w:rPr>
        <w:t>（1）绩效管理评价工作开展情况。</w:t>
      </w:r>
    </w:p>
    <w:p>
      <w:pPr>
        <w:pStyle w:val="8"/>
        <w:spacing w:after="2"/>
        <w:ind w:firstLine="640" w:firstLineChars="200"/>
        <w:rPr>
          <w:rFonts w:ascii="宋体" w:hAnsi="宋体" w:eastAsia="宋体"/>
          <w:color w:val="000000"/>
          <w:sz w:val="32"/>
          <w:szCs w:val="32"/>
        </w:rPr>
      </w:pPr>
      <w:r>
        <w:rPr>
          <w:rStyle w:val="10"/>
          <w:rFonts w:hint="eastAsia" w:ascii="宋体" w:hAnsi="宋体" w:eastAsia="宋体"/>
          <w:color w:val="000000"/>
          <w:sz w:val="32"/>
          <w:szCs w:val="32"/>
        </w:rPr>
        <w:t>㈠、保证单位经费运转，完成人员工资福利发放。</w:t>
      </w:r>
    </w:p>
    <w:p>
      <w:pPr>
        <w:pStyle w:val="8"/>
        <w:spacing w:after="2"/>
        <w:ind w:firstLine="640" w:firstLineChars="200"/>
        <w:rPr>
          <w:rFonts w:hint="eastAsia" w:ascii="宋体" w:hAnsi="宋体" w:eastAsia="宋体"/>
          <w:color w:val="000000"/>
          <w:sz w:val="32"/>
          <w:szCs w:val="32"/>
        </w:rPr>
      </w:pPr>
      <w:r>
        <w:rPr>
          <w:rStyle w:val="10"/>
          <w:rFonts w:hint="eastAsia" w:ascii="宋体" w:hAnsi="宋体" w:eastAsia="宋体"/>
          <w:color w:val="000000"/>
          <w:sz w:val="32"/>
          <w:szCs w:val="32"/>
        </w:rPr>
        <w:t>㈡、行业管理方面：1、工程项目监管规范有序。一是工程质量安全生产监管得到加强，二是深入开展建筑行业扬尘治理；2、招投标工作日益规范；3、行政审批优质高效；4、认真开展双随机、一公开检查工作；5、物业管理工作成效显著。村镇建设方面：1、房屋普查工作全面铺开；2、乡镇污水处理设施建设完成既定任务。民生实事方面：1、农村住房管理工作完成良好；2、保障性住房建设稳步进行；3、既有住宅加装电梯工作提速行动；4、老旧小区改造持续推进，2021年计划任务52个老旧小区，392栋，10.6万平方米，总投资4800万元，将惠及6861户居民，人口18214人。截至目前</w:t>
      </w:r>
      <w:bookmarkStart w:id="0" w:name="_GoBack"/>
      <w:bookmarkEnd w:id="0"/>
      <w:r>
        <w:rPr>
          <w:rStyle w:val="10"/>
          <w:rFonts w:hint="eastAsia" w:ascii="宋体" w:hAnsi="宋体" w:eastAsia="宋体"/>
          <w:color w:val="000000"/>
          <w:sz w:val="32"/>
          <w:szCs w:val="32"/>
        </w:rPr>
        <w:t>，开工进度100%并根据规划建立冷水滩区老旧小区2020-2022年改造项目库，实行动态管理。</w:t>
      </w:r>
      <w:r>
        <w:rPr>
          <w:rFonts w:hint="eastAsia" w:ascii="宋体" w:hAnsi="宋体" w:eastAsia="宋体"/>
          <w:color w:val="000000"/>
          <w:sz w:val="32"/>
          <w:szCs w:val="32"/>
        </w:rPr>
        <w:t> </w:t>
      </w:r>
      <w:r>
        <w:rPr>
          <w:rFonts w:hint="eastAsia"/>
          <w:color w:val="000000"/>
          <w:sz w:val="27"/>
          <w:szCs w:val="27"/>
        </w:rPr>
        <w:t xml:space="preserve"> </w:t>
      </w:r>
    </w:p>
    <w:p>
      <w:pPr>
        <w:pStyle w:val="8"/>
        <w:spacing w:after="2"/>
        <w:ind w:firstLine="640"/>
        <w:rPr>
          <w:rFonts w:hint="eastAsia"/>
          <w:color w:val="000000"/>
          <w:sz w:val="27"/>
          <w:szCs w:val="27"/>
        </w:rPr>
      </w:pPr>
      <w:r>
        <w:rPr>
          <w:rStyle w:val="5"/>
          <w:rFonts w:hint="eastAsia" w:ascii="宋体" w:hAnsi="宋体" w:eastAsia="宋体"/>
          <w:color w:val="000000"/>
          <w:sz w:val="36"/>
          <w:szCs w:val="36"/>
        </w:rPr>
        <w:t>（2）部门决算中项目绩效自评结果（如有）。</w:t>
      </w:r>
      <w:r>
        <w:rPr>
          <w:rFonts w:hint="eastAsia"/>
          <w:color w:val="000000"/>
          <w:sz w:val="27"/>
          <w:szCs w:val="27"/>
        </w:rPr>
        <w:t xml:space="preserve"> </w:t>
      </w:r>
    </w:p>
    <w:p>
      <w:pPr>
        <w:pStyle w:val="8"/>
        <w:spacing w:after="2"/>
        <w:ind w:firstLine="640"/>
        <w:rPr>
          <w:rFonts w:hint="eastAsia"/>
          <w:color w:val="000000"/>
          <w:sz w:val="27"/>
          <w:szCs w:val="27"/>
        </w:rPr>
      </w:pPr>
      <w:r>
        <w:rPr>
          <w:rStyle w:val="10"/>
          <w:rFonts w:hint="eastAsia" w:ascii="宋体" w:hAnsi="宋体" w:eastAsia="宋体"/>
          <w:color w:val="000000"/>
          <w:sz w:val="32"/>
          <w:szCs w:val="32"/>
        </w:rPr>
        <w:t>2021年项目支出总额152.05万元，主要是为设计院职工购买单位部分养老保险费等。</w:t>
      </w:r>
      <w:r>
        <w:rPr>
          <w:rFonts w:hint="eastAsia"/>
          <w:color w:val="000000"/>
          <w:sz w:val="27"/>
          <w:szCs w:val="27"/>
        </w:rPr>
        <w:t xml:space="preserve"> </w:t>
      </w:r>
    </w:p>
    <w:p>
      <w:pPr>
        <w:pStyle w:val="8"/>
        <w:spacing w:after="2"/>
        <w:ind w:firstLine="640"/>
        <w:rPr>
          <w:rFonts w:hint="eastAsia"/>
          <w:color w:val="000000"/>
          <w:sz w:val="27"/>
          <w:szCs w:val="27"/>
        </w:rPr>
      </w:pPr>
      <w:r>
        <w:rPr>
          <w:rStyle w:val="5"/>
          <w:rFonts w:hint="eastAsia" w:ascii="宋体" w:hAnsi="宋体" w:eastAsia="宋体"/>
          <w:color w:val="000000"/>
          <w:sz w:val="36"/>
          <w:szCs w:val="36"/>
        </w:rPr>
        <w:t>（3）部门评价项目绩效评价结果。</w:t>
      </w:r>
    </w:p>
    <w:p>
      <w:pPr>
        <w:pStyle w:val="8"/>
        <w:spacing w:after="2"/>
        <w:ind w:firstLine="640"/>
        <w:rPr>
          <w:rFonts w:hint="eastAsia"/>
          <w:color w:val="000000"/>
          <w:sz w:val="27"/>
          <w:szCs w:val="27"/>
        </w:rPr>
      </w:pPr>
      <w:r>
        <w:rPr>
          <w:rFonts w:hint="eastAsia" w:ascii="宋体" w:hAnsi="宋体" w:eastAsia="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eastAsia"/>
          <w:color w:val="000000"/>
          <w:sz w:val="27"/>
          <w:szCs w:val="27"/>
        </w:rPr>
        <w:t xml:space="preserve"> </w:t>
      </w:r>
    </w:p>
    <w:p>
      <w:pPr>
        <w:pStyle w:val="2"/>
        <w:spacing w:before="0" w:beforeAutospacing="0" w:after="2" w:afterAutospacing="0"/>
        <w:ind w:firstLine="853"/>
        <w:rPr>
          <w:rFonts w:hint="eastAsia"/>
          <w:color w:val="000000"/>
          <w:sz w:val="32"/>
          <w:szCs w:val="32"/>
        </w:rPr>
      </w:pPr>
    </w:p>
    <w:p>
      <w:pPr>
        <w:pStyle w:val="2"/>
        <w:spacing w:before="0" w:beforeAutospacing="0" w:after="2" w:afterAutospacing="0"/>
        <w:ind w:firstLine="853"/>
        <w:rPr>
          <w:rFonts w:hint="eastAsia"/>
          <w:color w:val="000000"/>
          <w:sz w:val="32"/>
          <w:szCs w:val="32"/>
        </w:rPr>
      </w:pPr>
    </w:p>
    <w:p>
      <w:pPr>
        <w:pStyle w:val="2"/>
        <w:spacing w:before="0" w:beforeAutospacing="0" w:after="2" w:afterAutospacing="0"/>
        <w:ind w:firstLine="853"/>
        <w:rPr>
          <w:rFonts w:hint="eastAsia"/>
          <w:color w:val="000000"/>
          <w:sz w:val="32"/>
          <w:szCs w:val="32"/>
        </w:rPr>
      </w:pPr>
    </w:p>
    <w:p>
      <w:pPr>
        <w:ind w:firstLine="853"/>
        <w:rPr>
          <w:rFonts w:hint="eastAsia"/>
          <w:color w:val="000000"/>
        </w:rPr>
      </w:pPr>
    </w:p>
    <w:p>
      <w:pPr>
        <w:spacing w:after="2"/>
        <w:ind w:firstLine="853"/>
        <w:jc w:val="center"/>
        <w:rPr>
          <w:rFonts w:hint="eastAsia"/>
          <w:color w:val="000000"/>
          <w:szCs w:val="21"/>
        </w:rPr>
      </w:pPr>
      <w:r>
        <w:rPr>
          <w:rFonts w:hint="eastAsia" w:ascii="宋体" w:hAnsi="宋体" w:eastAsia="宋体"/>
          <w:b/>
          <w:bCs/>
          <w:color w:val="000000"/>
          <w:sz w:val="36"/>
          <w:szCs w:val="36"/>
        </w:rPr>
        <w:t>第四部分 名词解释</w:t>
      </w:r>
      <w:r>
        <w:rPr>
          <w:rFonts w:hint="eastAsia"/>
          <w:color w:val="000000"/>
          <w:szCs w:val="21"/>
        </w:rPr>
        <w:t xml:space="preserve"> </w:t>
      </w:r>
    </w:p>
    <w:p>
      <w:pPr>
        <w:spacing w:after="2" w:line="336" w:lineRule="atLeast"/>
        <w:ind w:firstLine="643"/>
        <w:rPr>
          <w:rFonts w:hint="eastAsia" w:ascii="Calibri" w:hAnsi="Calibri" w:cs="Calibri"/>
          <w:color w:val="000000"/>
          <w:szCs w:val="21"/>
        </w:rPr>
      </w:pPr>
      <w:r>
        <w:rPr>
          <w:rFonts w:hint="eastAsia" w:ascii="宋体" w:hAnsi="宋体" w:eastAsia="宋体" w:cs="Calibri"/>
          <w:b/>
          <w:bCs/>
          <w:color w:val="000000"/>
          <w:sz w:val="32"/>
          <w:szCs w:val="32"/>
        </w:rPr>
        <w:t>财政拨款收入</w:t>
      </w:r>
      <w:r>
        <w:rPr>
          <w:rFonts w:hint="eastAsia" w:ascii="宋体" w:hAnsi="宋体" w:eastAsia="宋体" w:cs="Calibri"/>
          <w:color w:val="000000"/>
          <w:sz w:val="32"/>
          <w:szCs w:val="32"/>
        </w:rPr>
        <w:t>：指财政当年拨付的资金。包括一般公共预算财政拨款和政府性基金财政拨款。</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上级补助收入</w:t>
      </w:r>
      <w:r>
        <w:rPr>
          <w:rFonts w:hint="eastAsia" w:ascii="宋体" w:hAnsi="宋体" w:eastAsia="宋体" w:cs="Calibri"/>
          <w:color w:val="000000"/>
          <w:sz w:val="32"/>
          <w:szCs w:val="32"/>
        </w:rPr>
        <w:t>：指事业单位从主管部门和上级单位取得的非财政补助收入。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事业收入：</w:t>
      </w:r>
      <w:r>
        <w:rPr>
          <w:rFonts w:hint="eastAsia" w:ascii="宋体" w:hAnsi="宋体" w:eastAsia="宋体" w:cs="Calibri"/>
          <w:color w:val="000000"/>
          <w:sz w:val="32"/>
          <w:szCs w:val="32"/>
        </w:rPr>
        <w:t>指事业单位开展专业业务活动及辅助活动所取得的收入。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经营收入：</w:t>
      </w:r>
      <w:r>
        <w:rPr>
          <w:rFonts w:hint="eastAsia" w:ascii="宋体" w:hAnsi="宋体" w:eastAsia="宋体" w:cs="Calibri"/>
          <w:color w:val="000000"/>
          <w:sz w:val="32"/>
          <w:szCs w:val="32"/>
        </w:rPr>
        <w:t>指事业单位在专业业务活动及其辅助活动之外开展非独立核算经营活动取得的收入。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附属单位上缴收入</w:t>
      </w:r>
      <w:r>
        <w:rPr>
          <w:rFonts w:hint="eastAsia" w:ascii="宋体" w:hAnsi="宋体" w:eastAsia="宋体" w:cs="Calibri"/>
          <w:color w:val="000000"/>
          <w:sz w:val="32"/>
          <w:szCs w:val="32"/>
        </w:rPr>
        <w:t>：指事业单位附属独立核算单位按照有关规定上缴的收入。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其他收入</w:t>
      </w:r>
      <w:r>
        <w:rPr>
          <w:rFonts w:hint="eastAsia" w:ascii="宋体" w:hAnsi="宋体" w:eastAsia="宋体" w:cs="Calibri"/>
          <w:color w:val="000000"/>
          <w:sz w:val="32"/>
          <w:szCs w:val="32"/>
        </w:rPr>
        <w:t>：指除上述“财政拨款收入”、“事业收入”、“经营收入”等以外的收入。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用事业基金弥补收支差额</w:t>
      </w:r>
      <w:r>
        <w:rPr>
          <w:rFonts w:hint="eastAsia" w:ascii="宋体" w:hAnsi="宋体" w:eastAsia="宋体" w:cs="Calibri"/>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年初结转和结余</w:t>
      </w:r>
      <w:r>
        <w:rPr>
          <w:rFonts w:hint="eastAsia" w:ascii="宋体" w:hAnsi="宋体" w:eastAsia="宋体" w:cs="Calibri"/>
          <w:color w:val="000000"/>
          <w:sz w:val="32"/>
          <w:szCs w:val="32"/>
        </w:rPr>
        <w:t>：指以前年度尚未完成、结转到本年按有关规定继续使用的资金。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结余分配</w:t>
      </w:r>
      <w:r>
        <w:rPr>
          <w:rFonts w:hint="eastAsia" w:ascii="宋体" w:hAnsi="宋体" w:eastAsia="宋体" w:cs="Calibri"/>
          <w:color w:val="000000"/>
          <w:sz w:val="32"/>
          <w:szCs w:val="32"/>
        </w:rPr>
        <w:t>：指事业事位按规定从非财政补助结余中分配的事业基金和职工福利基金等。</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年末结转和结余</w:t>
      </w:r>
      <w:r>
        <w:rPr>
          <w:rFonts w:hint="eastAsia" w:ascii="宋体" w:hAnsi="宋体" w:eastAsia="宋体" w:cs="Calibri"/>
          <w:color w:val="000000"/>
          <w:sz w:val="32"/>
          <w:szCs w:val="32"/>
        </w:rPr>
        <w:t>：指本年度或以前年度预算安排、因客观条件发生变化无法按原计划实施，需要延迟到以后年度按有关规定继续使用的资金。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基本支出</w:t>
      </w:r>
      <w:r>
        <w:rPr>
          <w:rFonts w:hint="eastAsia" w:ascii="宋体" w:hAnsi="宋体" w:eastAsia="宋体" w:cs="Calibri"/>
          <w:color w:val="000000"/>
          <w:sz w:val="32"/>
          <w:szCs w:val="32"/>
        </w:rPr>
        <w:t>：指为保障机构正常运转、完成日常工作任务而发生的人员支出和公用支出。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项目支出</w:t>
      </w:r>
      <w:r>
        <w:rPr>
          <w:rFonts w:hint="eastAsia" w:ascii="宋体" w:hAnsi="宋体" w:eastAsia="宋体" w:cs="Calibri"/>
          <w:color w:val="000000"/>
          <w:sz w:val="32"/>
          <w:szCs w:val="32"/>
        </w:rPr>
        <w:t>：指在基本支出之外为完成特定行政任务和事业发展目标所发生的支出。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经营支出</w:t>
      </w:r>
      <w:r>
        <w:rPr>
          <w:rFonts w:hint="eastAsia" w:ascii="宋体" w:hAnsi="宋体" w:eastAsia="宋体" w:cs="Calibri"/>
          <w:color w:val="000000"/>
          <w:sz w:val="32"/>
          <w:szCs w:val="32"/>
        </w:rPr>
        <w:t>：指事业单位在专业业务活动及其辅助活动之外开展非独立核算经营活动所发生的支出。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“三公”经费</w:t>
      </w:r>
      <w:r>
        <w:rPr>
          <w:rFonts w:hint="eastAsia" w:ascii="宋体" w:hAnsi="宋体" w:eastAsia="宋体" w:cs="Calibri"/>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机关运行经费</w:t>
      </w:r>
      <w:r>
        <w:rPr>
          <w:rFonts w:hint="eastAsia" w:ascii="宋体" w:hAnsi="宋体" w:eastAsia="宋体" w:cs="Calibri"/>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p>
    <w:p>
      <w:pPr>
        <w:spacing w:after="2"/>
        <w:ind w:firstLine="853"/>
        <w:jc w:val="center"/>
        <w:rPr>
          <w:color w:val="000000"/>
          <w:szCs w:val="21"/>
        </w:rPr>
      </w:pPr>
      <w:r>
        <w:rPr>
          <w:rFonts w:hint="eastAsia" w:ascii="宋体" w:hAnsi="宋体" w:eastAsia="宋体"/>
          <w:b/>
          <w:bCs/>
          <w:color w:val="000000"/>
          <w:sz w:val="36"/>
          <w:szCs w:val="36"/>
        </w:rPr>
        <w:t>第五部分 附件</w:t>
      </w:r>
      <w:r>
        <w:rPr>
          <w:rFonts w:hint="eastAsia"/>
          <w:color w:val="000000"/>
          <w:szCs w:val="21"/>
        </w:rPr>
        <w:t xml:space="preserve"> </w:t>
      </w:r>
    </w:p>
    <w:p>
      <w:pPr>
        <w:spacing w:after="2"/>
        <w:ind w:firstLine="641"/>
        <w:jc w:val="center"/>
        <w:rPr>
          <w:rFonts w:hint="eastAsia"/>
          <w:color w:val="000000"/>
          <w:szCs w:val="21"/>
        </w:rPr>
      </w:pPr>
      <w:r>
        <w:fldChar w:fldCharType="begin"/>
      </w:r>
      <w:r>
        <w:instrText xml:space="preserve"> HYPERLINK "http://10.105.181.49/home/downloadAttachment?attachGUID=c1af5ffc6dd544eab4b1f8fff952e400" \t "_blank" </w:instrText>
      </w:r>
      <w:r>
        <w:fldChar w:fldCharType="separate"/>
      </w:r>
      <w:r>
        <w:rPr>
          <w:rStyle w:val="7"/>
          <w:rFonts w:hint="eastAsia" w:ascii="宋体" w:hAnsi="宋体" w:eastAsia="宋体"/>
          <w:sz w:val="28"/>
          <w:szCs w:val="28"/>
          <w:shd w:val="clear" w:color="auto" w:fill="FFFFFF"/>
        </w:rPr>
        <w:t>2021年永州市冷水滩区住房和城乡建设局项目支出绩效评价报告.doc</w:t>
      </w:r>
      <w:r>
        <w:rPr>
          <w:rStyle w:val="7"/>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r>
        <w:fldChar w:fldCharType="begin"/>
      </w:r>
      <w:r>
        <w:instrText xml:space="preserve"> HYPERLINK "http://10.105.181.49/home/downloadAttachment?attachGUID=0b3f22f5931d49e09f5ab7457a3a68ea" \t "_blank" </w:instrText>
      </w:r>
      <w:r>
        <w:fldChar w:fldCharType="separate"/>
      </w:r>
      <w:r>
        <w:rPr>
          <w:rStyle w:val="7"/>
          <w:rFonts w:hint="eastAsia" w:ascii="宋体" w:hAnsi="宋体" w:eastAsia="宋体"/>
          <w:sz w:val="28"/>
          <w:szCs w:val="28"/>
          <w:shd w:val="clear" w:color="auto" w:fill="FFFFFF"/>
        </w:rPr>
        <w:t>2021年永州市冷水滩区住房和城乡建设局部门整体支出绩效评价报告.doc</w:t>
      </w:r>
      <w:r>
        <w:rPr>
          <w:rStyle w:val="7"/>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p>
    <w:p>
      <w:pPr>
        <w:spacing w:after="2"/>
        <w:ind w:firstLine="641"/>
        <w:jc w:val="center"/>
        <w:rPr>
          <w:rFonts w:hint="eastAsia"/>
          <w:color w:val="000000"/>
          <w:szCs w:val="21"/>
        </w:rPr>
      </w:pPr>
    </w:p>
    <w:p>
      <w:pPr>
        <w:spacing w:after="2"/>
        <w:ind w:firstLine="641"/>
        <w:jc w:val="center"/>
        <w:rPr>
          <w:rFonts w:hint="eastAsia"/>
          <w:color w:val="000000"/>
          <w:szCs w:val="21"/>
        </w:rPr>
      </w:pPr>
    </w:p>
    <w:sectPr>
      <w:pgSz w:w="11906" w:h="16838" w:orient="landscape"/>
      <w:pgMar w:top="1440" w:right="1080" w:bottom="1440" w:left="1080" w:header="851" w:footer="992" w:gutter="0"/>
      <w:cols w:space="72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docVars>
    <w:docVar w:name="commondata" w:val="eyJoZGlkIjoiYWI3YTkyOGEyMjNjYTE0ZDIwNDc5YzQ2MTY1NjFjZTEifQ=="/>
  </w:docVars>
  <w:rsids>
    <w:rsidRoot w:val="00F57485"/>
    <w:rsid w:val="006619FF"/>
    <w:rsid w:val="00946879"/>
    <w:rsid w:val="00D209DE"/>
    <w:rsid w:val="00F57485"/>
    <w:rsid w:val="51482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FollowedHyperlink"/>
    <w:basedOn w:val="4"/>
    <w:semiHidden/>
    <w:unhideWhenUsed/>
    <w:qFormat/>
    <w:uiPriority w:val="99"/>
    <w:rPr>
      <w:color w:val="800080"/>
      <w:u w:val="single"/>
    </w:rPr>
  </w:style>
  <w:style w:type="character" w:styleId="7">
    <w:name w:val="Hyperlink"/>
    <w:basedOn w:val="4"/>
    <w:semiHidden/>
    <w:unhideWhenUsed/>
    <w:qFormat/>
    <w:uiPriority w:val="99"/>
    <w:rPr>
      <w:color w:val="0000FF"/>
      <w:u w:val="single"/>
    </w:rPr>
  </w:style>
  <w:style w:type="paragraph" w:customStyle="1" w:styleId="8">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peoplefilling"/>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2106</Words>
  <Characters>12007</Characters>
  <Lines>100</Lines>
  <Paragraphs>28</Paragraphs>
  <TotalTime>1</TotalTime>
  <ScaleCrop>false</ScaleCrop>
  <LinksUpToDate>false</LinksUpToDate>
  <CharactersWithSpaces>14085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2023-09-04T09:46:00Z</dcterms:created>
  <dc:creator>Lenovo</dc:creator>
  <cp:lastModifiedBy>-</cp:lastModifiedBy>
  <dcterms:modified xsi:type="dcterms:W3CDTF">2023-10-13T03:35:54Z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1F4B84783B0E4A74B2D032A560A6A1A4_12</vt:lpwstr>
  </property>
</Properties>
</file>