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附件1</w:t>
      </w:r>
    </w:p>
    <w:p>
      <w:pPr>
        <w:spacing w:line="600" w:lineRule="exact"/>
        <w:rPr>
          <w:rFonts w:ascii="Times New Roman" w:hAnsi="Times New Roman" w:eastAsia="黑体"/>
          <w:sz w:val="32"/>
          <w:szCs w:val="32"/>
        </w:rPr>
      </w:pPr>
      <w:r>
        <w:rPr>
          <w:rFonts w:eastAsia="黑体"/>
          <w:sz w:val="32"/>
          <w:szCs w:val="32"/>
        </w:rPr>
        <w:t xml:space="preserve"> </w:t>
      </w:r>
    </w:p>
    <w:p>
      <w:pPr>
        <w:jc w:val="center"/>
        <w:rPr>
          <w:rFonts w:ascii="方正小标宋简体" w:hAnsi="方正小标宋简体"/>
          <w:sz w:val="52"/>
          <w:szCs w:val="52"/>
        </w:rPr>
      </w:pPr>
      <w:r>
        <w:rPr>
          <w:rFonts w:ascii="方正小标宋简体" w:hAnsi="方正小标宋简体"/>
          <w:sz w:val="52"/>
          <w:szCs w:val="52"/>
        </w:rPr>
        <w:t>2021年度</w:t>
      </w:r>
    </w:p>
    <w:p>
      <w:pPr>
        <w:jc w:val="center"/>
        <w:rPr>
          <w:rFonts w:ascii="方正小标宋简体" w:hAnsi="方正小标宋简体"/>
          <w:sz w:val="52"/>
          <w:szCs w:val="52"/>
        </w:rPr>
      </w:pPr>
      <w:r>
        <w:rPr>
          <w:rFonts w:hint="eastAsia" w:ascii="方正小标宋简体" w:hAnsi="方正小标宋简体"/>
          <w:sz w:val="52"/>
          <w:szCs w:val="52"/>
        </w:rPr>
        <w:t>永州市冷水滩区市场监督管理局</w:t>
      </w:r>
    </w:p>
    <w:p>
      <w:pPr>
        <w:jc w:val="center"/>
        <w:rPr>
          <w:rFonts w:ascii="方正小标宋简体" w:hAnsi="方正小标宋简体"/>
          <w:sz w:val="52"/>
          <w:szCs w:val="52"/>
        </w:rPr>
      </w:pPr>
      <w:r>
        <w:rPr>
          <w:rFonts w:ascii="方正小标宋简体" w:hAnsi="方正小标宋简体"/>
          <w:sz w:val="52"/>
          <w:szCs w:val="52"/>
        </w:rPr>
        <w:t>整体支出绩效自评报告</w:t>
      </w:r>
    </w:p>
    <w:p>
      <w:pPr>
        <w:jc w:val="center"/>
        <w:rPr>
          <w:rFonts w:eastAsia="楷体_GB2312"/>
          <w:b/>
          <w:sz w:val="32"/>
          <w:szCs w:val="32"/>
        </w:rPr>
      </w:pPr>
      <w:r>
        <w:rPr>
          <w:rFonts w:eastAsia="楷体_GB2312"/>
          <w:b/>
          <w:sz w:val="32"/>
          <w:szCs w:val="32"/>
        </w:rPr>
        <w:t xml:space="preserve"> </w:t>
      </w:r>
    </w:p>
    <w:p>
      <w:pPr>
        <w:jc w:val="center"/>
        <w:rPr>
          <w:rFonts w:eastAsia="楷体_GB2312"/>
          <w:b/>
          <w:sz w:val="32"/>
          <w:szCs w:val="32"/>
        </w:rPr>
      </w:pPr>
      <w:r>
        <w:rPr>
          <w:rFonts w:eastAsia="楷体_GB2312"/>
          <w:b/>
          <w:sz w:val="32"/>
          <w:szCs w:val="32"/>
        </w:rPr>
        <w:t xml:space="preserve"> </w:t>
      </w:r>
    </w:p>
    <w:p>
      <w:pPr>
        <w:jc w:val="center"/>
        <w:rPr>
          <w:rFonts w:eastAsia="楷体_GB2312"/>
          <w:b/>
          <w:sz w:val="32"/>
          <w:szCs w:val="32"/>
        </w:rPr>
      </w:pPr>
      <w:r>
        <w:rPr>
          <w:rFonts w:eastAsia="楷体_GB2312"/>
          <w:b/>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Times New Roman" w:hAnsi="Times New Roman"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spacing w:line="600" w:lineRule="exact"/>
        <w:ind w:firstLine="1920" w:firstLineChars="600"/>
        <w:rPr>
          <w:rFonts w:ascii="仿宋_GB2312" w:eastAsia="仿宋_GB2312"/>
          <w:sz w:val="32"/>
          <w:szCs w:val="32"/>
          <w:u w:val="single"/>
        </w:rPr>
      </w:pPr>
      <w:r>
        <w:rPr>
          <w:rFonts w:hint="eastAsia" w:ascii="仿宋_GB2312" w:eastAsia="仿宋_GB2312"/>
          <w:sz w:val="32"/>
          <w:szCs w:val="32"/>
        </w:rPr>
        <w:t>单位名称：</w:t>
      </w:r>
      <w:r>
        <w:rPr>
          <w:rFonts w:hint="eastAsia" w:ascii="仿宋_GB2312" w:eastAsia="仿宋_GB2312"/>
          <w:sz w:val="32"/>
          <w:szCs w:val="32"/>
          <w:u w:val="single"/>
        </w:rPr>
        <w:t xml:space="preserve">（盖章）        </w:t>
      </w:r>
    </w:p>
    <w:p>
      <w:pPr>
        <w:spacing w:line="600" w:lineRule="exact"/>
        <w:ind w:firstLine="3200" w:firstLineChars="1000"/>
        <w:rPr>
          <w:rFonts w:ascii="仿宋_GB2312" w:eastAsia="仿宋_GB2312"/>
          <w:sz w:val="32"/>
          <w:szCs w:val="32"/>
        </w:rPr>
      </w:pPr>
      <w:r>
        <w:rPr>
          <w:rFonts w:hint="eastAsia" w:ascii="仿宋_GB2312" w:eastAsia="仿宋_GB2312"/>
          <w:sz w:val="32"/>
          <w:szCs w:val="32"/>
        </w:rPr>
        <w:t>年  月  日</w:t>
      </w:r>
    </w:p>
    <w:p>
      <w:pPr>
        <w:spacing w:line="594" w:lineRule="exact"/>
        <w:ind w:firstLine="640" w:firstLineChars="200"/>
        <w:rPr>
          <w:rFonts w:eastAsia="仿宋"/>
          <w:sz w:val="32"/>
          <w:szCs w:val="32"/>
        </w:rPr>
      </w:pPr>
    </w:p>
    <w:p>
      <w:pPr>
        <w:pStyle w:val="2"/>
        <w:rPr>
          <w:rFonts w:eastAsia="仿宋"/>
          <w:sz w:val="32"/>
          <w:szCs w:val="32"/>
        </w:rPr>
      </w:pPr>
    </w:p>
    <w:p>
      <w:pPr>
        <w:pStyle w:val="2"/>
        <w:rPr>
          <w:rFonts w:eastAsia="仿宋"/>
          <w:sz w:val="32"/>
          <w:szCs w:val="32"/>
        </w:rPr>
      </w:pPr>
    </w:p>
    <w:p>
      <w:pPr>
        <w:spacing w:line="594"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永州市冷水滩区市场监督管理局</w:t>
      </w:r>
    </w:p>
    <w:p>
      <w:pPr>
        <w:spacing w:line="594"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2021年度部门整体支出绩效自评报告</w:t>
      </w:r>
    </w:p>
    <w:p>
      <w:pPr>
        <w:pStyle w:val="2"/>
        <w:rPr>
          <w:rFonts w:eastAsia="仿宋"/>
          <w:sz w:val="32"/>
          <w:szCs w:val="32"/>
        </w:rPr>
      </w:pPr>
    </w:p>
    <w:p>
      <w:pPr>
        <w:spacing w:line="594" w:lineRule="exact"/>
        <w:ind w:firstLine="640" w:firstLineChars="200"/>
        <w:rPr>
          <w:rFonts w:eastAsia="仿宋"/>
          <w:sz w:val="32"/>
          <w:szCs w:val="32"/>
        </w:rPr>
      </w:pPr>
      <w:r>
        <w:rPr>
          <w:rFonts w:hint="eastAsia" w:eastAsia="仿宋"/>
          <w:sz w:val="32"/>
          <w:szCs w:val="32"/>
        </w:rPr>
        <w:t>为认真贯彻落实上级全面覆盖预算绩效管理的要求，我单位认真组织开展预算绩效评估，现将2021年度部门整体支出绩效跟踪自评情况报告如下：</w:t>
      </w:r>
    </w:p>
    <w:p>
      <w:pPr>
        <w:numPr>
          <w:ilvl w:val="0"/>
          <w:numId w:val="1"/>
        </w:numPr>
        <w:spacing w:line="580" w:lineRule="exact"/>
        <w:ind w:firstLine="640" w:firstLineChars="200"/>
        <w:rPr>
          <w:rFonts w:ascii="黑体" w:hAnsi="黑体" w:eastAsia="黑体"/>
          <w:sz w:val="32"/>
          <w:szCs w:val="32"/>
        </w:rPr>
      </w:pPr>
      <w:r>
        <w:rPr>
          <w:rFonts w:ascii="黑体" w:hAnsi="黑体" w:eastAsia="黑体"/>
          <w:sz w:val="32"/>
          <w:szCs w:val="32"/>
        </w:rPr>
        <w:t>部门（单位）基本情况</w:t>
      </w:r>
    </w:p>
    <w:p>
      <w:pPr>
        <w:spacing w:line="594" w:lineRule="exact"/>
        <w:ind w:firstLine="640" w:firstLineChars="200"/>
        <w:rPr>
          <w:rFonts w:hint="eastAsia" w:eastAsia="仿宋"/>
          <w:sz w:val="32"/>
          <w:szCs w:val="32"/>
        </w:rPr>
      </w:pPr>
      <w:r>
        <w:rPr>
          <w:rFonts w:hint="eastAsia" w:eastAsia="仿宋"/>
          <w:sz w:val="32"/>
          <w:szCs w:val="32"/>
        </w:rPr>
        <w:t>机构设置及人员编制情况 1、我局实设38个内设机构，包括办公室、综合规划股、政策法规股、执法监督股、产品质量安全监督管理股、食品生产安全监督管理股、食品流通安全监督管理股、食品安全抽检监测股、行政审批股等；设14个下属机构，包括稽查大队、物价局、梅湾市场监督监管所、凤凰园市场监督监管所、杨家桥市场监督监管所、上岭桥市场监督监管所、普利桥市场监督监管所、黄阳司市场监督监管所、岚角山市场监督监管所、菱角山市场监督监管所、珊瑚市场监督监管所、曲河市场监督监管所、肖家园市场监督监管所、梧桐市场监督监管所。 2、区市场监督管理局（原食药局）是属正科级行政事业单位，编制136人，实有人数为131人，退休5人。</w:t>
      </w:r>
    </w:p>
    <w:p>
      <w:pPr>
        <w:spacing w:line="594" w:lineRule="exact"/>
        <w:ind w:firstLine="640" w:firstLineChars="200"/>
        <w:rPr>
          <w:rFonts w:eastAsia="仿宋"/>
          <w:sz w:val="32"/>
          <w:szCs w:val="32"/>
        </w:rPr>
      </w:pPr>
      <w:r>
        <w:rPr>
          <w:rFonts w:hint="eastAsia" w:eastAsia="仿宋"/>
          <w:sz w:val="32"/>
          <w:szCs w:val="32"/>
        </w:rPr>
        <w:t>2021年度收入截至目前1731.95万元，其中：当年度财政拨款收入1731.95万元。目前支出总计1731.95万元，其中基本支出为1,440.01万元，项目支出为291.94万元。</w:t>
      </w:r>
    </w:p>
    <w:p>
      <w:pPr>
        <w:pStyle w:val="5"/>
        <w:spacing w:line="580" w:lineRule="exact"/>
        <w:ind w:firstLine="640"/>
        <w:rPr>
          <w:rFonts w:ascii="Times New Roman" w:hAnsi="Times New Roman" w:eastAsia="黑体" w:cs="Times New Roman"/>
          <w:sz w:val="32"/>
          <w:szCs w:val="32"/>
        </w:rPr>
      </w:pPr>
      <w:r>
        <w:rPr>
          <w:rFonts w:ascii="黑体" w:hAnsi="黑体" w:eastAsia="黑体" w:cs="Times New Roman"/>
          <w:sz w:val="32"/>
          <w:szCs w:val="32"/>
        </w:rPr>
        <w:t>二、一般公共预算支出情况</w:t>
      </w:r>
    </w:p>
    <w:p>
      <w:pPr>
        <w:pStyle w:val="5"/>
        <w:spacing w:line="580" w:lineRule="exact"/>
        <w:ind w:firstLine="640"/>
        <w:rPr>
          <w:rFonts w:ascii="仿宋_GB2312" w:eastAsia="仿宋_GB2312"/>
          <w:sz w:val="32"/>
          <w:szCs w:val="32"/>
        </w:rPr>
      </w:pPr>
      <w:r>
        <w:rPr>
          <w:rFonts w:hint="eastAsia" w:ascii="仿宋_GB2312" w:eastAsia="仿宋_GB2312"/>
          <w:sz w:val="32"/>
          <w:szCs w:val="32"/>
        </w:rPr>
        <w:t>（一）基本支出情况</w:t>
      </w:r>
    </w:p>
    <w:p>
      <w:pPr>
        <w:spacing w:line="594" w:lineRule="exact"/>
        <w:ind w:firstLine="640" w:firstLineChars="200"/>
        <w:rPr>
          <w:rFonts w:eastAsia="仿宋"/>
          <w:sz w:val="32"/>
          <w:szCs w:val="32"/>
        </w:rPr>
      </w:pPr>
      <w:r>
        <w:rPr>
          <w:rFonts w:hint="eastAsia" w:eastAsia="仿宋"/>
          <w:sz w:val="32"/>
          <w:szCs w:val="32"/>
        </w:rPr>
        <w:t>2021年,目前我局基本支出为1404.01万元，主要包括人员工资、住房公积金及基本医疗保险、养老保险、商品服务支出等。我局认真贯彻落实厉行节约、严控“三公”经费、降低一般运行经费，加强项目支出等方面取得了一定的成绩。</w:t>
      </w:r>
      <w:r>
        <w:rPr>
          <w:rFonts w:eastAsia="仿宋"/>
          <w:sz w:val="32"/>
          <w:szCs w:val="32"/>
        </w:rPr>
        <w:t>20</w:t>
      </w:r>
      <w:r>
        <w:rPr>
          <w:rFonts w:hint="eastAsia" w:eastAsia="仿宋"/>
          <w:sz w:val="32"/>
          <w:szCs w:val="32"/>
        </w:rPr>
        <w:t>21年度“三公”经费开支为9.89万元，其中公务接待费为1.39万元，公务用车运行及购置费8.5万元。我局从各方面加强了“三公”经费的管理，有效地控制了“三公”经费支出，没有挤占、摊派、和转移“三公”经费支出的行为，所有“三公”经费支出合理、合规。</w:t>
      </w:r>
    </w:p>
    <w:p>
      <w:pPr>
        <w:spacing w:line="594" w:lineRule="exact"/>
        <w:ind w:firstLine="640" w:firstLineChars="200"/>
        <w:rPr>
          <w:rFonts w:ascii="仿宋_GB2312" w:eastAsia="仿宋_GB2312"/>
          <w:sz w:val="32"/>
          <w:szCs w:val="32"/>
        </w:rPr>
      </w:pPr>
      <w:r>
        <w:rPr>
          <w:rFonts w:hint="eastAsia" w:eastAsia="仿宋"/>
          <w:sz w:val="32"/>
          <w:szCs w:val="32"/>
        </w:rPr>
        <w:t>我局公务接待工作按照简化礼仪、务实节俭、杜绝浪费的原则管理和规范公务接待工作，并明确招待用餐档次及限额。要求出具接待函、介绍信、公务审批清单、公务接待清单方可报销招待费。</w:t>
      </w:r>
    </w:p>
    <w:p>
      <w:pPr>
        <w:pStyle w:val="5"/>
        <w:numPr>
          <w:ilvl w:val="0"/>
          <w:numId w:val="2"/>
        </w:numPr>
        <w:spacing w:line="580" w:lineRule="exact"/>
        <w:ind w:firstLine="640"/>
        <w:rPr>
          <w:rFonts w:ascii="仿宋_GB2312" w:eastAsia="仿宋_GB2312"/>
          <w:sz w:val="32"/>
          <w:szCs w:val="32"/>
        </w:rPr>
      </w:pPr>
      <w:r>
        <w:rPr>
          <w:rFonts w:hint="eastAsia" w:ascii="仿宋_GB2312" w:eastAsia="仿宋_GB2312"/>
          <w:sz w:val="32"/>
          <w:szCs w:val="32"/>
        </w:rPr>
        <w:t>项目支出情况</w:t>
      </w:r>
    </w:p>
    <w:p>
      <w:pPr>
        <w:spacing w:line="594" w:lineRule="exact"/>
        <w:ind w:firstLine="640" w:firstLineChars="200"/>
        <w:rPr>
          <w:rFonts w:eastAsia="仿宋"/>
          <w:sz w:val="32"/>
          <w:szCs w:val="32"/>
        </w:rPr>
      </w:pPr>
      <w:r>
        <w:rPr>
          <w:rFonts w:hint="eastAsia" w:eastAsia="仿宋"/>
          <w:sz w:val="32"/>
          <w:szCs w:val="32"/>
        </w:rPr>
        <w:t>2021年度我局项目收入</w:t>
      </w:r>
      <w:r>
        <w:rPr>
          <w:rFonts w:hint="eastAsia" w:eastAsia="仿宋"/>
          <w:sz w:val="32"/>
          <w:szCs w:val="32"/>
          <w:lang w:val="en-US" w:eastAsia="zh-CN"/>
        </w:rPr>
        <w:t>291.94</w:t>
      </w:r>
      <w:r>
        <w:rPr>
          <w:rFonts w:hint="eastAsia" w:eastAsia="仿宋"/>
          <w:sz w:val="32"/>
          <w:szCs w:val="32"/>
        </w:rPr>
        <w:t>万元，支出</w:t>
      </w:r>
      <w:r>
        <w:rPr>
          <w:rFonts w:hint="eastAsia" w:eastAsia="仿宋"/>
          <w:sz w:val="32"/>
          <w:szCs w:val="32"/>
          <w:lang w:val="en-US" w:eastAsia="zh-CN"/>
        </w:rPr>
        <w:t>291.94</w:t>
      </w:r>
      <w:r>
        <w:rPr>
          <w:rFonts w:hint="eastAsia" w:eastAsia="仿宋"/>
          <w:sz w:val="32"/>
          <w:szCs w:val="32"/>
        </w:rPr>
        <w:t>万元，主要用于执法办案、食品药品监管、食品抽样、消费者维权、查处取缔无证生产行为、特种设备安全监管、质量监督法律宣传、队伍能力建设及下乡执法检查、办公设备、执法装备采购等方面。</w:t>
      </w:r>
    </w:p>
    <w:p>
      <w:pPr>
        <w:spacing w:line="594" w:lineRule="exact"/>
        <w:ind w:firstLine="640" w:firstLineChars="200"/>
        <w:rPr>
          <w:rFonts w:ascii="仿宋_GB2312" w:eastAsia="仿宋_GB2312"/>
          <w:sz w:val="32"/>
          <w:szCs w:val="32"/>
        </w:rPr>
      </w:pPr>
      <w:r>
        <w:rPr>
          <w:rFonts w:hint="eastAsia" w:eastAsia="仿宋"/>
          <w:sz w:val="32"/>
          <w:szCs w:val="32"/>
        </w:rPr>
        <w:t>为保障专项资金的规范管理，提高专项资金的使用效率，我局制订了一系列的专项管理办法，按绩效管理进行分工，对专项资金使用过程进行监控。</w:t>
      </w:r>
    </w:p>
    <w:p>
      <w:pPr>
        <w:numPr>
          <w:ilvl w:val="0"/>
          <w:numId w:val="3"/>
        </w:numPr>
        <w:spacing w:line="580" w:lineRule="exact"/>
        <w:ind w:firstLine="640" w:firstLineChars="200"/>
        <w:rPr>
          <w:rFonts w:ascii="黑体" w:hAnsi="黑体" w:eastAsia="黑体"/>
          <w:sz w:val="32"/>
          <w:szCs w:val="32"/>
        </w:rPr>
      </w:pPr>
      <w:r>
        <w:rPr>
          <w:rFonts w:ascii="黑体" w:hAnsi="黑体" w:eastAsia="黑体"/>
          <w:sz w:val="32"/>
          <w:szCs w:val="32"/>
        </w:rPr>
        <w:t>部门整体支出绩效情况</w:t>
      </w:r>
    </w:p>
    <w:p>
      <w:pPr>
        <w:spacing w:line="460" w:lineRule="exact"/>
        <w:ind w:firstLine="640" w:firstLineChars="200"/>
        <w:rPr>
          <w:rFonts w:ascii="仿宋_GB2312" w:hAnsi="仿宋_GB2312" w:eastAsia="仿宋_GB2312" w:cs="仿宋_GB2312"/>
          <w:sz w:val="32"/>
          <w:szCs w:val="32"/>
        </w:rPr>
      </w:pPr>
      <w:r>
        <w:rPr>
          <w:rFonts w:hint="eastAsia" w:eastAsia="仿宋"/>
          <w:sz w:val="32"/>
          <w:szCs w:val="32"/>
        </w:rPr>
        <w:t>202年度我局出动执法人员4万余人次，开展质量月宣传1次，安全生产月1次，安全用药月宣传1次，知识产权宣传周1次；开展了“三小”行业、</w:t>
      </w:r>
      <w:r>
        <w:rPr>
          <w:rFonts w:hint="eastAsia" w:ascii="仿宋_GB2312" w:hAnsi="仿宋_GB2312" w:eastAsia="仿宋_GB2312" w:cs="仿宋_GB2312"/>
          <w:sz w:val="32"/>
          <w:szCs w:val="32"/>
        </w:rPr>
        <w:t>农资产品、电子礼炮、消防产品、非医用口罩、危化品、烟花爆竹等各项专项整治行动，日常监管覆盖率达100%，共接收投诉举报2913次，办结率100%，对各类违法违规案件共立案187起，已结案下发行政处罚决定书162起，货值金额36万元，累计罚款250万余元，其中上缴市财政42.96万元。案件均在90日内办结。</w:t>
      </w:r>
    </w:p>
    <w:p>
      <w:pPr>
        <w:pStyle w:val="2"/>
        <w:rPr>
          <w:rFonts w:eastAsia="仿宋_GB2312"/>
        </w:rPr>
      </w:pPr>
      <w:r>
        <w:rPr>
          <w:rFonts w:hint="eastAsia" w:ascii="仿宋_GB2312" w:hAnsi="仿宋_GB2312" w:eastAsia="仿宋_GB2312" w:cs="仿宋_GB2312"/>
          <w:sz w:val="32"/>
          <w:szCs w:val="32"/>
        </w:rPr>
        <w:t xml:space="preserve">   2021年，我局充分发挥职能作用，以服务发展、强化监管、保障民生为主线，扎实推进各项工作，区域内消费者质量意识逐渐增强，企业生产经营日趋规范有序，群众满意度达90%以上.</w:t>
      </w:r>
    </w:p>
    <w:p>
      <w:pPr>
        <w:spacing w:line="594" w:lineRule="exact"/>
        <w:ind w:firstLine="640" w:firstLineChars="200"/>
        <w:rPr>
          <w:rFonts w:eastAsia="仿宋_GB2312"/>
          <w:sz w:val="32"/>
          <w:szCs w:val="32"/>
        </w:rPr>
      </w:pPr>
    </w:p>
    <w:p>
      <w:pPr>
        <w:pStyle w:val="5"/>
        <w:spacing w:line="580" w:lineRule="exact"/>
        <w:ind w:firstLine="640"/>
      </w:pPr>
      <w:r>
        <w:rPr>
          <w:rFonts w:ascii="黑体" w:hAnsi="黑体" w:eastAsia="黑体" w:cs="Times New Roman"/>
          <w:sz w:val="32"/>
          <w:szCs w:val="32"/>
        </w:rPr>
        <w:t>七、存在的问题及原因分析</w:t>
      </w:r>
    </w:p>
    <w:p>
      <w:pPr>
        <w:spacing w:line="594" w:lineRule="exact"/>
        <w:ind w:firstLine="640" w:firstLineChars="200"/>
        <w:rPr>
          <w:rFonts w:eastAsia="仿宋"/>
          <w:sz w:val="32"/>
          <w:szCs w:val="32"/>
        </w:rPr>
      </w:pPr>
      <w:r>
        <w:rPr>
          <w:rFonts w:hint="eastAsia" w:eastAsia="仿宋"/>
          <w:sz w:val="32"/>
          <w:szCs w:val="32"/>
        </w:rPr>
        <w:t>（一）预算编制精准度还不够。部分项目的预算编制不够精确，导致执行中的预算调整和执行后的资金结余。预算控制率和预算完成率不理想，影响了单位评分及评价等次。</w:t>
      </w:r>
    </w:p>
    <w:p>
      <w:pPr>
        <w:spacing w:line="594" w:lineRule="exact"/>
        <w:ind w:firstLine="640" w:firstLineChars="200"/>
        <w:rPr>
          <w:rFonts w:eastAsia="仿宋"/>
          <w:sz w:val="32"/>
          <w:szCs w:val="32"/>
        </w:rPr>
      </w:pPr>
      <w:r>
        <w:rPr>
          <w:rFonts w:hint="eastAsia" w:eastAsia="仿宋"/>
          <w:sz w:val="32"/>
          <w:szCs w:val="32"/>
        </w:rPr>
        <w:t>（二）基本支出执行占比较大，目前由于机构改革三局合并，预算执行基本围绕保全局人员经费、保正常运转进行。</w:t>
      </w:r>
    </w:p>
    <w:p>
      <w:pPr>
        <w:spacing w:line="580" w:lineRule="exact"/>
        <w:ind w:left="420" w:leftChars="20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一步改进措施</w:t>
      </w:r>
    </w:p>
    <w:p>
      <w:pPr>
        <w:spacing w:line="594" w:lineRule="exact"/>
        <w:ind w:firstLine="640" w:firstLineChars="200"/>
        <w:rPr>
          <w:rFonts w:eastAsia="仿宋"/>
          <w:sz w:val="32"/>
          <w:szCs w:val="32"/>
        </w:rPr>
      </w:pPr>
      <w:r>
        <w:rPr>
          <w:rFonts w:hint="eastAsia" w:eastAsia="仿宋"/>
          <w:sz w:val="32"/>
          <w:szCs w:val="32"/>
        </w:rPr>
        <w:t>（一）科学合理编制预算，严格执行预算。按政策规定及本部门的发展规划，结合上一年度预算执行情况和本年度预算收支变化因素，科学、合理地编制本年预算草案，避免项目支出与基本支出划分不准或预算支出与实际执行出现较大偏差的情况。</w:t>
      </w:r>
    </w:p>
    <w:p>
      <w:pPr>
        <w:spacing w:line="594" w:lineRule="exact"/>
        <w:ind w:firstLine="640" w:firstLineChars="200"/>
        <w:rPr>
          <w:rFonts w:eastAsia="仿宋"/>
          <w:sz w:val="32"/>
          <w:szCs w:val="32"/>
        </w:rPr>
      </w:pPr>
      <w:r>
        <w:rPr>
          <w:rFonts w:hint="eastAsia" w:eastAsia="仿宋"/>
          <w:sz w:val="32"/>
          <w:szCs w:val="32"/>
        </w:rPr>
        <w:t>（二）规范账务处理，提高财务信息质量。严格按照《会计法》、《政府会计制度》等规定执行财务核算，并结合实际情况，完整、准确地披露相关信息，尽可能地做到决算与预算相衔接。</w:t>
      </w:r>
    </w:p>
    <w:p>
      <w:pPr>
        <w:spacing w:line="594" w:lineRule="exact"/>
        <w:ind w:firstLine="640" w:firstLineChars="200"/>
        <w:rPr>
          <w:rFonts w:eastAsia="仿宋"/>
          <w:sz w:val="32"/>
          <w:szCs w:val="32"/>
        </w:rPr>
      </w:pPr>
      <w:r>
        <w:rPr>
          <w:rFonts w:hint="eastAsia" w:eastAsia="仿宋"/>
          <w:sz w:val="32"/>
          <w:szCs w:val="32"/>
        </w:rPr>
        <w:t>（三）完善管理制度，进一步加强资产管理。进一步</w:t>
      </w:r>
      <w:r>
        <w:rPr>
          <w:rFonts w:hint="eastAsia" w:eastAsia="仿宋"/>
          <w:sz w:val="32"/>
          <w:szCs w:val="32"/>
          <w:lang w:eastAsia="zh-CN"/>
        </w:rPr>
        <w:t>贯彻落实中央八项规定</w:t>
      </w:r>
      <w:r>
        <w:rPr>
          <w:rFonts w:hint="eastAsia" w:eastAsia="仿宋"/>
          <w:sz w:val="32"/>
          <w:szCs w:val="32"/>
        </w:rPr>
        <w:t>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spacing w:line="594" w:lineRule="exact"/>
        <w:ind w:firstLine="640" w:firstLineChars="200"/>
      </w:pPr>
      <w:r>
        <w:rPr>
          <w:rFonts w:hint="eastAsia" w:eastAsia="仿宋"/>
          <w:sz w:val="32"/>
          <w:szCs w:val="32"/>
        </w:rPr>
        <w:t>（四）加强新行政单位会计制度和新预算法学习培训。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spacing w:line="580" w:lineRule="exact"/>
        <w:ind w:firstLine="640" w:firstLineChars="200"/>
        <w:rPr>
          <w:rFonts w:eastAsia="黑体"/>
          <w:sz w:val="32"/>
          <w:szCs w:val="32"/>
        </w:rPr>
      </w:pPr>
      <w:r>
        <w:rPr>
          <w:rFonts w:ascii="黑体" w:hAnsi="黑体" w:eastAsia="黑体"/>
          <w:sz w:val="32"/>
          <w:szCs w:val="32"/>
        </w:rPr>
        <w:t>九、部门整体支出绩效自评结果拟应用和公开情况</w:t>
      </w:r>
    </w:p>
    <w:p>
      <w:pPr>
        <w:spacing w:line="580" w:lineRule="exact"/>
        <w:ind w:firstLine="640" w:firstLineChars="200"/>
        <w:rPr>
          <w:rFonts w:eastAsia="黑体"/>
          <w:sz w:val="32"/>
          <w:szCs w:val="32"/>
        </w:rPr>
      </w:pPr>
      <w:r>
        <w:rPr>
          <w:rFonts w:hint="eastAsia" w:ascii="黑体" w:hAnsi="黑体" w:eastAsia="黑体"/>
          <w:sz w:val="32"/>
          <w:szCs w:val="32"/>
        </w:rPr>
        <w:t>十、</w:t>
      </w:r>
      <w:r>
        <w:rPr>
          <w:rFonts w:ascii="黑体" w:hAnsi="黑体" w:eastAsia="黑体"/>
          <w:sz w:val="32"/>
          <w:szCs w:val="32"/>
        </w:rPr>
        <w:t>其他需要说明的情况</w:t>
      </w: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08FD8"/>
    <w:multiLevelType w:val="singleLevel"/>
    <w:tmpl w:val="92A08FD8"/>
    <w:lvl w:ilvl="0" w:tentative="0">
      <w:start w:val="6"/>
      <w:numFmt w:val="chineseCounting"/>
      <w:suff w:val="nothing"/>
      <w:lvlText w:val="%1、"/>
      <w:lvlJc w:val="left"/>
      <w:rPr>
        <w:rFonts w:hint="eastAsia"/>
      </w:rPr>
    </w:lvl>
  </w:abstractNum>
  <w:abstractNum w:abstractNumId="1">
    <w:nsid w:val="CE4171CB"/>
    <w:multiLevelType w:val="singleLevel"/>
    <w:tmpl w:val="CE4171CB"/>
    <w:lvl w:ilvl="0" w:tentative="0">
      <w:start w:val="1"/>
      <w:numFmt w:val="chineseCounting"/>
      <w:suff w:val="nothing"/>
      <w:lvlText w:val="%1、"/>
      <w:lvlJc w:val="left"/>
      <w:rPr>
        <w:rFonts w:hint="eastAsia"/>
      </w:rPr>
    </w:lvl>
  </w:abstractNum>
  <w:abstractNum w:abstractNumId="2">
    <w:nsid w:val="569475DA"/>
    <w:multiLevelType w:val="singleLevel"/>
    <w:tmpl w:val="569475D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172A27"/>
    <w:rsid w:val="00077387"/>
    <w:rsid w:val="00172A27"/>
    <w:rsid w:val="00477DBF"/>
    <w:rsid w:val="087C6C6F"/>
    <w:rsid w:val="15640538"/>
    <w:rsid w:val="2ACF4930"/>
    <w:rsid w:val="641E0261"/>
    <w:rsid w:val="7375030C"/>
    <w:rsid w:val="7D48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99"/>
    <w:pPr>
      <w:spacing w:after="120"/>
      <w:textAlignment w:val="baseline"/>
    </w:pPr>
    <w:rPr>
      <w:rFonts w:ascii="Times New Roman" w:hAnsi="Times New Roman"/>
    </w:rPr>
  </w:style>
  <w:style w:type="paragraph" w:styleId="5">
    <w:name w:val="List Paragraph"/>
    <w:basedOn w:val="1"/>
    <w:qFormat/>
    <w:uiPriority w:val="99"/>
    <w:pPr>
      <w:ind w:firstLine="420" w:firstLineChars="200"/>
    </w:pPr>
    <w:rPr>
      <w:rFonts w:cs="Calibri"/>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1972</Words>
  <Characters>2081</Characters>
  <Lines>32</Lines>
  <Paragraphs>9</Paragraphs>
  <TotalTime>1</TotalTime>
  <ScaleCrop>false</ScaleCrop>
  <LinksUpToDate>false</LinksUpToDate>
  <CharactersWithSpaces>2109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喵的制裁！</dc:creator>
  <cp:lastModifiedBy>东来</cp:lastModifiedBy>
  <dcterms:modified xsi:type="dcterms:W3CDTF">2023-11-08T01:12:01Z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commondata">
    <vt:lpwstr>eyJoZGlkIjoiNzBjNzBjZGRmOGEwNTg4YWE4NDFlMDIwNjYwMmIwYTYifQ==</vt:lpwstr>
  </property>
  <property fmtid="{D5CDD505-2E9C-101B-9397-08002B2CF9AE}" pid="4" name="ICV">
    <vt:lpwstr>9B4A81CFA5D045FABCA4810186E77CE9</vt:lpwstr>
  </property>
</Properties>
</file>