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方正小标宋简体"/>
          <w:sz w:val="44"/>
          <w:szCs w:val="44"/>
        </w:rPr>
      </w:pPr>
      <w:r>
        <w:rPr>
          <w:rFonts w:hint="eastAsia" w:ascii="方正小标宋简体" w:eastAsia="方正小标宋简体"/>
          <w:color w:val="000000"/>
          <w:sz w:val="44"/>
          <w:szCs w:val="44"/>
        </w:rPr>
        <w:t>2021</w:t>
      </w:r>
      <w:r>
        <w:rPr>
          <w:rFonts w:eastAsia="方正小标宋简体"/>
          <w:sz w:val="44"/>
          <w:szCs w:val="44"/>
        </w:rPr>
        <w:t>年度部门整体支出绩效自评报告</w:t>
      </w:r>
    </w:p>
    <w:p>
      <w:pPr>
        <w:ind w:firstLine="420" w:firstLineChars="200"/>
        <w:jc w:val="center"/>
      </w:pPr>
    </w:p>
    <w:p>
      <w:pPr>
        <w:ind w:firstLine="602" w:firstLineChars="200"/>
        <w:rPr>
          <w:rFonts w:ascii="宋体" w:hAnsi="宋体"/>
          <w:b/>
          <w:sz w:val="30"/>
          <w:szCs w:val="30"/>
        </w:rPr>
      </w:pPr>
      <w:r>
        <w:rPr>
          <w:rFonts w:ascii="宋体" w:hAnsi="宋体"/>
          <w:b/>
          <w:sz w:val="30"/>
          <w:szCs w:val="30"/>
        </w:rPr>
        <w:t>一、部门概况</w:t>
      </w:r>
    </w:p>
    <w:p>
      <w:pPr>
        <w:ind w:firstLine="600" w:firstLineChars="200"/>
        <w:rPr>
          <w:rFonts w:ascii="宋体" w:hAnsi="宋体"/>
          <w:sz w:val="30"/>
          <w:szCs w:val="30"/>
        </w:rPr>
      </w:pPr>
      <w:r>
        <w:rPr>
          <w:rFonts w:ascii="宋体" w:hAnsi="宋体"/>
          <w:sz w:val="30"/>
          <w:szCs w:val="30"/>
        </w:rPr>
        <w:t>（一）部门基本情况。</w:t>
      </w:r>
    </w:p>
    <w:p>
      <w:pPr>
        <w:ind w:firstLine="640" w:firstLineChars="200"/>
        <w:rPr>
          <w:rFonts w:ascii="仿宋" w:hAnsi="仿宋" w:eastAsia="仿宋" w:cs="仿宋"/>
          <w:color w:val="000000"/>
          <w:sz w:val="32"/>
          <w:szCs w:val="32"/>
          <w:lang w:val="zh-TW" w:eastAsia="zh-TW" w:bidi="zh-TW"/>
        </w:rPr>
      </w:pPr>
      <w:r>
        <w:rPr>
          <w:rFonts w:hint="eastAsia" w:ascii="仿宋" w:hAnsi="仿宋" w:eastAsia="仿宋" w:cs="仿宋"/>
          <w:color w:val="000000"/>
          <w:sz w:val="32"/>
          <w:szCs w:val="32"/>
          <w:lang w:val="zh-TW" w:bidi="zh-TW"/>
        </w:rPr>
        <w:t>内设综合部、参保登记部、待遇核发部、基金稽核部、工伤医疗服务部等5个股室</w:t>
      </w:r>
      <w:r>
        <w:rPr>
          <w:rFonts w:hint="eastAsia" w:ascii="仿宋" w:hAnsi="仿宋" w:eastAsia="仿宋" w:cs="仿宋"/>
          <w:color w:val="000000"/>
          <w:sz w:val="32"/>
          <w:szCs w:val="32"/>
          <w:lang w:val="zh-TW" w:eastAsia="zh-TW" w:bidi="zh-TW"/>
        </w:rPr>
        <w:t>，</w:t>
      </w:r>
      <w:r>
        <w:rPr>
          <w:rFonts w:hint="eastAsia" w:ascii="仿宋" w:hAnsi="仿宋" w:eastAsia="仿宋" w:cs="仿宋"/>
          <w:color w:val="000000"/>
          <w:sz w:val="32"/>
          <w:szCs w:val="32"/>
          <w:lang w:val="zh-TW" w:bidi="zh-TW"/>
        </w:rPr>
        <w:t>在编在岗</w:t>
      </w:r>
      <w:r>
        <w:rPr>
          <w:rFonts w:hint="eastAsia" w:ascii="仿宋" w:hAnsi="仿宋" w:eastAsia="仿宋" w:cs="仿宋"/>
          <w:color w:val="000000"/>
          <w:sz w:val="32"/>
          <w:szCs w:val="32"/>
          <w:lang w:val="zh-TW" w:eastAsia="zh-TW" w:bidi="zh-TW"/>
        </w:rPr>
        <w:t>人员</w:t>
      </w:r>
      <w:r>
        <w:rPr>
          <w:rFonts w:hint="eastAsia" w:ascii="仿宋" w:hAnsi="仿宋" w:eastAsia="仿宋" w:cs="仿宋"/>
          <w:color w:val="000000"/>
          <w:sz w:val="32"/>
          <w:szCs w:val="32"/>
          <w:lang w:bidi="zh-TW"/>
        </w:rPr>
        <w:t>9</w:t>
      </w:r>
      <w:r>
        <w:rPr>
          <w:rFonts w:hint="eastAsia" w:ascii="仿宋" w:hAnsi="仿宋" w:eastAsia="仿宋" w:cs="仿宋"/>
          <w:color w:val="000000"/>
          <w:sz w:val="32"/>
          <w:szCs w:val="32"/>
          <w:lang w:val="zh-TW" w:eastAsia="zh-TW" w:bidi="zh-TW"/>
        </w:rPr>
        <w:t>人</w:t>
      </w:r>
      <w:r>
        <w:rPr>
          <w:rFonts w:hint="eastAsia" w:ascii="仿宋" w:hAnsi="仿宋" w:eastAsia="仿宋" w:cs="仿宋"/>
          <w:color w:val="000000"/>
          <w:sz w:val="32"/>
          <w:szCs w:val="32"/>
          <w:lang w:val="zh-TW" w:bidi="zh-TW"/>
        </w:rPr>
        <w:t>，</w:t>
      </w:r>
      <w:r>
        <w:rPr>
          <w:rFonts w:hint="eastAsia" w:ascii="仿宋" w:hAnsi="仿宋" w:eastAsia="仿宋" w:cs="仿宋"/>
          <w:color w:val="000000"/>
          <w:sz w:val="32"/>
          <w:szCs w:val="32"/>
          <w:lang w:val="zh-TW" w:eastAsia="zh-TW" w:bidi="zh-TW"/>
        </w:rPr>
        <w:t>退休人员</w:t>
      </w:r>
      <w:r>
        <w:rPr>
          <w:rFonts w:hint="eastAsia" w:ascii="仿宋" w:hAnsi="仿宋" w:eastAsia="仿宋" w:cs="仿宋"/>
          <w:color w:val="000000"/>
          <w:sz w:val="32"/>
          <w:szCs w:val="32"/>
          <w:lang w:bidi="zh-TW"/>
        </w:rPr>
        <w:t>1</w:t>
      </w:r>
      <w:r>
        <w:rPr>
          <w:rFonts w:hint="eastAsia" w:ascii="仿宋" w:hAnsi="仿宋" w:eastAsia="仿宋" w:cs="仿宋"/>
          <w:color w:val="000000"/>
          <w:sz w:val="32"/>
          <w:szCs w:val="32"/>
          <w:lang w:val="zh-TW" w:eastAsia="zh-TW" w:bidi="zh-TW"/>
        </w:rPr>
        <w:t>人。</w:t>
      </w:r>
    </w:p>
    <w:p>
      <w:pPr>
        <w:ind w:firstLine="600" w:firstLineChars="200"/>
        <w:rPr>
          <w:rFonts w:ascii="宋体" w:hAnsi="宋体"/>
          <w:sz w:val="30"/>
          <w:szCs w:val="30"/>
        </w:rPr>
      </w:pPr>
      <w:r>
        <w:rPr>
          <w:rFonts w:ascii="宋体" w:hAnsi="宋体"/>
          <w:sz w:val="30"/>
          <w:szCs w:val="30"/>
        </w:rPr>
        <w:t>（二）</w:t>
      </w:r>
      <w:r>
        <w:rPr>
          <w:rFonts w:hint="eastAsia" w:ascii="宋体" w:hAnsi="宋体"/>
          <w:color w:val="000000"/>
          <w:sz w:val="30"/>
          <w:szCs w:val="30"/>
        </w:rPr>
        <w:t>2021</w:t>
      </w:r>
      <w:r>
        <w:rPr>
          <w:rFonts w:ascii="宋体" w:hAnsi="宋体"/>
          <w:sz w:val="30"/>
          <w:szCs w:val="30"/>
        </w:rPr>
        <w:t>年的重点工作</w:t>
      </w:r>
    </w:p>
    <w:p>
      <w:pPr>
        <w:ind w:firstLine="640" w:firstLineChars="200"/>
        <w:rPr>
          <w:rFonts w:ascii="仿宋_GB2312" w:eastAsia="仿宋_GB2312"/>
          <w:sz w:val="32"/>
          <w:szCs w:val="32"/>
        </w:rPr>
      </w:pPr>
      <w:r>
        <w:rPr>
          <w:rFonts w:hint="eastAsia" w:ascii="仿宋_GB2312" w:eastAsia="仿宋_GB2312"/>
          <w:sz w:val="32"/>
          <w:szCs w:val="32"/>
        </w:rPr>
        <w:t>1、扩面征缴工作持续推进。2、降费延续政策精准落实。</w:t>
      </w:r>
    </w:p>
    <w:p>
      <w:pPr>
        <w:ind w:firstLine="627" w:firstLineChars="196"/>
        <w:rPr>
          <w:rFonts w:ascii="仿宋_GB2312" w:eastAsia="仿宋_GB2312"/>
          <w:sz w:val="32"/>
          <w:szCs w:val="32"/>
        </w:rPr>
      </w:pPr>
      <w:r>
        <w:rPr>
          <w:rFonts w:hint="eastAsia" w:ascii="仿宋_GB2312" w:eastAsia="仿宋_GB2312"/>
          <w:sz w:val="32"/>
          <w:szCs w:val="32"/>
        </w:rPr>
        <w:t>3、基金风险防控</w:t>
      </w:r>
      <w:bookmarkStart w:id="3" w:name="_GoBack"/>
      <w:bookmarkEnd w:id="3"/>
      <w:r>
        <w:rPr>
          <w:rFonts w:hint="eastAsia" w:ascii="仿宋_GB2312" w:eastAsia="仿宋_GB2312"/>
          <w:sz w:val="32"/>
          <w:szCs w:val="32"/>
          <w:lang w:eastAsia="zh-CN"/>
        </w:rPr>
        <w:t>常抓不懈</w:t>
      </w:r>
      <w:r>
        <w:rPr>
          <w:rFonts w:hint="eastAsia" w:ascii="仿宋_GB2312" w:eastAsia="仿宋_GB2312"/>
          <w:sz w:val="32"/>
          <w:szCs w:val="32"/>
        </w:rPr>
        <w:t>。4、网银自动报盘和人脸识别生存认证成功实现。5、互联网+政务服务进一步提升。</w:t>
      </w:r>
    </w:p>
    <w:p>
      <w:pPr>
        <w:ind w:firstLine="602" w:firstLineChars="200"/>
        <w:rPr>
          <w:rFonts w:ascii="宋体" w:hAnsi="宋体"/>
          <w:b/>
          <w:sz w:val="30"/>
          <w:szCs w:val="30"/>
        </w:rPr>
      </w:pPr>
      <w:r>
        <w:rPr>
          <w:rFonts w:ascii="宋体" w:hAnsi="宋体"/>
          <w:b/>
          <w:sz w:val="30"/>
          <w:szCs w:val="30"/>
        </w:rPr>
        <w:t>二、</w:t>
      </w:r>
      <w:r>
        <w:rPr>
          <w:rFonts w:hint="eastAsia" w:ascii="宋体" w:hAnsi="宋体"/>
          <w:b/>
          <w:sz w:val="30"/>
          <w:szCs w:val="30"/>
        </w:rPr>
        <w:t>一般公共预算</w:t>
      </w:r>
      <w:r>
        <w:rPr>
          <w:rFonts w:ascii="宋体" w:hAnsi="宋体"/>
          <w:b/>
          <w:sz w:val="30"/>
          <w:szCs w:val="30"/>
        </w:rPr>
        <w:t>支出情况</w:t>
      </w:r>
    </w:p>
    <w:p>
      <w:pPr>
        <w:ind w:firstLine="600" w:firstLineChars="200"/>
        <w:rPr>
          <w:rFonts w:ascii="宋体" w:hAnsi="宋体"/>
          <w:sz w:val="30"/>
          <w:szCs w:val="30"/>
        </w:rPr>
      </w:pPr>
      <w:r>
        <w:rPr>
          <w:rFonts w:ascii="宋体" w:hAnsi="宋体"/>
          <w:sz w:val="30"/>
          <w:szCs w:val="30"/>
        </w:rPr>
        <w:t>（一）基本支出情况。</w:t>
      </w:r>
    </w:p>
    <w:p>
      <w:pPr>
        <w:ind w:firstLine="640" w:firstLineChars="200"/>
        <w:rPr>
          <w:rFonts w:ascii="仿宋" w:hAnsi="仿宋" w:eastAsia="仿宋" w:cs="仿宋"/>
          <w:color w:val="000000"/>
          <w:sz w:val="32"/>
          <w:szCs w:val="32"/>
          <w:lang w:bidi="zh-TW"/>
        </w:rPr>
      </w:pPr>
      <w:r>
        <w:rPr>
          <w:rFonts w:hint="eastAsia" w:ascii="仿宋" w:hAnsi="仿宋" w:eastAsia="仿宋" w:cs="仿宋"/>
          <w:color w:val="000000"/>
          <w:sz w:val="32"/>
          <w:szCs w:val="32"/>
          <w:lang w:bidi="zh-TW"/>
        </w:rPr>
        <w:t>2021</w:t>
      </w:r>
      <w:r>
        <w:rPr>
          <w:rFonts w:hint="eastAsia" w:ascii="仿宋" w:hAnsi="仿宋" w:eastAsia="仿宋" w:cs="仿宋"/>
          <w:color w:val="000000"/>
          <w:sz w:val="32"/>
          <w:szCs w:val="32"/>
          <w:lang w:val="zh-TW" w:bidi="zh-TW"/>
        </w:rPr>
        <w:t>年预算执行总支出</w:t>
      </w:r>
      <w:r>
        <w:rPr>
          <w:rFonts w:hint="eastAsia" w:ascii="仿宋" w:hAnsi="仿宋" w:eastAsia="仿宋" w:cs="仿宋"/>
          <w:color w:val="000000"/>
          <w:sz w:val="32"/>
          <w:szCs w:val="32"/>
          <w:lang w:bidi="zh-TW"/>
        </w:rPr>
        <w:t>94.07万元</w:t>
      </w:r>
      <w:r>
        <w:rPr>
          <w:rFonts w:hint="eastAsia" w:ascii="仿宋" w:hAnsi="仿宋" w:eastAsia="仿宋" w:cs="仿宋"/>
          <w:color w:val="000000"/>
          <w:sz w:val="32"/>
          <w:szCs w:val="32"/>
          <w:lang w:val="zh-TW" w:bidi="zh-TW"/>
        </w:rPr>
        <w:t>，同比</w:t>
      </w:r>
      <w:r>
        <w:rPr>
          <w:rFonts w:hint="eastAsia" w:ascii="仿宋" w:hAnsi="仿宋" w:eastAsia="仿宋" w:cs="仿宋"/>
          <w:color w:val="000000"/>
          <w:sz w:val="32"/>
          <w:szCs w:val="32"/>
          <w:lang w:bidi="zh-TW"/>
        </w:rPr>
        <w:t>减少10.73</w:t>
      </w:r>
      <w:r>
        <w:rPr>
          <w:rFonts w:hint="eastAsia" w:ascii="仿宋" w:hAnsi="仿宋" w:eastAsia="仿宋" w:cs="仿宋"/>
          <w:color w:val="000000"/>
          <w:sz w:val="32"/>
          <w:szCs w:val="32"/>
          <w:lang w:val="zh-TW" w:bidi="zh-TW"/>
        </w:rPr>
        <w:t>万元，</w:t>
      </w:r>
      <w:r>
        <w:rPr>
          <w:rFonts w:hint="eastAsia" w:ascii="仿宋" w:hAnsi="仿宋" w:eastAsia="仿宋" w:cs="仿宋"/>
          <w:color w:val="000000"/>
          <w:sz w:val="32"/>
          <w:szCs w:val="32"/>
          <w:lang w:bidi="zh-TW"/>
        </w:rPr>
        <w:t>增长率-10.24</w:t>
      </w:r>
      <w:r>
        <w:rPr>
          <w:rFonts w:hint="eastAsia" w:ascii="仿宋" w:hAnsi="仿宋" w:eastAsia="仿宋" w:cs="仿宋"/>
          <w:color w:val="000000"/>
          <w:sz w:val="32"/>
          <w:szCs w:val="32"/>
          <w:lang w:val="zh-TW" w:bidi="zh-TW"/>
        </w:rPr>
        <w:t>%。</w:t>
      </w:r>
      <w:r>
        <w:rPr>
          <w:rFonts w:hint="eastAsia" w:ascii="仿宋" w:hAnsi="仿宋" w:eastAsia="仿宋" w:cs="仿宋"/>
          <w:color w:val="000000"/>
          <w:sz w:val="32"/>
          <w:szCs w:val="32"/>
          <w:lang w:bidi="zh-TW"/>
        </w:rPr>
        <w:t>按支出功能分类为</w:t>
      </w:r>
      <w:r>
        <w:rPr>
          <w:rFonts w:hint="eastAsia" w:ascii="仿宋" w:hAnsi="仿宋" w:eastAsia="仿宋" w:cs="仿宋"/>
          <w:color w:val="000000"/>
          <w:sz w:val="32"/>
          <w:szCs w:val="32"/>
          <w:lang w:val="zh-TW" w:bidi="zh-TW"/>
        </w:rPr>
        <w:t>社会保障和就业支出</w:t>
      </w:r>
      <w:r>
        <w:rPr>
          <w:rFonts w:hint="eastAsia" w:ascii="仿宋" w:hAnsi="仿宋" w:eastAsia="仿宋" w:cs="仿宋"/>
          <w:color w:val="000000"/>
          <w:sz w:val="32"/>
          <w:szCs w:val="32"/>
          <w:lang w:bidi="zh-TW"/>
        </w:rPr>
        <w:t>94.07</w:t>
      </w:r>
      <w:r>
        <w:rPr>
          <w:rFonts w:hint="eastAsia" w:ascii="仿宋" w:hAnsi="仿宋" w:eastAsia="仿宋" w:cs="仿宋"/>
          <w:color w:val="000000"/>
          <w:sz w:val="32"/>
          <w:szCs w:val="32"/>
          <w:lang w:val="zh-TW" w:bidi="zh-TW"/>
        </w:rPr>
        <w:t>万元，</w:t>
      </w:r>
      <w:r>
        <w:rPr>
          <w:rFonts w:hint="eastAsia" w:ascii="仿宋" w:hAnsi="仿宋" w:eastAsia="仿宋" w:cs="仿宋"/>
          <w:color w:val="000000"/>
          <w:sz w:val="32"/>
          <w:szCs w:val="32"/>
          <w:lang w:bidi="zh-TW"/>
        </w:rPr>
        <w:t>占比100%</w:t>
      </w:r>
      <w:r>
        <w:rPr>
          <w:rFonts w:hint="eastAsia" w:ascii="仿宋" w:hAnsi="仿宋" w:eastAsia="仿宋" w:cs="仿宋"/>
          <w:color w:val="000000"/>
          <w:sz w:val="32"/>
          <w:szCs w:val="32"/>
          <w:lang w:val="zh-TW" w:bidi="zh-TW"/>
        </w:rPr>
        <w:t>。</w:t>
      </w:r>
      <w:r>
        <w:rPr>
          <w:rFonts w:hint="eastAsia" w:ascii="仿宋" w:hAnsi="仿宋" w:eastAsia="仿宋" w:cs="仿宋"/>
          <w:color w:val="000000"/>
          <w:sz w:val="32"/>
          <w:szCs w:val="32"/>
          <w:lang w:bidi="zh-TW"/>
        </w:rPr>
        <w:t>按安支出性质分类：基本支出94.07万元，其中人员经费83.63万元，公用经费10.44万元；项目支出无。按经济分类：工资福利支出82.</w:t>
      </w:r>
      <w:r>
        <w:rPr>
          <w:rFonts w:hint="eastAsia" w:ascii="仿宋" w:hAnsi="仿宋" w:eastAsia="仿宋" w:cs="仿宋"/>
          <w:color w:val="000000"/>
          <w:sz w:val="32"/>
          <w:szCs w:val="32"/>
          <w:lang w:val="en-US" w:eastAsia="zh-CN" w:bidi="zh-TW"/>
        </w:rPr>
        <w:t>8</w:t>
      </w:r>
      <w:r>
        <w:rPr>
          <w:rFonts w:hint="eastAsia" w:ascii="仿宋" w:hAnsi="仿宋" w:eastAsia="仿宋" w:cs="仿宋"/>
          <w:color w:val="000000"/>
          <w:sz w:val="32"/>
          <w:szCs w:val="32"/>
          <w:lang w:bidi="zh-TW"/>
        </w:rPr>
        <w:t>7万元，商品和服务支出10.44万元，对个人和家庭补助0.76万元，资本性支出无。</w:t>
      </w:r>
    </w:p>
    <w:p>
      <w:pPr>
        <w:ind w:firstLine="640" w:firstLineChars="200"/>
        <w:rPr>
          <w:rFonts w:ascii="仿宋" w:hAnsi="仿宋" w:eastAsia="仿宋" w:cs="仿宋"/>
          <w:color w:val="000000"/>
          <w:sz w:val="32"/>
          <w:szCs w:val="32"/>
          <w:lang w:val="zh-TW" w:bidi="zh-TW"/>
        </w:rPr>
      </w:pPr>
      <w:r>
        <w:rPr>
          <w:rFonts w:hint="eastAsia" w:ascii="仿宋" w:hAnsi="仿宋" w:eastAsia="仿宋" w:cs="仿宋"/>
          <w:color w:val="000000"/>
          <w:sz w:val="32"/>
          <w:szCs w:val="32"/>
          <w:lang w:bidi="zh-TW"/>
        </w:rPr>
        <w:t>一般公共预算财政拨款收入94.07万元，</w:t>
      </w:r>
      <w:r>
        <w:rPr>
          <w:rFonts w:hint="eastAsia" w:ascii="仿宋" w:hAnsi="仿宋" w:eastAsia="仿宋" w:cs="仿宋"/>
          <w:color w:val="000000"/>
          <w:sz w:val="32"/>
          <w:szCs w:val="32"/>
          <w:lang w:val="zh-TW" w:bidi="zh-TW"/>
        </w:rPr>
        <w:t>当年</w:t>
      </w:r>
      <w:r>
        <w:rPr>
          <w:rFonts w:hint="eastAsia" w:ascii="仿宋" w:hAnsi="仿宋" w:eastAsia="仿宋" w:cs="仿宋"/>
          <w:color w:val="000000"/>
          <w:sz w:val="32"/>
          <w:szCs w:val="32"/>
          <w:lang w:bidi="zh-TW"/>
        </w:rPr>
        <w:t>预算执行</w:t>
      </w:r>
      <w:r>
        <w:rPr>
          <w:rFonts w:hint="eastAsia" w:ascii="仿宋" w:hAnsi="仿宋" w:eastAsia="仿宋" w:cs="仿宋"/>
          <w:color w:val="000000"/>
          <w:sz w:val="32"/>
          <w:szCs w:val="32"/>
          <w:lang w:val="zh-TW" w:bidi="zh-TW"/>
        </w:rPr>
        <w:t>收支平衡。</w:t>
      </w:r>
    </w:p>
    <w:p>
      <w:pPr>
        <w:ind w:firstLine="600" w:firstLineChars="200"/>
        <w:rPr>
          <w:rFonts w:ascii="宋体" w:hAnsi="宋体"/>
          <w:sz w:val="30"/>
          <w:szCs w:val="30"/>
        </w:rPr>
      </w:pPr>
      <w:r>
        <w:rPr>
          <w:rFonts w:ascii="宋体" w:hAnsi="宋体"/>
          <w:sz w:val="30"/>
          <w:szCs w:val="30"/>
        </w:rPr>
        <w:t>（二）项目支出情况。</w:t>
      </w:r>
    </w:p>
    <w:p>
      <w:pPr>
        <w:pStyle w:val="6"/>
        <w:spacing w:line="614" w:lineRule="exact"/>
        <w:ind w:left="280" w:firstLine="660"/>
        <w:rPr>
          <w:rFonts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本年度无项目支出 。</w:t>
      </w:r>
    </w:p>
    <w:p>
      <w:pPr>
        <w:ind w:firstLine="600" w:firstLineChars="200"/>
        <w:rPr>
          <w:rFonts w:ascii="宋体" w:hAnsi="宋体"/>
          <w:sz w:val="30"/>
          <w:szCs w:val="30"/>
        </w:rPr>
      </w:pPr>
      <w:r>
        <w:rPr>
          <w:rFonts w:ascii="宋体" w:hAnsi="宋体"/>
          <w:sz w:val="30"/>
          <w:szCs w:val="30"/>
        </w:rPr>
        <w:t>（三）“三公”经费情况</w:t>
      </w:r>
    </w:p>
    <w:p>
      <w:pPr>
        <w:ind w:firstLine="640" w:firstLineChars="200"/>
        <w:rPr>
          <w:rFonts w:ascii="仿宋" w:hAnsi="仿宋" w:eastAsia="仿宋" w:cs="仿宋"/>
          <w:color w:val="000000"/>
          <w:sz w:val="32"/>
          <w:szCs w:val="32"/>
          <w:lang w:bidi="zh-TW"/>
        </w:rPr>
      </w:pPr>
      <w:r>
        <w:rPr>
          <w:rFonts w:hint="eastAsia" w:ascii="仿宋" w:hAnsi="仿宋" w:eastAsia="仿宋" w:cs="仿宋"/>
          <w:color w:val="000000"/>
          <w:sz w:val="32"/>
          <w:szCs w:val="32"/>
          <w:lang w:bidi="zh-TW"/>
        </w:rPr>
        <w:t>1．因公出国（境）费用；</w:t>
      </w:r>
    </w:p>
    <w:p>
      <w:pPr>
        <w:ind w:firstLine="640" w:firstLineChars="200"/>
        <w:rPr>
          <w:rFonts w:ascii="仿宋" w:hAnsi="仿宋" w:eastAsia="仿宋" w:cs="仿宋"/>
          <w:color w:val="000000"/>
          <w:sz w:val="32"/>
          <w:szCs w:val="32"/>
          <w:lang w:bidi="zh-TW"/>
        </w:rPr>
      </w:pPr>
      <w:r>
        <w:rPr>
          <w:rFonts w:hint="eastAsia" w:ascii="仿宋" w:hAnsi="仿宋" w:eastAsia="仿宋" w:cs="仿宋"/>
          <w:color w:val="000000"/>
          <w:sz w:val="32"/>
          <w:szCs w:val="32"/>
          <w:lang w:bidi="zh-TW"/>
        </w:rPr>
        <w:t>2021年因公出国（境）0次，费用为0元</w:t>
      </w:r>
    </w:p>
    <w:p>
      <w:pPr>
        <w:numPr>
          <w:ilvl w:val="0"/>
          <w:numId w:val="1"/>
        </w:numPr>
        <w:ind w:firstLine="600"/>
        <w:rPr>
          <w:rFonts w:ascii="仿宋" w:hAnsi="仿宋" w:eastAsia="仿宋" w:cs="仿宋"/>
          <w:color w:val="000000"/>
          <w:sz w:val="32"/>
          <w:szCs w:val="32"/>
          <w:lang w:bidi="zh-TW"/>
        </w:rPr>
      </w:pPr>
      <w:r>
        <w:rPr>
          <w:rFonts w:hint="eastAsia" w:ascii="仿宋" w:hAnsi="仿宋" w:eastAsia="仿宋" w:cs="仿宋"/>
          <w:color w:val="000000"/>
          <w:sz w:val="32"/>
          <w:szCs w:val="32"/>
          <w:lang w:bidi="zh-TW"/>
        </w:rPr>
        <w:t>公务接待费；</w:t>
      </w:r>
    </w:p>
    <w:p>
      <w:pPr>
        <w:spacing w:line="520" w:lineRule="exact"/>
        <w:ind w:firstLine="640" w:firstLineChars="200"/>
        <w:jc w:val="left"/>
        <w:rPr>
          <w:rFonts w:ascii="仿宋" w:hAnsi="仿宋" w:eastAsia="仿宋" w:cs="仿宋"/>
          <w:color w:val="000000"/>
          <w:sz w:val="32"/>
          <w:szCs w:val="32"/>
          <w:lang w:bidi="zh-TW"/>
        </w:rPr>
      </w:pPr>
      <w:r>
        <w:rPr>
          <w:rFonts w:hint="eastAsia" w:ascii="仿宋" w:hAnsi="仿宋" w:eastAsia="仿宋" w:cs="仿宋"/>
          <w:color w:val="000000"/>
          <w:sz w:val="32"/>
          <w:szCs w:val="32"/>
          <w:lang w:bidi="zh-TW"/>
        </w:rPr>
        <w:t>2021年公务接待经费0.25万元，同比增加0.25万元，增长率100%。主要原因是贯彻执行党中央、国务院厉行节约精神，采取有效措施严格控制和压缩“三公”经费支出。</w:t>
      </w:r>
    </w:p>
    <w:p>
      <w:pPr>
        <w:numPr>
          <w:ilvl w:val="0"/>
          <w:numId w:val="1"/>
        </w:numPr>
        <w:ind w:firstLine="600"/>
        <w:rPr>
          <w:rFonts w:ascii="仿宋" w:hAnsi="仿宋" w:eastAsia="仿宋" w:cs="仿宋"/>
          <w:color w:val="000000"/>
          <w:sz w:val="32"/>
          <w:szCs w:val="32"/>
          <w:lang w:bidi="zh-TW"/>
        </w:rPr>
      </w:pPr>
      <w:r>
        <w:rPr>
          <w:rFonts w:hint="eastAsia" w:ascii="仿宋" w:hAnsi="仿宋" w:eastAsia="仿宋" w:cs="仿宋"/>
          <w:color w:val="000000"/>
          <w:sz w:val="32"/>
          <w:szCs w:val="32"/>
          <w:lang w:bidi="zh-TW"/>
        </w:rPr>
        <w:t>公务用车购置及运行费。</w:t>
      </w:r>
    </w:p>
    <w:p>
      <w:pPr>
        <w:ind w:left="420" w:leftChars="200"/>
        <w:rPr>
          <w:rFonts w:ascii="仿宋" w:hAnsi="仿宋" w:eastAsia="仿宋" w:cs="仿宋"/>
          <w:color w:val="000000"/>
          <w:sz w:val="32"/>
          <w:szCs w:val="32"/>
        </w:rPr>
      </w:pPr>
      <w:r>
        <w:rPr>
          <w:rFonts w:hint="eastAsia" w:ascii="仿宋" w:hAnsi="仿宋" w:eastAsia="仿宋" w:cs="仿宋"/>
          <w:color w:val="000000"/>
          <w:sz w:val="32"/>
          <w:szCs w:val="32"/>
          <w:lang w:bidi="zh-TW"/>
        </w:rPr>
        <w:t xml:space="preserve"> 2021年公务用车购置及运行费为0元。</w:t>
      </w:r>
    </w:p>
    <w:p>
      <w:pPr>
        <w:pStyle w:val="6"/>
        <w:numPr>
          <w:ilvl w:val="0"/>
          <w:numId w:val="2"/>
        </w:numPr>
        <w:tabs>
          <w:tab w:val="left" w:pos="1538"/>
        </w:tabs>
        <w:spacing w:line="614" w:lineRule="exact"/>
        <w:ind w:firstLine="900"/>
        <w:jc w:val="left"/>
        <w:rPr>
          <w:rFonts w:ascii="黑体" w:hAnsi="黑体" w:eastAsia="黑体" w:cs="黑体"/>
          <w:color w:val="000000"/>
          <w:sz w:val="32"/>
          <w:szCs w:val="32"/>
          <w:lang w:val="en-US" w:eastAsia="zh-CN"/>
        </w:rPr>
      </w:pPr>
      <w:r>
        <w:rPr>
          <w:rFonts w:hint="eastAsia" w:ascii="黑体" w:hAnsi="黑体" w:eastAsia="黑体" w:cs="黑体"/>
          <w:color w:val="000000"/>
          <w:sz w:val="32"/>
          <w:szCs w:val="32"/>
        </w:rPr>
        <w:t>政府性基金预算支出情况</w:t>
      </w:r>
      <w:r>
        <w:rPr>
          <w:rFonts w:hint="eastAsia" w:ascii="黑体" w:hAnsi="黑体" w:eastAsia="黑体" w:cs="黑体"/>
          <w:color w:val="000000"/>
          <w:sz w:val="32"/>
          <w:szCs w:val="32"/>
          <w:lang w:eastAsia="zh-CN"/>
        </w:rPr>
        <w:t>：</w:t>
      </w:r>
      <w:r>
        <w:rPr>
          <w:rFonts w:hint="eastAsia" w:ascii="黑体" w:hAnsi="黑体" w:eastAsia="黑体" w:cs="黑体"/>
          <w:color w:val="000000"/>
          <w:sz w:val="32"/>
          <w:szCs w:val="32"/>
          <w:lang w:val="en-US" w:eastAsia="zh-CN"/>
        </w:rPr>
        <w:t>无</w:t>
      </w:r>
    </w:p>
    <w:p>
      <w:pPr>
        <w:pStyle w:val="6"/>
        <w:tabs>
          <w:tab w:val="left" w:pos="1538"/>
        </w:tabs>
        <w:spacing w:line="614" w:lineRule="exact"/>
        <w:ind w:firstLine="900"/>
        <w:jc w:val="left"/>
        <w:rPr>
          <w:rFonts w:ascii="黑体" w:hAnsi="黑体" w:eastAsia="黑体" w:cs="黑体"/>
          <w:sz w:val="32"/>
          <w:szCs w:val="32"/>
          <w:lang w:val="en-US" w:eastAsia="zh-CN"/>
        </w:rPr>
      </w:pPr>
      <w:bookmarkStart w:id="0" w:name="bookmark82"/>
      <w:r>
        <w:rPr>
          <w:rFonts w:hint="eastAsia" w:ascii="黑体" w:hAnsi="黑体" w:eastAsia="黑体" w:cs="黑体"/>
          <w:color w:val="000000"/>
          <w:sz w:val="32"/>
          <w:szCs w:val="32"/>
        </w:rPr>
        <w:t>四</w:t>
      </w:r>
      <w:bookmarkEnd w:id="0"/>
      <w:r>
        <w:rPr>
          <w:rFonts w:hint="eastAsia" w:ascii="黑体" w:hAnsi="黑体" w:eastAsia="黑体" w:cs="黑体"/>
          <w:color w:val="000000"/>
          <w:sz w:val="32"/>
          <w:szCs w:val="32"/>
        </w:rPr>
        <w:t>、国有资本经营预算支出情况</w:t>
      </w:r>
      <w:r>
        <w:rPr>
          <w:rFonts w:hint="eastAsia" w:ascii="黑体" w:hAnsi="黑体" w:eastAsia="黑体" w:cs="黑体"/>
          <w:color w:val="000000"/>
          <w:sz w:val="32"/>
          <w:szCs w:val="32"/>
          <w:lang w:eastAsia="zh-CN"/>
        </w:rPr>
        <w:t>：</w:t>
      </w:r>
      <w:r>
        <w:rPr>
          <w:rFonts w:hint="eastAsia" w:ascii="黑体" w:hAnsi="黑体" w:eastAsia="黑体" w:cs="黑体"/>
          <w:color w:val="000000"/>
          <w:sz w:val="32"/>
          <w:szCs w:val="32"/>
          <w:lang w:val="en-US" w:eastAsia="zh-CN"/>
        </w:rPr>
        <w:t>无</w:t>
      </w:r>
    </w:p>
    <w:p>
      <w:pPr>
        <w:pStyle w:val="6"/>
        <w:tabs>
          <w:tab w:val="left" w:pos="1538"/>
        </w:tabs>
        <w:spacing w:line="614" w:lineRule="exact"/>
        <w:ind w:firstLine="900"/>
        <w:jc w:val="left"/>
        <w:rPr>
          <w:rFonts w:ascii="黑体" w:hAnsi="黑体" w:eastAsia="黑体" w:cs="黑体"/>
          <w:sz w:val="32"/>
          <w:szCs w:val="32"/>
          <w:lang w:val="en-US" w:eastAsia="zh-CN"/>
        </w:rPr>
      </w:pPr>
      <w:bookmarkStart w:id="1" w:name="bookmark83"/>
      <w:r>
        <w:rPr>
          <w:rFonts w:hint="eastAsia" w:ascii="黑体" w:hAnsi="黑体" w:eastAsia="黑体" w:cs="黑体"/>
          <w:color w:val="000000"/>
          <w:sz w:val="32"/>
          <w:szCs w:val="32"/>
        </w:rPr>
        <w:t>五</w:t>
      </w:r>
      <w:bookmarkEnd w:id="1"/>
      <w:r>
        <w:rPr>
          <w:rFonts w:hint="eastAsia" w:ascii="黑体" w:hAnsi="黑体" w:eastAsia="黑体" w:cs="黑体"/>
          <w:color w:val="000000"/>
          <w:sz w:val="32"/>
          <w:szCs w:val="32"/>
        </w:rPr>
        <w:t>、社会保险基金预算支出情况</w:t>
      </w:r>
      <w:r>
        <w:rPr>
          <w:rFonts w:hint="eastAsia" w:ascii="黑体" w:hAnsi="黑体" w:eastAsia="黑体" w:cs="黑体"/>
          <w:color w:val="000000"/>
          <w:sz w:val="32"/>
          <w:szCs w:val="32"/>
          <w:lang w:eastAsia="zh-CN"/>
        </w:rPr>
        <w:t>：</w:t>
      </w:r>
      <w:r>
        <w:rPr>
          <w:rFonts w:hint="eastAsia" w:ascii="黑体" w:hAnsi="黑体" w:eastAsia="黑体" w:cs="黑体"/>
          <w:color w:val="000000"/>
          <w:sz w:val="32"/>
          <w:szCs w:val="32"/>
          <w:lang w:val="en-US" w:eastAsia="zh-CN"/>
        </w:rPr>
        <w:t>无</w:t>
      </w:r>
    </w:p>
    <w:p>
      <w:pPr>
        <w:pStyle w:val="6"/>
        <w:tabs>
          <w:tab w:val="left" w:pos="1538"/>
        </w:tabs>
        <w:spacing w:line="614" w:lineRule="exact"/>
        <w:ind w:firstLine="900"/>
        <w:jc w:val="left"/>
        <w:rPr>
          <w:rFonts w:ascii="黑体" w:hAnsi="黑体" w:eastAsia="黑体" w:cs="黑体"/>
          <w:color w:val="000000"/>
          <w:sz w:val="32"/>
          <w:szCs w:val="32"/>
        </w:rPr>
      </w:pPr>
      <w:bookmarkStart w:id="2" w:name="bookmark84"/>
      <w:r>
        <w:rPr>
          <w:rFonts w:hint="eastAsia" w:ascii="黑体" w:hAnsi="黑体" w:eastAsia="黑体" w:cs="黑体"/>
          <w:color w:val="000000"/>
          <w:sz w:val="32"/>
          <w:szCs w:val="32"/>
        </w:rPr>
        <w:t>六</w:t>
      </w:r>
      <w:bookmarkEnd w:id="2"/>
      <w:r>
        <w:rPr>
          <w:rFonts w:hint="eastAsia" w:ascii="黑体" w:hAnsi="黑体" w:eastAsia="黑体" w:cs="黑体"/>
          <w:color w:val="000000"/>
          <w:sz w:val="32"/>
          <w:szCs w:val="32"/>
        </w:rPr>
        <w:t>、部门整体支出绩效情况</w:t>
      </w:r>
    </w:p>
    <w:p>
      <w:pPr>
        <w:ind w:firstLine="640" w:firstLineChars="200"/>
        <w:rPr>
          <w:rFonts w:ascii="仿宋" w:hAnsi="仿宋" w:eastAsia="仿宋" w:cs="仿宋"/>
          <w:color w:val="000000"/>
          <w:sz w:val="32"/>
          <w:szCs w:val="32"/>
        </w:rPr>
      </w:pPr>
      <w:r>
        <w:rPr>
          <w:rFonts w:hint="eastAsia" w:ascii="仿宋" w:hAnsi="仿宋" w:eastAsia="仿宋" w:cs="仿宋"/>
          <w:color w:val="000000"/>
          <w:sz w:val="32"/>
          <w:szCs w:val="32"/>
        </w:rPr>
        <w:t>2021年在</w:t>
      </w:r>
      <w:r>
        <w:rPr>
          <w:rFonts w:hint="eastAsia" w:ascii="仿宋" w:hAnsi="仿宋" w:eastAsia="仿宋" w:cs="仿宋"/>
          <w:color w:val="000000"/>
          <w:sz w:val="32"/>
          <w:szCs w:val="32"/>
          <w:lang w:bidi="zh-TW"/>
        </w:rPr>
        <w:t>一般公共预算财政拨款收入94.07万元</w:t>
      </w:r>
      <w:r>
        <w:rPr>
          <w:rFonts w:hint="eastAsia" w:ascii="仿宋" w:hAnsi="仿宋" w:eastAsia="仿宋" w:cs="仿宋"/>
          <w:color w:val="000000"/>
          <w:sz w:val="32"/>
          <w:szCs w:val="32"/>
        </w:rPr>
        <w:t>以内，完成本单位正常工作和区委区政府安排的重点工作，确保干部职工工资福利发放；合法开支，在政策允许的范围内使用工作经费。</w:t>
      </w:r>
    </w:p>
    <w:p>
      <w:pPr>
        <w:ind w:firstLine="602" w:firstLineChars="200"/>
        <w:rPr>
          <w:rFonts w:ascii="宋体" w:hAnsi="宋体"/>
          <w:b/>
          <w:sz w:val="30"/>
          <w:szCs w:val="30"/>
        </w:rPr>
      </w:pPr>
      <w:r>
        <w:rPr>
          <w:rFonts w:hint="eastAsia" w:ascii="宋体" w:hAnsi="宋体"/>
          <w:b/>
          <w:sz w:val="30"/>
          <w:szCs w:val="30"/>
        </w:rPr>
        <w:t>七、绩效自评得分情况及绩效等级。</w:t>
      </w:r>
    </w:p>
    <w:p>
      <w:pPr>
        <w:ind w:firstLine="600" w:firstLineChars="200"/>
        <w:rPr>
          <w:rFonts w:ascii="宋体" w:hAnsi="宋体"/>
          <w:sz w:val="30"/>
          <w:szCs w:val="30"/>
        </w:rPr>
      </w:pPr>
      <w:r>
        <w:rPr>
          <w:rFonts w:hint="eastAsia" w:ascii="宋体" w:hAnsi="宋体"/>
          <w:sz w:val="30"/>
          <w:szCs w:val="30"/>
        </w:rPr>
        <w:t>绩效自评得分99分，绩效等级优秀。</w:t>
      </w:r>
    </w:p>
    <w:p>
      <w:pPr>
        <w:ind w:firstLine="602" w:firstLineChars="200"/>
        <w:rPr>
          <w:rFonts w:ascii="宋体" w:hAnsi="宋体"/>
          <w:b/>
          <w:sz w:val="30"/>
          <w:szCs w:val="30"/>
        </w:rPr>
      </w:pPr>
      <w:r>
        <w:rPr>
          <w:rFonts w:hint="eastAsia" w:ascii="宋体" w:hAnsi="宋体"/>
          <w:b/>
          <w:sz w:val="30"/>
          <w:szCs w:val="30"/>
        </w:rPr>
        <w:t>八</w:t>
      </w:r>
      <w:r>
        <w:rPr>
          <w:rFonts w:ascii="宋体" w:hAnsi="宋体"/>
          <w:b/>
          <w:sz w:val="30"/>
          <w:szCs w:val="30"/>
        </w:rPr>
        <w:t>、存在的问题</w:t>
      </w:r>
      <w:r>
        <w:rPr>
          <w:rFonts w:hint="eastAsia" w:ascii="宋体" w:hAnsi="宋体"/>
          <w:b/>
          <w:sz w:val="30"/>
          <w:szCs w:val="30"/>
        </w:rPr>
        <w:t>及原因分析</w:t>
      </w:r>
    </w:p>
    <w:p>
      <w:pPr>
        <w:spacing w:line="520" w:lineRule="exact"/>
        <w:ind w:firstLine="640" w:firstLineChars="200"/>
        <w:jc w:val="left"/>
        <w:rPr>
          <w:rFonts w:ascii="宋体" w:hAnsi="宋体"/>
          <w:b/>
          <w:sz w:val="30"/>
          <w:szCs w:val="30"/>
        </w:rPr>
      </w:pPr>
      <w:r>
        <w:rPr>
          <w:rFonts w:hint="eastAsia" w:ascii="仿宋" w:hAnsi="仿宋" w:eastAsia="仿宋" w:cs="仿宋"/>
          <w:color w:val="000000"/>
          <w:sz w:val="32"/>
          <w:szCs w:val="32"/>
        </w:rPr>
        <w:t>预算执行支出的公用经费大于预算安排的公用经费，主要原因是本单位承担的全区性工作量大，预算外支出多。</w:t>
      </w:r>
    </w:p>
    <w:p>
      <w:pPr>
        <w:numPr>
          <w:ilvl w:val="0"/>
          <w:numId w:val="3"/>
        </w:numPr>
        <w:ind w:firstLine="602" w:firstLineChars="200"/>
        <w:rPr>
          <w:rFonts w:ascii="宋体" w:hAnsi="宋体"/>
          <w:b/>
          <w:sz w:val="30"/>
          <w:szCs w:val="30"/>
        </w:rPr>
      </w:pPr>
      <w:r>
        <w:rPr>
          <w:rFonts w:ascii="宋体" w:hAnsi="宋体"/>
          <w:b/>
          <w:sz w:val="30"/>
          <w:szCs w:val="30"/>
        </w:rPr>
        <w:t>改进措施和有关建议</w:t>
      </w:r>
    </w:p>
    <w:p>
      <w:pPr>
        <w:spacing w:line="520" w:lineRule="exact"/>
        <w:ind w:firstLine="640" w:firstLineChars="200"/>
        <w:jc w:val="left"/>
        <w:rPr>
          <w:rFonts w:ascii="仿宋" w:hAnsi="仿宋" w:eastAsia="仿宋" w:cs="仿宋"/>
          <w:color w:val="000000"/>
          <w:sz w:val="32"/>
          <w:szCs w:val="32"/>
        </w:rPr>
      </w:pPr>
      <w:r>
        <w:rPr>
          <w:rFonts w:hint="eastAsia" w:ascii="仿宋" w:hAnsi="仿宋" w:eastAsia="仿宋" w:cs="仿宋"/>
          <w:color w:val="000000"/>
          <w:sz w:val="32"/>
          <w:szCs w:val="32"/>
        </w:rPr>
        <w:t>贯彻落实节约制度，尽力压缩支出，将节约开支作为一项制度来执行，确保国有资产用之有度、用之有效、用之有方。</w:t>
      </w:r>
    </w:p>
    <w:p>
      <w:pPr>
        <w:ind w:firstLine="602" w:firstLineChars="200"/>
        <w:rPr>
          <w:rFonts w:ascii="宋体" w:hAnsi="宋体"/>
          <w:b/>
          <w:sz w:val="30"/>
          <w:szCs w:val="30"/>
        </w:rPr>
      </w:pPr>
      <w:r>
        <w:rPr>
          <w:rFonts w:hint="eastAsia" w:ascii="宋体" w:hAnsi="宋体"/>
          <w:b/>
          <w:sz w:val="30"/>
          <w:szCs w:val="30"/>
        </w:rPr>
        <w:t>十、其他需要说明的情况：无</w:t>
      </w:r>
    </w:p>
    <w:p>
      <w:pPr>
        <w:ind w:firstLine="602" w:firstLineChars="200"/>
        <w:rPr>
          <w:rFonts w:ascii="宋体" w:hAnsi="宋体"/>
          <w:b/>
          <w:sz w:val="30"/>
          <w:szCs w:val="30"/>
        </w:rPr>
      </w:pPr>
    </w:p>
    <w:p>
      <w:pPr>
        <w:ind w:firstLine="640" w:firstLineChars="200"/>
        <w:jc w:val="right"/>
        <w:rPr>
          <w:rFonts w:ascii="仿宋" w:hAnsi="仿宋" w:eastAsia="仿宋" w:cs="仿宋"/>
          <w:color w:val="000000"/>
          <w:sz w:val="32"/>
          <w:szCs w:val="32"/>
        </w:rPr>
      </w:pPr>
      <w:r>
        <w:rPr>
          <w:rFonts w:hint="eastAsia" w:ascii="仿宋" w:hAnsi="仿宋" w:eastAsia="仿宋" w:cs="仿宋"/>
          <w:color w:val="000000"/>
          <w:sz w:val="32"/>
          <w:szCs w:val="32"/>
        </w:rPr>
        <w:t>冷水滩区工伤保险服务中心</w:t>
      </w:r>
    </w:p>
    <w:p>
      <w:pPr>
        <w:ind w:firstLine="640" w:firstLineChars="200"/>
        <w:rPr>
          <w:rFonts w:ascii="仿宋" w:hAnsi="仿宋" w:eastAsia="仿宋" w:cs="仿宋"/>
          <w:color w:val="000000"/>
          <w:sz w:val="32"/>
          <w:szCs w:val="32"/>
        </w:rPr>
      </w:pPr>
      <w:r>
        <w:rPr>
          <w:rFonts w:hint="eastAsia" w:ascii="仿宋" w:hAnsi="仿宋" w:eastAsia="仿宋" w:cs="仿宋"/>
          <w:color w:val="000000"/>
          <w:sz w:val="32"/>
          <w:szCs w:val="32"/>
        </w:rPr>
        <w:t xml:space="preserve">                        2022年8月24日</w:t>
      </w:r>
    </w:p>
    <w:p>
      <w:pPr>
        <w:ind w:firstLine="602" w:firstLineChars="200"/>
        <w:rPr>
          <w:rFonts w:ascii="宋体" w:hAnsi="宋体"/>
          <w:b/>
          <w:sz w:val="30"/>
          <w:szCs w:val="30"/>
        </w:rPr>
      </w:pPr>
    </w:p>
    <w:p>
      <w:pPr>
        <w:ind w:firstLine="602" w:firstLineChars="200"/>
        <w:rPr>
          <w:rFonts w:ascii="宋体" w:hAnsi="宋体"/>
          <w:b/>
          <w:sz w:val="30"/>
          <w:szCs w:val="30"/>
        </w:rPr>
      </w:pPr>
    </w:p>
    <w:p>
      <w:pPr>
        <w:ind w:firstLine="602" w:firstLineChars="200"/>
        <w:rPr>
          <w:rFonts w:ascii="宋体" w:hAnsi="宋体"/>
          <w:b/>
          <w:sz w:val="30"/>
          <w:szCs w:val="30"/>
        </w:rPr>
      </w:pPr>
    </w:p>
    <w:p>
      <w:pPr>
        <w:spacing w:line="560" w:lineRule="exact"/>
        <w:rPr>
          <w:rFonts w:ascii="仿宋_GB2312" w:eastAsia="仿宋_GB2312"/>
          <w:color w:val="000000"/>
          <w:sz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p>
    <w:p>
      <w:pPr>
        <w:widowControl/>
        <w:rPr>
          <w:rFonts w:ascii="黑体" w:hAnsi="宋体" w:eastAsia="黑体" w:cs="宋体"/>
          <w:bCs/>
          <w:kern w:val="0"/>
          <w:sz w:val="32"/>
          <w:szCs w:val="32"/>
        </w:rPr>
      </w:pPr>
      <w:r>
        <w:rPr>
          <w:rFonts w:hint="eastAsia" w:ascii="黑体" w:hAnsi="宋体" w:eastAsia="黑体" w:cs="宋体"/>
          <w:bCs/>
          <w:kern w:val="0"/>
          <w:sz w:val="32"/>
          <w:szCs w:val="32"/>
        </w:rPr>
        <w:t>附件4</w:t>
      </w:r>
    </w:p>
    <w:p>
      <w:pPr>
        <w:spacing w:line="560" w:lineRule="exact"/>
        <w:jc w:val="center"/>
        <w:rPr>
          <w:rFonts w:eastAsia="方正小标宋_GBK"/>
          <w:kern w:val="0"/>
          <w:sz w:val="44"/>
          <w:szCs w:val="44"/>
        </w:rPr>
      </w:pPr>
      <w:r>
        <w:rPr>
          <w:rFonts w:hint="eastAsia" w:eastAsia="方正小标宋_GBK"/>
          <w:kern w:val="0"/>
          <w:sz w:val="44"/>
          <w:szCs w:val="44"/>
        </w:rPr>
        <w:t>2021</w:t>
      </w:r>
      <w:r>
        <w:rPr>
          <w:rFonts w:hint="eastAsia" w:ascii="宋体" w:hAnsi="宋体" w:cs="宋体"/>
          <w:kern w:val="0"/>
          <w:sz w:val="44"/>
          <w:szCs w:val="44"/>
        </w:rPr>
        <w:t>年度</w:t>
      </w:r>
      <w:r>
        <w:rPr>
          <w:rFonts w:hint="eastAsia" w:eastAsia="方正小标宋_GBK"/>
          <w:kern w:val="0"/>
          <w:sz w:val="44"/>
          <w:szCs w:val="44"/>
        </w:rPr>
        <w:t>部门整体支出绩效评价表</w:t>
      </w:r>
    </w:p>
    <w:tbl>
      <w:tblPr>
        <w:tblStyle w:val="4"/>
        <w:tblW w:w="10676" w:type="dxa"/>
        <w:jc w:val="center"/>
        <w:tblLayout w:type="fixed"/>
        <w:tblCellMar>
          <w:top w:w="0" w:type="dxa"/>
          <w:left w:w="108" w:type="dxa"/>
          <w:bottom w:w="0" w:type="dxa"/>
          <w:right w:w="108" w:type="dxa"/>
        </w:tblCellMar>
      </w:tblPr>
      <w:tblGrid>
        <w:gridCol w:w="521"/>
        <w:gridCol w:w="419"/>
        <w:gridCol w:w="682"/>
        <w:gridCol w:w="419"/>
        <w:gridCol w:w="1203"/>
        <w:gridCol w:w="481"/>
        <w:gridCol w:w="2999"/>
        <w:gridCol w:w="3427"/>
        <w:gridCol w:w="525"/>
      </w:tblGrid>
      <w:tr>
        <w:tblPrEx>
          <w:tblCellMar>
            <w:top w:w="0" w:type="dxa"/>
            <w:left w:w="108" w:type="dxa"/>
            <w:bottom w:w="0" w:type="dxa"/>
            <w:right w:w="108" w:type="dxa"/>
          </w:tblCellMar>
        </w:tblPrEx>
        <w:trPr>
          <w:trHeight w:val="952" w:hRule="atLeast"/>
          <w:tblHeader/>
          <w:jc w:val="center"/>
        </w:trPr>
        <w:tc>
          <w:tcPr>
            <w:tcW w:w="521"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一级指标</w:t>
            </w:r>
          </w:p>
        </w:tc>
        <w:tc>
          <w:tcPr>
            <w:tcW w:w="419"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分值</w:t>
            </w:r>
          </w:p>
        </w:tc>
        <w:tc>
          <w:tcPr>
            <w:tcW w:w="682"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二级指标</w:t>
            </w:r>
          </w:p>
        </w:tc>
        <w:tc>
          <w:tcPr>
            <w:tcW w:w="419"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分值</w:t>
            </w:r>
          </w:p>
        </w:tc>
        <w:tc>
          <w:tcPr>
            <w:tcW w:w="1203"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三级</w:t>
            </w:r>
          </w:p>
          <w:p>
            <w:pPr>
              <w:widowControl/>
              <w:jc w:val="center"/>
              <w:rPr>
                <w:rFonts w:eastAsia="仿宋_GB2312"/>
                <w:kern w:val="0"/>
                <w:sz w:val="20"/>
                <w:szCs w:val="20"/>
              </w:rPr>
            </w:pPr>
            <w:r>
              <w:rPr>
                <w:rFonts w:hint="eastAsia" w:eastAsia="仿宋_GB2312"/>
                <w:kern w:val="0"/>
                <w:sz w:val="20"/>
                <w:szCs w:val="20"/>
              </w:rPr>
              <w:t>指标</w:t>
            </w:r>
          </w:p>
        </w:tc>
        <w:tc>
          <w:tcPr>
            <w:tcW w:w="481"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分值</w:t>
            </w:r>
          </w:p>
        </w:tc>
        <w:tc>
          <w:tcPr>
            <w:tcW w:w="2999"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评价标准</w:t>
            </w:r>
          </w:p>
        </w:tc>
        <w:tc>
          <w:tcPr>
            <w:tcW w:w="3427"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指标说明</w:t>
            </w:r>
          </w:p>
        </w:tc>
        <w:tc>
          <w:tcPr>
            <w:tcW w:w="525"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得分</w:t>
            </w:r>
          </w:p>
        </w:tc>
      </w:tr>
      <w:tr>
        <w:tblPrEx>
          <w:tblCellMar>
            <w:top w:w="0" w:type="dxa"/>
            <w:left w:w="108" w:type="dxa"/>
            <w:bottom w:w="0" w:type="dxa"/>
            <w:right w:w="108" w:type="dxa"/>
          </w:tblCellMar>
        </w:tblPrEx>
        <w:trPr>
          <w:trHeight w:val="1423" w:hRule="atLeast"/>
          <w:jc w:val="center"/>
        </w:trPr>
        <w:tc>
          <w:tcPr>
            <w:tcW w:w="521" w:type="dxa"/>
            <w:vMerge w:val="restart"/>
            <w:tcBorders>
              <w:top w:val="nil"/>
              <w:left w:val="single" w:color="auto" w:sz="4" w:space="0"/>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投入</w:t>
            </w:r>
          </w:p>
        </w:tc>
        <w:tc>
          <w:tcPr>
            <w:tcW w:w="41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682" w:type="dxa"/>
            <w:vMerge w:val="restart"/>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预算配置</w:t>
            </w:r>
          </w:p>
        </w:tc>
        <w:tc>
          <w:tcPr>
            <w:tcW w:w="41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在职人员控制率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nil"/>
              <w:right w:val="nil"/>
            </w:tcBorders>
            <w:vAlign w:val="center"/>
          </w:tcPr>
          <w:p>
            <w:pPr>
              <w:widowControl/>
              <w:jc w:val="left"/>
              <w:rPr>
                <w:rFonts w:eastAsia="仿宋_GB2312"/>
                <w:kern w:val="0"/>
                <w:sz w:val="20"/>
                <w:szCs w:val="20"/>
              </w:rPr>
            </w:pPr>
            <w:r>
              <w:rPr>
                <w:rFonts w:hint="eastAsia" w:eastAsia="仿宋_GB2312"/>
                <w:kern w:val="0"/>
                <w:sz w:val="20"/>
                <w:szCs w:val="20"/>
              </w:rPr>
              <w:t>以</w:t>
            </w:r>
            <w:r>
              <w:rPr>
                <w:rFonts w:eastAsia="仿宋_GB2312"/>
                <w:kern w:val="0"/>
                <w:sz w:val="20"/>
                <w:szCs w:val="20"/>
              </w:rPr>
              <w:t>100%</w:t>
            </w:r>
            <w:r>
              <w:rPr>
                <w:rFonts w:hint="eastAsia" w:eastAsia="仿宋_GB2312"/>
                <w:kern w:val="0"/>
                <w:sz w:val="20"/>
                <w:szCs w:val="20"/>
              </w:rPr>
              <w:t>为标准。在职人员控制率</w:t>
            </w:r>
            <w:r>
              <w:rPr>
                <w:rFonts w:hint="eastAsia" w:ascii="宋体" w:hAnsi="宋体" w:cs="宋体"/>
                <w:kern w:val="0"/>
                <w:sz w:val="20"/>
                <w:szCs w:val="20"/>
              </w:rPr>
              <w:t>≦</w:t>
            </w:r>
            <w:r>
              <w:rPr>
                <w:rFonts w:eastAsia="仿宋_GB2312"/>
                <w:kern w:val="0"/>
                <w:sz w:val="20"/>
                <w:szCs w:val="20"/>
              </w:rPr>
              <w:t>100%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分；每超过一个百分点扣</w:t>
            </w:r>
            <w:r>
              <w:rPr>
                <w:rFonts w:eastAsia="仿宋_GB2312"/>
                <w:kern w:val="0"/>
                <w:sz w:val="20"/>
                <w:szCs w:val="20"/>
              </w:rPr>
              <w:t>0.5</w:t>
            </w:r>
            <w:r>
              <w:rPr>
                <w:rFonts w:hint="eastAsia" w:eastAsia="仿宋_GB2312"/>
                <w:kern w:val="0"/>
                <w:sz w:val="20"/>
                <w:szCs w:val="20"/>
              </w:rPr>
              <w:t>分，扣完为止。</w:t>
            </w:r>
          </w:p>
        </w:tc>
        <w:tc>
          <w:tcPr>
            <w:tcW w:w="3427"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在职人员控制率</w:t>
            </w:r>
            <w:r>
              <w:rPr>
                <w:rFonts w:eastAsia="仿宋_GB2312"/>
                <w:kern w:val="0"/>
                <w:sz w:val="20"/>
                <w:szCs w:val="20"/>
              </w:rPr>
              <w:t>=</w:t>
            </w:r>
            <w:r>
              <w:rPr>
                <w:rFonts w:hint="eastAsia" w:eastAsia="仿宋_GB2312"/>
                <w:kern w:val="0"/>
                <w:sz w:val="20"/>
                <w:szCs w:val="20"/>
              </w:rPr>
              <w:t>（在职人员数</w:t>
            </w:r>
            <w:r>
              <w:rPr>
                <w:rFonts w:eastAsia="仿宋_GB2312"/>
                <w:kern w:val="0"/>
                <w:sz w:val="20"/>
                <w:szCs w:val="20"/>
              </w:rPr>
              <w:t>/</w:t>
            </w:r>
            <w:r>
              <w:rPr>
                <w:rFonts w:hint="eastAsia" w:eastAsia="仿宋_GB2312"/>
                <w:kern w:val="0"/>
                <w:sz w:val="20"/>
                <w:szCs w:val="20"/>
              </w:rPr>
              <w:t>编制数）</w:t>
            </w:r>
            <w:r>
              <w:rPr>
                <w:rFonts w:eastAsia="仿宋_GB2312"/>
                <w:kern w:val="0"/>
                <w:sz w:val="20"/>
                <w:szCs w:val="20"/>
              </w:rPr>
              <w:t>×100%</w:t>
            </w:r>
            <w:r>
              <w:rPr>
                <w:rFonts w:hint="eastAsia" w:eastAsia="仿宋_GB2312"/>
                <w:kern w:val="0"/>
                <w:sz w:val="20"/>
                <w:szCs w:val="20"/>
              </w:rPr>
              <w:t>，在职人员数：部门（单位）实际在职人数，以市财政局确定的部门决算编制口径为准。</w:t>
            </w:r>
            <w:r>
              <w:rPr>
                <w:rFonts w:eastAsia="仿宋_GB2312"/>
                <w:kern w:val="0"/>
                <w:sz w:val="20"/>
                <w:szCs w:val="20"/>
              </w:rPr>
              <w:br w:type="textWrapping"/>
            </w:r>
            <w:r>
              <w:rPr>
                <w:rFonts w:hint="eastAsia" w:eastAsia="仿宋_GB2312"/>
                <w:kern w:val="0"/>
                <w:sz w:val="20"/>
                <w:szCs w:val="20"/>
              </w:rPr>
              <w:t>编制数：机构编制部门核定批复的部门（单位）的人员编制数。</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5</w:t>
            </w:r>
          </w:p>
        </w:tc>
      </w:tr>
      <w:tr>
        <w:tblPrEx>
          <w:tblCellMar>
            <w:top w:w="0" w:type="dxa"/>
            <w:left w:w="108" w:type="dxa"/>
            <w:bottom w:w="0" w:type="dxa"/>
            <w:right w:w="108" w:type="dxa"/>
          </w:tblCellMar>
        </w:tblPrEx>
        <w:trPr>
          <w:trHeight w:val="716" w:hRule="atLeast"/>
          <w:jc w:val="center"/>
        </w:trPr>
        <w:tc>
          <w:tcPr>
            <w:tcW w:w="521"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nil"/>
              <w:bottom w:val="single" w:color="auto"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999"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r>
              <w:rPr>
                <w:rFonts w:hint="eastAsia" w:ascii="宋体" w:hAnsi="宋体" w:cs="宋体"/>
                <w:kern w:val="0"/>
                <w:sz w:val="20"/>
                <w:szCs w:val="20"/>
              </w:rPr>
              <w:t>≦</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8</w:t>
            </w:r>
            <w:r>
              <w:rPr>
                <w:rFonts w:hint="eastAsia" w:eastAsia="仿宋_GB2312"/>
                <w:kern w:val="0"/>
                <w:sz w:val="20"/>
                <w:szCs w:val="20"/>
              </w:rPr>
              <w:t>分；</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w:t>
            </w:r>
            <w:r>
              <w:rPr>
                <w:rFonts w:eastAsia="仿宋_GB2312"/>
                <w:kern w:val="0"/>
                <w:sz w:val="20"/>
                <w:szCs w:val="20"/>
              </w:rPr>
              <w:t>0</w:t>
            </w:r>
            <w:r>
              <w:rPr>
                <w:rFonts w:hint="eastAsia" w:eastAsia="仿宋_GB2312"/>
                <w:kern w:val="0"/>
                <w:sz w:val="20"/>
                <w:szCs w:val="20"/>
              </w:rPr>
              <w:t>，每超过一个百分点扣</w:t>
            </w:r>
            <w:r>
              <w:rPr>
                <w:rFonts w:eastAsia="仿宋_GB2312"/>
                <w:kern w:val="0"/>
                <w:sz w:val="20"/>
                <w:szCs w:val="20"/>
              </w:rPr>
              <w:t>0.8</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变动率</w:t>
            </w:r>
            <w:r>
              <w:rPr>
                <w:rFonts w:eastAsia="仿宋_GB2312"/>
                <w:kern w:val="0"/>
                <w:sz w:val="20"/>
                <w:szCs w:val="20"/>
              </w:rPr>
              <w:t>=[</w:t>
            </w:r>
            <w:r>
              <w:rPr>
                <w:rFonts w:hint="eastAsia" w:eastAsia="仿宋_GB2312"/>
                <w:kern w:val="0"/>
                <w:sz w:val="20"/>
                <w:szCs w:val="20"/>
              </w:rPr>
              <w:t>（本年度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预算数</w:t>
            </w:r>
            <w:r>
              <w:rPr>
                <w:rFonts w:eastAsia="仿宋_GB2312"/>
                <w:kern w:val="0"/>
                <w:sz w:val="20"/>
                <w:szCs w:val="20"/>
              </w:rPr>
              <w:t>]×100%</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4</w:t>
            </w:r>
          </w:p>
        </w:tc>
      </w:tr>
      <w:tr>
        <w:tblPrEx>
          <w:tblCellMar>
            <w:top w:w="0" w:type="dxa"/>
            <w:left w:w="108" w:type="dxa"/>
            <w:bottom w:w="0" w:type="dxa"/>
            <w:right w:w="108" w:type="dxa"/>
          </w:tblCellMar>
        </w:tblPrEx>
        <w:trPr>
          <w:trHeight w:val="716" w:hRule="atLeast"/>
          <w:jc w:val="center"/>
        </w:trPr>
        <w:tc>
          <w:tcPr>
            <w:tcW w:w="521"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过程</w:t>
            </w:r>
          </w:p>
        </w:tc>
        <w:tc>
          <w:tcPr>
            <w:tcW w:w="41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60</w:t>
            </w:r>
          </w:p>
        </w:tc>
        <w:tc>
          <w:tcPr>
            <w:tcW w:w="682"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预算执行</w:t>
            </w:r>
          </w:p>
        </w:tc>
        <w:tc>
          <w:tcPr>
            <w:tcW w:w="41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20</w:t>
            </w: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预算完成率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计满分，每低于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预算完成率</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年末结余）</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×100%</w:t>
            </w:r>
            <w:r>
              <w:rPr>
                <w:rFonts w:hint="eastAsia" w:eastAsia="仿宋_GB2312"/>
                <w:kern w:val="0"/>
                <w:sz w:val="20"/>
                <w:szCs w:val="20"/>
              </w:rPr>
              <w:t>。</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5</w:t>
            </w:r>
          </w:p>
        </w:tc>
      </w:tr>
      <w:tr>
        <w:tblPrEx>
          <w:tblCellMar>
            <w:top w:w="0" w:type="dxa"/>
            <w:left w:w="108" w:type="dxa"/>
            <w:bottom w:w="0" w:type="dxa"/>
            <w:right w:w="108" w:type="dxa"/>
          </w:tblCellMar>
        </w:tblPrEx>
        <w:trPr>
          <w:trHeight w:val="971"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w:t>
            </w:r>
            <w:r>
              <w:rPr>
                <w:rFonts w:eastAsia="仿宋_GB2312"/>
                <w:kern w:val="0"/>
                <w:sz w:val="20"/>
                <w:szCs w:val="20"/>
              </w:rPr>
              <w:t>0-10%</w:t>
            </w:r>
            <w:r>
              <w:rPr>
                <w:rFonts w:hint="eastAsia" w:eastAsia="仿宋_GB2312"/>
                <w:kern w:val="0"/>
                <w:sz w:val="20"/>
                <w:szCs w:val="20"/>
              </w:rPr>
              <w:t>（含），计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t>10-20%</w:t>
            </w:r>
            <w:r>
              <w:rPr>
                <w:rFonts w:hint="eastAsia" w:eastAsia="仿宋_GB2312"/>
                <w:kern w:val="0"/>
                <w:sz w:val="20"/>
                <w:szCs w:val="20"/>
              </w:rPr>
              <w:t>（含），计</w:t>
            </w:r>
            <w:r>
              <w:rPr>
                <w:rFonts w:eastAsia="仿宋_GB2312"/>
                <w:kern w:val="0"/>
                <w:sz w:val="20"/>
                <w:szCs w:val="20"/>
              </w:rPr>
              <w:t>3</w:t>
            </w:r>
            <w:r>
              <w:rPr>
                <w:rFonts w:hint="eastAsia" w:eastAsia="仿宋_GB2312"/>
                <w:kern w:val="0"/>
                <w:sz w:val="20"/>
                <w:szCs w:val="20"/>
              </w:rPr>
              <w:t>分；</w:t>
            </w:r>
            <w:r>
              <w:rPr>
                <w:rFonts w:eastAsia="仿宋_GB2312"/>
                <w:kern w:val="0"/>
                <w:sz w:val="20"/>
                <w:szCs w:val="20"/>
              </w:rPr>
              <w:t>20-30%</w:t>
            </w:r>
            <w:r>
              <w:rPr>
                <w:rFonts w:hint="eastAsia" w:eastAsia="仿宋_GB2312"/>
                <w:kern w:val="0"/>
                <w:sz w:val="20"/>
                <w:szCs w:val="20"/>
              </w:rPr>
              <w:t>（含），计</w:t>
            </w:r>
            <w:r>
              <w:rPr>
                <w:rFonts w:eastAsia="仿宋_GB2312"/>
                <w:kern w:val="0"/>
                <w:sz w:val="20"/>
                <w:szCs w:val="20"/>
              </w:rPr>
              <w:t>2</w:t>
            </w:r>
            <w:r>
              <w:rPr>
                <w:rFonts w:hint="eastAsia" w:eastAsia="仿宋_GB2312"/>
                <w:kern w:val="0"/>
                <w:sz w:val="20"/>
                <w:szCs w:val="20"/>
              </w:rPr>
              <w:t>分；大于</w:t>
            </w:r>
            <w:r>
              <w:rPr>
                <w:rFonts w:eastAsia="仿宋_GB2312"/>
                <w:kern w:val="0"/>
                <w:sz w:val="20"/>
                <w:szCs w:val="20"/>
              </w:rPr>
              <w:t>30%</w:t>
            </w:r>
            <w:r>
              <w:rPr>
                <w:rFonts w:hint="eastAsia" w:eastAsia="仿宋_GB2312"/>
                <w:kern w:val="0"/>
                <w:sz w:val="20"/>
                <w:szCs w:val="20"/>
              </w:rPr>
              <w:t>不得分。</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×100%</w:t>
            </w:r>
            <w:r>
              <w:rPr>
                <w:rFonts w:hint="eastAsia" w:eastAsia="仿宋_GB2312"/>
                <w:kern w:val="0"/>
                <w:sz w:val="20"/>
                <w:szCs w:val="20"/>
              </w:rPr>
              <w:t>。</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5</w:t>
            </w:r>
          </w:p>
        </w:tc>
      </w:tr>
      <w:tr>
        <w:tblPrEx>
          <w:tblCellMar>
            <w:top w:w="0" w:type="dxa"/>
            <w:left w:w="108" w:type="dxa"/>
            <w:bottom w:w="0" w:type="dxa"/>
            <w:right w:w="108" w:type="dxa"/>
          </w:tblCellMar>
        </w:tblPrEx>
        <w:trPr>
          <w:trHeight w:val="1010"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新建楼堂馆所面积控制率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分，扣完为止。没有楼堂馆所项目的部门按满分计算。</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楼堂馆所面积控制率</w:t>
            </w:r>
            <w:r>
              <w:rPr>
                <w:rFonts w:eastAsia="仿宋_GB2312"/>
                <w:kern w:val="0"/>
                <w:sz w:val="20"/>
                <w:szCs w:val="20"/>
              </w:rPr>
              <w:t>=</w:t>
            </w:r>
            <w:r>
              <w:rPr>
                <w:rFonts w:hint="eastAsia" w:eastAsia="仿宋_GB2312"/>
                <w:kern w:val="0"/>
                <w:sz w:val="20"/>
                <w:szCs w:val="20"/>
              </w:rPr>
              <w:t>实际建设面积</w:t>
            </w:r>
            <w:r>
              <w:rPr>
                <w:rFonts w:eastAsia="仿宋_GB2312"/>
                <w:kern w:val="0"/>
                <w:sz w:val="20"/>
                <w:szCs w:val="20"/>
              </w:rPr>
              <w:t>/</w:t>
            </w:r>
            <w:r>
              <w:rPr>
                <w:rFonts w:hint="eastAsia" w:eastAsia="仿宋_GB2312"/>
                <w:kern w:val="0"/>
                <w:sz w:val="20"/>
                <w:szCs w:val="20"/>
              </w:rPr>
              <w:t>批准建设面积</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5</w:t>
            </w:r>
          </w:p>
        </w:tc>
      </w:tr>
      <w:tr>
        <w:tblPrEx>
          <w:tblCellMar>
            <w:top w:w="0" w:type="dxa"/>
            <w:left w:w="108" w:type="dxa"/>
            <w:bottom w:w="0" w:type="dxa"/>
            <w:right w:w="108" w:type="dxa"/>
          </w:tblCellMar>
        </w:tblPrEx>
        <w:trPr>
          <w:trHeight w:val="952"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新建楼堂馆所投资概算控制率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楼堂馆所投资预算控制率</w:t>
            </w:r>
            <w:r>
              <w:rPr>
                <w:rFonts w:eastAsia="仿宋_GB2312"/>
                <w:kern w:val="0"/>
                <w:sz w:val="20"/>
                <w:szCs w:val="20"/>
              </w:rPr>
              <w:t>=</w:t>
            </w:r>
            <w:r>
              <w:rPr>
                <w:rFonts w:hint="eastAsia" w:eastAsia="仿宋_GB2312"/>
                <w:kern w:val="0"/>
                <w:sz w:val="20"/>
                <w:szCs w:val="20"/>
              </w:rPr>
              <w:t>实际投资金额</w:t>
            </w:r>
            <w:r>
              <w:rPr>
                <w:rFonts w:eastAsia="仿宋_GB2312"/>
                <w:kern w:val="0"/>
                <w:sz w:val="20"/>
                <w:szCs w:val="20"/>
              </w:rPr>
              <w:t>/</w:t>
            </w:r>
            <w:r>
              <w:rPr>
                <w:rFonts w:hint="eastAsia" w:eastAsia="仿宋_GB2312"/>
                <w:kern w:val="0"/>
                <w:sz w:val="20"/>
                <w:szCs w:val="20"/>
              </w:rPr>
              <w:t>批准投资金额</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5</w:t>
            </w:r>
          </w:p>
        </w:tc>
      </w:tr>
      <w:tr>
        <w:tblPrEx>
          <w:tblCellMar>
            <w:top w:w="0" w:type="dxa"/>
            <w:left w:w="108" w:type="dxa"/>
            <w:bottom w:w="0" w:type="dxa"/>
            <w:right w:w="108" w:type="dxa"/>
          </w:tblCellMar>
        </w:tblPrEx>
        <w:trPr>
          <w:trHeight w:val="1189"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预算管理</w:t>
            </w:r>
          </w:p>
        </w:tc>
        <w:tc>
          <w:tcPr>
            <w:tcW w:w="41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40</w:t>
            </w: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公用经费控制率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公用经费控制率</w:t>
            </w:r>
            <w:r>
              <w:rPr>
                <w:rFonts w:eastAsia="仿宋_GB2312"/>
                <w:kern w:val="0"/>
                <w:sz w:val="20"/>
                <w:szCs w:val="20"/>
              </w:rPr>
              <w:t>=</w:t>
            </w:r>
            <w:r>
              <w:rPr>
                <w:rFonts w:hint="eastAsia" w:eastAsia="仿宋_GB2312"/>
                <w:kern w:val="0"/>
                <w:sz w:val="20"/>
                <w:szCs w:val="20"/>
              </w:rPr>
              <w:t>（实际支出公用经费总额</w:t>
            </w:r>
            <w:r>
              <w:rPr>
                <w:rFonts w:eastAsia="仿宋_GB2312"/>
                <w:kern w:val="0"/>
                <w:sz w:val="20"/>
                <w:szCs w:val="20"/>
              </w:rPr>
              <w:t>/</w:t>
            </w:r>
            <w:r>
              <w:rPr>
                <w:rFonts w:hint="eastAsia" w:eastAsia="仿宋_GB2312"/>
                <w:kern w:val="0"/>
                <w:sz w:val="20"/>
                <w:szCs w:val="20"/>
              </w:rPr>
              <w:t>预算安排公用经费总额）</w:t>
            </w:r>
            <w:r>
              <w:rPr>
                <w:rFonts w:eastAsia="仿宋_GB2312"/>
                <w:kern w:val="0"/>
                <w:sz w:val="20"/>
                <w:szCs w:val="20"/>
              </w:rPr>
              <w:t>×100%</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公用经费支出是指部门基本支出中的一般商品和服务支出。</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8</w:t>
            </w:r>
          </w:p>
        </w:tc>
      </w:tr>
      <w:tr>
        <w:tblPrEx>
          <w:tblCellMar>
            <w:top w:w="0" w:type="dxa"/>
            <w:left w:w="108" w:type="dxa"/>
            <w:bottom w:w="0" w:type="dxa"/>
            <w:right w:w="108" w:type="dxa"/>
          </w:tblCellMar>
        </w:tblPrEx>
        <w:trPr>
          <w:trHeight w:val="819"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控制率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7</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控制率</w:t>
            </w:r>
            <w:r>
              <w:rPr>
                <w:rFonts w:eastAsia="仿宋_GB2312"/>
                <w:kern w:val="0"/>
                <w:sz w:val="20"/>
                <w:szCs w:val="20"/>
              </w:rPr>
              <w:t>-</w:t>
            </w:r>
            <w:r>
              <w:rPr>
                <w:rFonts w:hint="eastAsia" w:eastAsia="仿宋_GB2312"/>
                <w:kern w:val="0"/>
                <w:sz w:val="20"/>
                <w:szCs w:val="20"/>
              </w:rPr>
              <w:t>（</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实际支出数</w:t>
            </w:r>
            <w:r>
              <w:rPr>
                <w:rFonts w:eastAsia="仿宋_GB2312"/>
                <w:kern w:val="0"/>
                <w:sz w:val="20"/>
                <w:szCs w:val="20"/>
              </w:rPr>
              <w:t>/“</w:t>
            </w:r>
            <w:r>
              <w:rPr>
                <w:rFonts w:hint="eastAsia" w:eastAsia="仿宋_GB2312"/>
                <w:kern w:val="0"/>
                <w:sz w:val="20"/>
                <w:szCs w:val="20"/>
              </w:rPr>
              <w:t>三公经费</w:t>
            </w:r>
            <w:r>
              <w:rPr>
                <w:rFonts w:eastAsia="仿宋_GB2312"/>
                <w:kern w:val="0"/>
                <w:sz w:val="20"/>
                <w:szCs w:val="20"/>
              </w:rPr>
              <w:t>”</w:t>
            </w:r>
            <w:r>
              <w:rPr>
                <w:rFonts w:hint="eastAsia" w:eastAsia="仿宋_GB2312"/>
                <w:kern w:val="0"/>
                <w:sz w:val="20"/>
                <w:szCs w:val="20"/>
              </w:rPr>
              <w:t>预算安排数）</w:t>
            </w:r>
            <w:r>
              <w:rPr>
                <w:rFonts w:eastAsia="仿宋_GB2312"/>
                <w:kern w:val="0"/>
                <w:sz w:val="20"/>
                <w:szCs w:val="20"/>
              </w:rPr>
              <w:t>×100%</w:t>
            </w:r>
            <w:r>
              <w:rPr>
                <w:rFonts w:hint="eastAsia" w:eastAsia="仿宋_GB2312"/>
                <w:kern w:val="0"/>
                <w:sz w:val="20"/>
                <w:szCs w:val="20"/>
              </w:rPr>
              <w:t>。</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7</w:t>
            </w:r>
          </w:p>
        </w:tc>
      </w:tr>
      <w:tr>
        <w:tblPrEx>
          <w:tblCellMar>
            <w:top w:w="0" w:type="dxa"/>
            <w:left w:w="108" w:type="dxa"/>
            <w:bottom w:w="0" w:type="dxa"/>
            <w:right w:w="108" w:type="dxa"/>
          </w:tblCellMar>
        </w:tblPrEx>
        <w:trPr>
          <w:trHeight w:val="598" w:hRule="atLeast"/>
          <w:jc w:val="center"/>
        </w:trPr>
        <w:tc>
          <w:tcPr>
            <w:tcW w:w="521"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政府采购执行率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计满分，每超过（降低）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政府采购执行率</w:t>
            </w:r>
            <w:r>
              <w:rPr>
                <w:rFonts w:eastAsia="仿宋_GB2312"/>
                <w:kern w:val="0"/>
                <w:sz w:val="20"/>
                <w:szCs w:val="20"/>
              </w:rPr>
              <w:t>=</w:t>
            </w:r>
            <w:r>
              <w:rPr>
                <w:rFonts w:hint="eastAsia" w:eastAsia="仿宋_GB2312"/>
                <w:kern w:val="0"/>
                <w:sz w:val="20"/>
                <w:szCs w:val="20"/>
              </w:rPr>
              <w:t>（实际政府采购金额</w:t>
            </w:r>
            <w:r>
              <w:rPr>
                <w:rFonts w:eastAsia="仿宋_GB2312"/>
                <w:kern w:val="0"/>
                <w:sz w:val="20"/>
                <w:szCs w:val="20"/>
              </w:rPr>
              <w:t>/</w:t>
            </w:r>
            <w:r>
              <w:rPr>
                <w:rFonts w:hint="eastAsia" w:eastAsia="仿宋_GB2312"/>
                <w:kern w:val="0"/>
                <w:sz w:val="20"/>
                <w:szCs w:val="20"/>
              </w:rPr>
              <w:t>政府采购预算数）</w:t>
            </w:r>
            <w:r>
              <w:rPr>
                <w:rFonts w:eastAsia="仿宋_GB2312"/>
                <w:kern w:val="0"/>
                <w:sz w:val="20"/>
                <w:szCs w:val="20"/>
              </w:rPr>
              <w:t>×100%</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6</w:t>
            </w:r>
          </w:p>
        </w:tc>
      </w:tr>
      <w:tr>
        <w:tblPrEx>
          <w:tblCellMar>
            <w:top w:w="0" w:type="dxa"/>
            <w:left w:w="108" w:type="dxa"/>
            <w:bottom w:w="0" w:type="dxa"/>
            <w:right w:w="108" w:type="dxa"/>
          </w:tblCellMar>
        </w:tblPrEx>
        <w:trPr>
          <w:trHeight w:val="244" w:hRule="atLeast"/>
          <w:jc w:val="center"/>
        </w:trPr>
        <w:tc>
          <w:tcPr>
            <w:tcW w:w="521" w:type="dxa"/>
            <w:vMerge w:val="restart"/>
            <w:tcBorders>
              <w:top w:val="single" w:color="auto" w:sz="4" w:space="0"/>
              <w:left w:val="single" w:color="auto" w:sz="4" w:space="0"/>
              <w:bottom w:val="single" w:color="000000" w:sz="4" w:space="0"/>
              <w:right w:val="single" w:color="auto" w:sz="4" w:space="0"/>
            </w:tcBorders>
            <w:vAlign w:val="center"/>
          </w:tcPr>
          <w:p>
            <w:pPr>
              <w:jc w:val="left"/>
              <w:rPr>
                <w:rFonts w:eastAsia="仿宋_GB2312"/>
                <w:kern w:val="0"/>
                <w:sz w:val="20"/>
                <w:szCs w:val="20"/>
              </w:rPr>
            </w:pPr>
            <w:r>
              <w:rPr>
                <w:rFonts w:hint="eastAsia" w:eastAsia="仿宋_GB2312"/>
                <w:kern w:val="0"/>
                <w:sz w:val="20"/>
                <w:szCs w:val="20"/>
              </w:rPr>
              <w:t>过程</w:t>
            </w:r>
          </w:p>
        </w:tc>
        <w:tc>
          <w:tcPr>
            <w:tcW w:w="419" w:type="dxa"/>
            <w:vMerge w:val="restart"/>
            <w:tcBorders>
              <w:top w:val="single" w:color="auto" w:sz="4" w:space="0"/>
              <w:left w:val="single" w:color="auto" w:sz="4" w:space="0"/>
              <w:bottom w:val="single" w:color="000000" w:sz="4" w:space="0"/>
              <w:right w:val="single" w:color="auto" w:sz="4" w:space="0"/>
            </w:tcBorders>
            <w:vAlign w:val="center"/>
          </w:tcPr>
          <w:p>
            <w:pPr>
              <w:jc w:val="left"/>
              <w:rPr>
                <w:rFonts w:eastAsia="仿宋_GB2312"/>
                <w:kern w:val="0"/>
                <w:sz w:val="20"/>
                <w:szCs w:val="20"/>
              </w:rPr>
            </w:pPr>
          </w:p>
        </w:tc>
        <w:tc>
          <w:tcPr>
            <w:tcW w:w="682" w:type="dxa"/>
            <w:vMerge w:val="restart"/>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预算管理</w:t>
            </w: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管理制度健全性</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①有内部财务管理制度、会计核算制度等管理制度，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②有本部门厉行节约制度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③相关管理制度合法、合规、完整，</w:t>
            </w:r>
            <w:r>
              <w:rPr>
                <w:rFonts w:eastAsia="仿宋_GB2312"/>
                <w:kern w:val="0"/>
                <w:sz w:val="20"/>
                <w:szCs w:val="20"/>
              </w:rPr>
              <w:t>2</w:t>
            </w:r>
            <w:r>
              <w:rPr>
                <w:rFonts w:hint="eastAsia" w:eastAsia="仿宋_GB2312"/>
                <w:kern w:val="0"/>
                <w:sz w:val="20"/>
                <w:szCs w:val="20"/>
              </w:rPr>
              <w:t>分；④相关管理制度得到有效执行，</w:t>
            </w:r>
            <w:r>
              <w:rPr>
                <w:rFonts w:eastAsia="仿宋_GB2312"/>
                <w:kern w:val="0"/>
                <w:sz w:val="20"/>
                <w:szCs w:val="20"/>
              </w:rPr>
              <w:t>2</w:t>
            </w:r>
            <w:r>
              <w:rPr>
                <w:rFonts w:hint="eastAsia" w:eastAsia="仿宋_GB2312"/>
                <w:kern w:val="0"/>
                <w:sz w:val="20"/>
                <w:szCs w:val="20"/>
              </w:rPr>
              <w:t>分。</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8</w:t>
            </w:r>
          </w:p>
        </w:tc>
      </w:tr>
      <w:tr>
        <w:tblPrEx>
          <w:tblCellMar>
            <w:top w:w="0" w:type="dxa"/>
            <w:left w:w="108" w:type="dxa"/>
            <w:bottom w:w="0" w:type="dxa"/>
            <w:right w:w="108" w:type="dxa"/>
          </w:tblCellMar>
        </w:tblPrEx>
        <w:trPr>
          <w:trHeight w:val="3011"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nil"/>
              <w:bottom w:val="single" w:color="auto"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资金使用合规性</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①支出符合国家财经法规和财务管理制度规定以及有关专项资金管理办法的规定；②资金拨付有完整的审批程序和手续；③项目支出按规定经过评估论证；④支出符合部门预算批复的用途；⑤资金使用无截留、挤占、挪用、虚列支出等情况。</w:t>
            </w:r>
            <w:r>
              <w:rPr>
                <w:rFonts w:eastAsia="仿宋_GB2312"/>
                <w:kern w:val="0"/>
                <w:sz w:val="20"/>
                <w:szCs w:val="20"/>
              </w:rPr>
              <w:br w:type="textWrapping"/>
            </w:r>
            <w:r>
              <w:rPr>
                <w:rFonts w:hint="eastAsia" w:eastAsia="仿宋_GB2312"/>
                <w:kern w:val="0"/>
                <w:sz w:val="20"/>
                <w:szCs w:val="20"/>
              </w:rPr>
              <w:t>以上情况每出现一例不符合要求的扣</w:t>
            </w:r>
            <w:r>
              <w:rPr>
                <w:rFonts w:eastAsia="仿宋_GB2312"/>
                <w:kern w:val="0"/>
                <w:sz w:val="20"/>
                <w:szCs w:val="20"/>
              </w:rPr>
              <w:t>1</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6</w:t>
            </w:r>
          </w:p>
        </w:tc>
      </w:tr>
      <w:tr>
        <w:tblPrEx>
          <w:tblCellMar>
            <w:top w:w="0" w:type="dxa"/>
            <w:left w:w="108" w:type="dxa"/>
            <w:bottom w:w="0" w:type="dxa"/>
            <w:right w:w="108" w:type="dxa"/>
          </w:tblCellMar>
        </w:tblPrEx>
        <w:trPr>
          <w:trHeight w:val="1659"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nil"/>
              <w:bottom w:val="single" w:color="auto"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预决算信息公开性</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①按规定内容公开预决算信息，</w:t>
            </w:r>
            <w:r>
              <w:rPr>
                <w:rFonts w:eastAsia="仿宋_GB2312"/>
                <w:kern w:val="0"/>
                <w:sz w:val="20"/>
                <w:szCs w:val="20"/>
              </w:rPr>
              <w:t>1</w:t>
            </w:r>
            <w:r>
              <w:rPr>
                <w:rFonts w:hint="eastAsia" w:eastAsia="仿宋_GB2312"/>
                <w:kern w:val="0"/>
                <w:sz w:val="20"/>
                <w:szCs w:val="20"/>
              </w:rPr>
              <w:t>分；②按规定时限公开预决算信息，</w:t>
            </w:r>
            <w:r>
              <w:rPr>
                <w:rFonts w:eastAsia="仿宋_GB2312"/>
                <w:kern w:val="0"/>
                <w:sz w:val="20"/>
                <w:szCs w:val="20"/>
              </w:rPr>
              <w:t>1</w:t>
            </w:r>
            <w:r>
              <w:rPr>
                <w:rFonts w:hint="eastAsia" w:eastAsia="仿宋_GB2312"/>
                <w:kern w:val="0"/>
                <w:sz w:val="20"/>
                <w:szCs w:val="20"/>
              </w:rPr>
              <w:t>分；③基础数据信息和会计信息资料真实，</w:t>
            </w:r>
            <w:r>
              <w:rPr>
                <w:rFonts w:eastAsia="仿宋_GB2312"/>
                <w:kern w:val="0"/>
                <w:sz w:val="20"/>
                <w:szCs w:val="20"/>
              </w:rPr>
              <w:t>1</w:t>
            </w:r>
            <w:r>
              <w:rPr>
                <w:rFonts w:hint="eastAsia" w:eastAsia="仿宋_GB2312"/>
                <w:kern w:val="0"/>
                <w:sz w:val="20"/>
                <w:szCs w:val="20"/>
              </w:rPr>
              <w:t>分；④基础数据信息和会计信息资料完整，</w:t>
            </w:r>
            <w:r>
              <w:rPr>
                <w:rFonts w:eastAsia="仿宋_GB2312"/>
                <w:kern w:val="0"/>
                <w:sz w:val="20"/>
                <w:szCs w:val="20"/>
              </w:rPr>
              <w:t>1</w:t>
            </w:r>
            <w:r>
              <w:rPr>
                <w:rFonts w:hint="eastAsia" w:eastAsia="仿宋_GB2312"/>
                <w:kern w:val="0"/>
                <w:sz w:val="20"/>
                <w:szCs w:val="20"/>
              </w:rPr>
              <w:t>分；⑤基础数据信息和汇集信息资料准确，</w:t>
            </w:r>
            <w:r>
              <w:rPr>
                <w:rFonts w:eastAsia="仿宋_GB2312"/>
                <w:kern w:val="0"/>
                <w:sz w:val="20"/>
                <w:szCs w:val="20"/>
              </w:rPr>
              <w:t>1</w:t>
            </w:r>
            <w:r>
              <w:rPr>
                <w:rFonts w:hint="eastAsia" w:eastAsia="仿宋_GB2312"/>
                <w:kern w:val="0"/>
                <w:sz w:val="20"/>
                <w:szCs w:val="20"/>
              </w:rPr>
              <w:t>分。</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预决算信息是指与部门预算、执行、决算、监督、绩效等管理相关的信息。</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5　</w:t>
            </w:r>
          </w:p>
        </w:tc>
      </w:tr>
      <w:tr>
        <w:tblPrEx>
          <w:tblCellMar>
            <w:top w:w="0" w:type="dxa"/>
            <w:left w:w="108" w:type="dxa"/>
            <w:bottom w:w="0" w:type="dxa"/>
            <w:right w:w="108" w:type="dxa"/>
          </w:tblCellMar>
        </w:tblPrEx>
        <w:trPr>
          <w:trHeight w:val="1188" w:hRule="atLeast"/>
          <w:jc w:val="center"/>
        </w:trPr>
        <w:tc>
          <w:tcPr>
            <w:tcW w:w="521"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产出及效率</w:t>
            </w:r>
          </w:p>
        </w:tc>
        <w:tc>
          <w:tcPr>
            <w:tcW w:w="41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30</w:t>
            </w:r>
          </w:p>
        </w:tc>
        <w:tc>
          <w:tcPr>
            <w:tcW w:w="682"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职责履行</w:t>
            </w:r>
          </w:p>
        </w:tc>
        <w:tc>
          <w:tcPr>
            <w:tcW w:w="419"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1203" w:type="dxa"/>
            <w:tcBorders>
              <w:top w:val="nil"/>
              <w:left w:val="nil"/>
              <w:bottom w:val="nil"/>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重点工作实际完成率</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根据绩效办</w:t>
            </w:r>
            <w:r>
              <w:rPr>
                <w:rFonts w:eastAsia="仿宋_GB2312"/>
                <w:kern w:val="0"/>
                <w:sz w:val="20"/>
                <w:szCs w:val="20"/>
              </w:rPr>
              <w:t>2017</w:t>
            </w:r>
            <w:r>
              <w:rPr>
                <w:rFonts w:hint="eastAsia" w:eastAsia="仿宋_GB2312"/>
                <w:kern w:val="0"/>
                <w:sz w:val="20"/>
                <w:szCs w:val="20"/>
              </w:rPr>
              <w:t>年对各部门为民办实事和部门重点工程与重点工作考核分数折算。</w:t>
            </w:r>
            <w:r>
              <w:rPr>
                <w:rFonts w:eastAsia="仿宋_GB2312"/>
                <w:kern w:val="0"/>
                <w:sz w:val="20"/>
                <w:szCs w:val="20"/>
              </w:rPr>
              <w:br w:type="textWrapping"/>
            </w:r>
            <w:r>
              <w:rPr>
                <w:rFonts w:hint="eastAsia" w:eastAsia="仿宋_GB2312"/>
                <w:kern w:val="0"/>
                <w:sz w:val="20"/>
                <w:szCs w:val="20"/>
              </w:rPr>
              <w:t>该项得分</w:t>
            </w:r>
            <w:r>
              <w:rPr>
                <w:rFonts w:eastAsia="仿宋_GB2312"/>
                <w:kern w:val="0"/>
                <w:sz w:val="20"/>
                <w:szCs w:val="20"/>
              </w:rPr>
              <w:t>=</w:t>
            </w:r>
            <w:r>
              <w:rPr>
                <w:rFonts w:hint="eastAsia" w:eastAsia="仿宋_GB2312"/>
                <w:kern w:val="0"/>
                <w:sz w:val="20"/>
                <w:szCs w:val="20"/>
              </w:rPr>
              <w:t>（绩效办对应部分考核得分</w:t>
            </w:r>
            <w:r>
              <w:rPr>
                <w:rFonts w:eastAsia="仿宋_GB2312"/>
                <w:kern w:val="0"/>
                <w:sz w:val="20"/>
                <w:szCs w:val="20"/>
              </w:rPr>
              <w:t>/350</w:t>
            </w:r>
            <w:r>
              <w:rPr>
                <w:rFonts w:hint="eastAsia" w:eastAsia="仿宋_GB2312"/>
                <w:kern w:val="0"/>
                <w:sz w:val="20"/>
                <w:szCs w:val="20"/>
              </w:rPr>
              <w:t>）</w:t>
            </w:r>
            <w:r>
              <w:rPr>
                <w:rFonts w:eastAsia="仿宋_GB2312"/>
                <w:kern w:val="0"/>
                <w:sz w:val="20"/>
                <w:szCs w:val="20"/>
              </w:rPr>
              <w:t>*8</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　</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8</w:t>
            </w:r>
          </w:p>
        </w:tc>
      </w:tr>
      <w:tr>
        <w:tblPrEx>
          <w:tblCellMar>
            <w:top w:w="0" w:type="dxa"/>
            <w:left w:w="108" w:type="dxa"/>
            <w:bottom w:w="0" w:type="dxa"/>
            <w:right w:w="108" w:type="dxa"/>
          </w:tblCellMar>
        </w:tblPrEx>
        <w:trPr>
          <w:trHeight w:val="345"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履职效益</w:t>
            </w:r>
          </w:p>
        </w:tc>
        <w:tc>
          <w:tcPr>
            <w:tcW w:w="41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1203"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经济效益</w:t>
            </w:r>
          </w:p>
        </w:tc>
        <w:tc>
          <w:tcPr>
            <w:tcW w:w="481" w:type="dxa"/>
            <w:vMerge w:val="restart"/>
            <w:tcBorders>
              <w:top w:val="nil"/>
              <w:left w:val="single" w:color="auto" w:sz="4" w:space="0"/>
              <w:bottom w:val="nil"/>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6426" w:type="dxa"/>
            <w:gridSpan w:val="2"/>
            <w:vMerge w:val="restart"/>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r>
              <w:rPr>
                <w:rFonts w:hint="eastAsia" w:eastAsia="仿宋_GB2312"/>
                <w:kern w:val="0"/>
                <w:sz w:val="20"/>
                <w:szCs w:val="20"/>
              </w:rPr>
              <w:t>此两项指标为设置部门整体支出绩效评价指标时必须考虑的共性要素，可根据部门实际情况有选择的进行设置，并将其细化为相应的个性化指标。</w:t>
            </w:r>
          </w:p>
        </w:tc>
        <w:tc>
          <w:tcPr>
            <w:tcW w:w="525" w:type="dxa"/>
            <w:tcBorders>
              <w:top w:val="nil"/>
              <w:left w:val="nil"/>
              <w:bottom w:val="nil"/>
              <w:right w:val="single" w:color="auto" w:sz="4" w:space="0"/>
            </w:tcBorders>
            <w:vAlign w:val="center"/>
          </w:tcPr>
          <w:p>
            <w:pPr>
              <w:widowControl/>
              <w:jc w:val="left"/>
              <w:rPr>
                <w:kern w:val="0"/>
                <w:sz w:val="24"/>
              </w:rPr>
            </w:pPr>
            <w:r>
              <w:rPr>
                <w:rFonts w:hint="eastAsia"/>
                <w:kern w:val="0"/>
                <w:sz w:val="24"/>
              </w:rPr>
              <w:t>　</w:t>
            </w:r>
          </w:p>
        </w:tc>
      </w:tr>
      <w:tr>
        <w:tblPrEx>
          <w:tblCellMar>
            <w:top w:w="0" w:type="dxa"/>
            <w:left w:w="108" w:type="dxa"/>
            <w:bottom w:w="0" w:type="dxa"/>
            <w:right w:w="108" w:type="dxa"/>
          </w:tblCellMar>
        </w:tblPrEx>
        <w:trPr>
          <w:trHeight w:val="372"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0"/>
                <w:szCs w:val="20"/>
              </w:rPr>
              <w:t>社会效益</w:t>
            </w:r>
          </w:p>
        </w:tc>
        <w:tc>
          <w:tcPr>
            <w:tcW w:w="481" w:type="dxa"/>
            <w:vMerge w:val="continue"/>
            <w:tcBorders>
              <w:top w:val="nil"/>
              <w:left w:val="single" w:color="auto" w:sz="4" w:space="0"/>
              <w:bottom w:val="nil"/>
              <w:right w:val="single" w:color="auto" w:sz="4" w:space="0"/>
            </w:tcBorders>
            <w:vAlign w:val="center"/>
          </w:tcPr>
          <w:p>
            <w:pPr>
              <w:widowControl/>
              <w:jc w:val="left"/>
              <w:rPr>
                <w:rFonts w:eastAsia="仿宋_GB2312"/>
                <w:kern w:val="0"/>
                <w:sz w:val="20"/>
                <w:szCs w:val="20"/>
              </w:rPr>
            </w:pPr>
          </w:p>
        </w:tc>
        <w:tc>
          <w:tcPr>
            <w:tcW w:w="6426" w:type="dxa"/>
            <w:gridSpan w:val="2"/>
            <w:vMerge w:val="continue"/>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p>
        </w:tc>
        <w:tc>
          <w:tcPr>
            <w:tcW w:w="525" w:type="dxa"/>
            <w:tcBorders>
              <w:top w:val="nil"/>
              <w:left w:val="nil"/>
              <w:bottom w:val="nil"/>
              <w:right w:val="single" w:color="auto" w:sz="4" w:space="0"/>
            </w:tcBorders>
            <w:vAlign w:val="center"/>
          </w:tcPr>
          <w:p>
            <w:pPr>
              <w:widowControl/>
              <w:jc w:val="left"/>
              <w:rPr>
                <w:kern w:val="0"/>
                <w:sz w:val="24"/>
              </w:rPr>
            </w:pPr>
            <w:r>
              <w:rPr>
                <w:rFonts w:hint="eastAsia"/>
                <w:kern w:val="0"/>
                <w:sz w:val="24"/>
              </w:rPr>
              <w:t>　10</w:t>
            </w:r>
          </w:p>
        </w:tc>
      </w:tr>
      <w:tr>
        <w:tblPrEx>
          <w:tblCellMar>
            <w:top w:w="0" w:type="dxa"/>
            <w:left w:w="108" w:type="dxa"/>
            <w:bottom w:w="0" w:type="dxa"/>
            <w:right w:w="108" w:type="dxa"/>
          </w:tblCellMar>
        </w:tblPrEx>
        <w:trPr>
          <w:trHeight w:val="1188" w:hRule="atLeast"/>
          <w:jc w:val="center"/>
        </w:trPr>
        <w:tc>
          <w:tcPr>
            <w:tcW w:w="521"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419"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12</w:t>
            </w: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行政效能</w:t>
            </w:r>
          </w:p>
        </w:tc>
        <w:tc>
          <w:tcPr>
            <w:tcW w:w="481"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999"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促进部门改进文风会风，加强经费及资产管理，推动网上办事，提高行政效率，降低行政成本效果较好的计</w:t>
            </w:r>
            <w:r>
              <w:rPr>
                <w:rFonts w:eastAsia="仿宋_GB2312"/>
                <w:kern w:val="0"/>
                <w:sz w:val="20"/>
                <w:szCs w:val="20"/>
              </w:rPr>
              <w:t>6</w:t>
            </w:r>
            <w:r>
              <w:rPr>
                <w:rFonts w:hint="eastAsia" w:eastAsia="仿宋_GB2312"/>
                <w:kern w:val="0"/>
                <w:sz w:val="20"/>
                <w:szCs w:val="20"/>
              </w:rPr>
              <w:t>分；一般</w:t>
            </w:r>
            <w:r>
              <w:rPr>
                <w:rFonts w:eastAsia="仿宋_GB2312"/>
                <w:kern w:val="0"/>
                <w:sz w:val="20"/>
                <w:szCs w:val="20"/>
              </w:rPr>
              <w:t>3</w:t>
            </w:r>
            <w:r>
              <w:rPr>
                <w:rFonts w:hint="eastAsia" w:eastAsia="仿宋_GB2312"/>
                <w:kern w:val="0"/>
                <w:sz w:val="20"/>
                <w:szCs w:val="20"/>
              </w:rPr>
              <w:t>分；无效果或者效果不明显</w:t>
            </w:r>
            <w:r>
              <w:rPr>
                <w:rFonts w:eastAsia="仿宋_GB2312"/>
                <w:kern w:val="0"/>
                <w:sz w:val="20"/>
                <w:szCs w:val="20"/>
              </w:rPr>
              <w:t>0</w:t>
            </w:r>
            <w:r>
              <w:rPr>
                <w:rFonts w:hint="eastAsia" w:eastAsia="仿宋_GB2312"/>
                <w:kern w:val="0"/>
                <w:sz w:val="20"/>
                <w:szCs w:val="20"/>
              </w:rPr>
              <w:t>分。</w:t>
            </w:r>
          </w:p>
        </w:tc>
        <w:tc>
          <w:tcPr>
            <w:tcW w:w="3427"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根据部门自评材料评定。</w:t>
            </w:r>
          </w:p>
        </w:tc>
        <w:tc>
          <w:tcPr>
            <w:tcW w:w="525" w:type="dxa"/>
            <w:tcBorders>
              <w:top w:val="single" w:color="auto" w:sz="4" w:space="0"/>
              <w:left w:val="nil"/>
              <w:bottom w:val="single" w:color="auto" w:sz="4" w:space="0"/>
              <w:right w:val="single" w:color="auto" w:sz="4" w:space="0"/>
            </w:tcBorders>
            <w:vAlign w:val="center"/>
          </w:tcPr>
          <w:p>
            <w:pPr>
              <w:widowControl/>
              <w:jc w:val="left"/>
              <w:rPr>
                <w:kern w:val="0"/>
                <w:sz w:val="24"/>
              </w:rPr>
            </w:pPr>
            <w:r>
              <w:rPr>
                <w:rFonts w:hint="eastAsia"/>
                <w:kern w:val="0"/>
                <w:sz w:val="24"/>
              </w:rPr>
              <w:t>　6</w:t>
            </w:r>
          </w:p>
        </w:tc>
      </w:tr>
      <w:tr>
        <w:tblPrEx>
          <w:tblCellMar>
            <w:top w:w="0" w:type="dxa"/>
            <w:left w:w="108" w:type="dxa"/>
            <w:bottom w:w="0" w:type="dxa"/>
            <w:right w:w="108" w:type="dxa"/>
          </w:tblCellMar>
        </w:tblPrEx>
        <w:trPr>
          <w:trHeight w:val="952" w:hRule="atLeast"/>
          <w:jc w:val="center"/>
        </w:trPr>
        <w:tc>
          <w:tcPr>
            <w:tcW w:w="521"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682"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419"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社会公众或服务对象满意度</w:t>
            </w:r>
          </w:p>
        </w:tc>
        <w:tc>
          <w:tcPr>
            <w:tcW w:w="481"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999"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90%</w:t>
            </w:r>
            <w:r>
              <w:rPr>
                <w:rFonts w:hint="eastAsia" w:eastAsia="仿宋_GB2312"/>
                <w:kern w:val="0"/>
                <w:sz w:val="20"/>
                <w:szCs w:val="20"/>
              </w:rPr>
              <w:t>（含）以上计</w:t>
            </w:r>
            <w:r>
              <w:rPr>
                <w:rFonts w:eastAsia="仿宋_GB2312"/>
                <w:kern w:val="0"/>
                <w:sz w:val="20"/>
                <w:szCs w:val="20"/>
              </w:rPr>
              <w:t>6</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80%</w:t>
            </w:r>
            <w:r>
              <w:rPr>
                <w:rFonts w:hint="eastAsia" w:eastAsia="仿宋_GB2312"/>
                <w:kern w:val="0"/>
                <w:sz w:val="20"/>
                <w:szCs w:val="20"/>
              </w:rPr>
              <w:t>（含）</w:t>
            </w:r>
            <w:r>
              <w:rPr>
                <w:rFonts w:eastAsia="仿宋_GB2312"/>
                <w:kern w:val="0"/>
                <w:sz w:val="20"/>
                <w:szCs w:val="20"/>
              </w:rPr>
              <w:t>-90%</w:t>
            </w:r>
            <w:r>
              <w:rPr>
                <w:rFonts w:hint="eastAsia" w:eastAsia="仿宋_GB2312"/>
                <w:kern w:val="0"/>
                <w:sz w:val="20"/>
                <w:szCs w:val="20"/>
              </w:rPr>
              <w:t>，计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70%</w:t>
            </w:r>
            <w:r>
              <w:rPr>
                <w:rFonts w:hint="eastAsia" w:eastAsia="仿宋_GB2312"/>
                <w:kern w:val="0"/>
                <w:sz w:val="20"/>
                <w:szCs w:val="20"/>
              </w:rPr>
              <w:t>（含）</w:t>
            </w:r>
            <w:r>
              <w:rPr>
                <w:rFonts w:eastAsia="仿宋_GB2312"/>
                <w:kern w:val="0"/>
                <w:sz w:val="20"/>
                <w:szCs w:val="20"/>
              </w:rPr>
              <w:t>-80%</w:t>
            </w:r>
            <w:r>
              <w:rPr>
                <w:rFonts w:hint="eastAsia" w:eastAsia="仿宋_GB2312"/>
                <w:kern w:val="0"/>
                <w:sz w:val="20"/>
                <w:szCs w:val="20"/>
              </w:rPr>
              <w:t>，计</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低于</w:t>
            </w:r>
            <w:r>
              <w:rPr>
                <w:rFonts w:eastAsia="仿宋_GB2312"/>
                <w:kern w:val="0"/>
                <w:sz w:val="20"/>
                <w:szCs w:val="20"/>
              </w:rPr>
              <w:t>70%</w:t>
            </w:r>
            <w:r>
              <w:rPr>
                <w:rFonts w:hint="eastAsia" w:eastAsia="仿宋_GB2312"/>
                <w:kern w:val="0"/>
                <w:sz w:val="20"/>
                <w:szCs w:val="20"/>
              </w:rPr>
              <w:t>计</w:t>
            </w:r>
            <w:r>
              <w:rPr>
                <w:rFonts w:eastAsia="仿宋_GB2312"/>
                <w:kern w:val="0"/>
                <w:sz w:val="20"/>
                <w:szCs w:val="20"/>
              </w:rPr>
              <w:t>0</w:t>
            </w:r>
            <w:r>
              <w:rPr>
                <w:rFonts w:hint="eastAsia" w:eastAsia="仿宋_GB2312"/>
                <w:kern w:val="0"/>
                <w:sz w:val="20"/>
                <w:szCs w:val="20"/>
              </w:rPr>
              <w:t>分。</w:t>
            </w:r>
          </w:p>
        </w:tc>
        <w:tc>
          <w:tcPr>
            <w:tcW w:w="34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社会公众或服务对象是指部门（单位）履行职责而影响到的部门、群体或个人，一般采取社会调查的方式。</w:t>
            </w:r>
          </w:p>
        </w:tc>
        <w:tc>
          <w:tcPr>
            <w:tcW w:w="525" w:type="dxa"/>
            <w:tcBorders>
              <w:top w:val="nil"/>
              <w:left w:val="nil"/>
              <w:bottom w:val="single" w:color="auto" w:sz="4" w:space="0"/>
              <w:right w:val="single" w:color="auto" w:sz="4" w:space="0"/>
            </w:tcBorders>
            <w:vAlign w:val="center"/>
          </w:tcPr>
          <w:p>
            <w:pPr>
              <w:widowControl/>
              <w:jc w:val="left"/>
              <w:rPr>
                <w:kern w:val="0"/>
                <w:sz w:val="24"/>
              </w:rPr>
            </w:pPr>
            <w:r>
              <w:rPr>
                <w:rFonts w:hint="eastAsia"/>
                <w:kern w:val="0"/>
                <w:sz w:val="24"/>
              </w:rPr>
              <w:t>　6</w:t>
            </w:r>
          </w:p>
        </w:tc>
      </w:tr>
      <w:tr>
        <w:tblPrEx>
          <w:tblCellMar>
            <w:top w:w="0" w:type="dxa"/>
            <w:left w:w="108" w:type="dxa"/>
            <w:bottom w:w="0" w:type="dxa"/>
            <w:right w:w="108" w:type="dxa"/>
          </w:tblCellMar>
        </w:tblPrEx>
        <w:trPr>
          <w:trHeight w:val="450" w:hRule="atLeast"/>
          <w:jc w:val="center"/>
        </w:trPr>
        <w:tc>
          <w:tcPr>
            <w:tcW w:w="10151" w:type="dxa"/>
            <w:gridSpan w:val="8"/>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kern w:val="0"/>
                <w:sz w:val="24"/>
                <w:szCs w:val="24"/>
              </w:rPr>
              <w:t>合计得分</w:t>
            </w:r>
          </w:p>
        </w:tc>
        <w:tc>
          <w:tcPr>
            <w:tcW w:w="525" w:type="dxa"/>
            <w:tcBorders>
              <w:top w:val="single" w:color="auto" w:sz="4" w:space="0"/>
              <w:left w:val="single" w:color="auto" w:sz="4" w:space="0"/>
              <w:bottom w:val="single" w:color="auto" w:sz="4" w:space="0"/>
              <w:right w:val="single" w:color="auto" w:sz="4" w:space="0"/>
            </w:tcBorders>
            <w:vAlign w:val="center"/>
          </w:tcPr>
          <w:p>
            <w:pPr>
              <w:widowControl/>
              <w:jc w:val="left"/>
              <w:rPr>
                <w:kern w:val="0"/>
                <w:sz w:val="24"/>
              </w:rPr>
            </w:pPr>
            <w:r>
              <w:rPr>
                <w:rFonts w:hint="eastAsia"/>
                <w:kern w:val="0"/>
                <w:sz w:val="24"/>
              </w:rPr>
              <w:t>99</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15CD432"/>
    <w:multiLevelType w:val="singleLevel"/>
    <w:tmpl w:val="C15CD432"/>
    <w:lvl w:ilvl="0" w:tentative="0">
      <w:start w:val="3"/>
      <w:numFmt w:val="chineseCounting"/>
      <w:suff w:val="nothing"/>
      <w:lvlText w:val="%1、"/>
      <w:lvlJc w:val="left"/>
      <w:rPr>
        <w:rFonts w:hint="eastAsia"/>
      </w:rPr>
    </w:lvl>
  </w:abstractNum>
  <w:abstractNum w:abstractNumId="1">
    <w:nsid w:val="E9CC11EF"/>
    <w:multiLevelType w:val="singleLevel"/>
    <w:tmpl w:val="E9CC11EF"/>
    <w:lvl w:ilvl="0" w:tentative="0">
      <w:start w:val="2"/>
      <w:numFmt w:val="decimal"/>
      <w:suff w:val="nothing"/>
      <w:lvlText w:val="%1．"/>
      <w:lvlJc w:val="left"/>
      <w:pPr>
        <w:ind w:left="30"/>
      </w:pPr>
    </w:lvl>
  </w:abstractNum>
  <w:abstractNum w:abstractNumId="2">
    <w:nsid w:val="6DBC353B"/>
    <w:multiLevelType w:val="singleLevel"/>
    <w:tmpl w:val="6DBC353B"/>
    <w:lvl w:ilvl="0" w:tentative="0">
      <w:start w:val="9"/>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GE0NmYwMTY5Yjc4NDA2ZDQ2ZmIwZjI1MDUxMjFiZDEifQ=="/>
  </w:docVars>
  <w:rsids>
    <w:rsidRoot w:val="7FD274A8"/>
    <w:rsid w:val="00043B23"/>
    <w:rsid w:val="00190E42"/>
    <w:rsid w:val="00265D8E"/>
    <w:rsid w:val="002A1967"/>
    <w:rsid w:val="003C2494"/>
    <w:rsid w:val="004D1EC0"/>
    <w:rsid w:val="008A51D6"/>
    <w:rsid w:val="009F719C"/>
    <w:rsid w:val="00A63BA4"/>
    <w:rsid w:val="00C81BFE"/>
    <w:rsid w:val="00D66EC8"/>
    <w:rsid w:val="00D80438"/>
    <w:rsid w:val="00E43FA2"/>
    <w:rsid w:val="00EE2043"/>
    <w:rsid w:val="1F7E3D0E"/>
    <w:rsid w:val="21E9050B"/>
    <w:rsid w:val="43116E57"/>
    <w:rsid w:val="7FD274A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iPriority w:val="0"/>
    <w:pPr>
      <w:tabs>
        <w:tab w:val="center" w:pos="4153"/>
        <w:tab w:val="right" w:pos="8306"/>
      </w:tabs>
      <w:snapToGrid w:val="0"/>
      <w:jc w:val="left"/>
    </w:pPr>
    <w:rPr>
      <w:sz w:val="18"/>
      <w:szCs w:val="18"/>
    </w:rPr>
  </w:style>
  <w:style w:type="paragraph" w:styleId="3">
    <w:name w:val="header"/>
    <w:basedOn w:val="1"/>
    <w:link w:val="7"/>
    <w:uiPriority w:val="0"/>
    <w:pPr>
      <w:pBdr>
        <w:bottom w:val="single" w:color="auto" w:sz="6" w:space="1"/>
      </w:pBdr>
      <w:tabs>
        <w:tab w:val="center" w:pos="4153"/>
        <w:tab w:val="right" w:pos="8306"/>
      </w:tabs>
      <w:snapToGrid w:val="0"/>
      <w:jc w:val="center"/>
    </w:pPr>
    <w:rPr>
      <w:sz w:val="18"/>
      <w:szCs w:val="18"/>
    </w:rPr>
  </w:style>
  <w:style w:type="paragraph" w:customStyle="1" w:styleId="6">
    <w:name w:val="Body text|1"/>
    <w:basedOn w:val="1"/>
    <w:qFormat/>
    <w:uiPriority w:val="0"/>
    <w:pPr>
      <w:spacing w:line="398" w:lineRule="auto"/>
      <w:ind w:firstLine="400"/>
    </w:pPr>
    <w:rPr>
      <w:rFonts w:ascii="宋体" w:hAnsi="宋体" w:cs="宋体"/>
      <w:sz w:val="30"/>
      <w:szCs w:val="30"/>
      <w:lang w:val="zh-TW" w:eastAsia="zh-TW" w:bidi="zh-TW"/>
    </w:rPr>
  </w:style>
  <w:style w:type="character" w:customStyle="1" w:styleId="7">
    <w:name w:val="页眉 Char"/>
    <w:basedOn w:val="5"/>
    <w:link w:val="3"/>
    <w:qFormat/>
    <w:uiPriority w:val="0"/>
    <w:rPr>
      <w:rFonts w:ascii="Calibri" w:hAnsi="Calibri" w:eastAsia="宋体" w:cs="Calibri"/>
      <w:kern w:val="2"/>
      <w:sz w:val="18"/>
      <w:szCs w:val="18"/>
    </w:rPr>
  </w:style>
  <w:style w:type="character" w:customStyle="1" w:styleId="8">
    <w:name w:val="页脚 Char"/>
    <w:basedOn w:val="5"/>
    <w:link w:val="2"/>
    <w:qFormat/>
    <w:uiPriority w:val="0"/>
    <w:rPr>
      <w:rFonts w:ascii="Calibri" w:hAnsi="Calibri" w:eastAsia="宋体" w:cs="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Pages>
  <Words>2406</Words>
  <Characters>2626</Characters>
  <Lines>20</Lines>
  <Paragraphs>5</Paragraphs>
  <TotalTime>54</TotalTime>
  <ScaleCrop>false</ScaleCrop>
  <LinksUpToDate>false</LinksUpToDate>
  <CharactersWithSpaces>2667</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2022-08-24T01:34:00Z</dcterms:created>
  <dc:creator>crazy姐</dc:creator>
  <cp:lastModifiedBy>东来</cp:lastModifiedBy>
  <cp:lastPrinted>2022-08-24T03:21:00Z</cp:lastPrinted>
  <dcterms:modified xsi:type="dcterms:W3CDTF">2023-11-08T02:01:33Z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y fmtid="{D5CDD505-2E9C-101B-9397-08002B2CF9AE}" pid="3" name="ICV">
    <vt:lpwstr>A276783898EB40C6955681960543454C</vt:lpwstr>
  </property>
</Properties>
</file>