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line="620" w:lineRule="exact"/>
        <w:ind w:firstLine="640" w:firstLineChars="200"/>
        <w:rPr>
          <w:rFonts w:ascii="宋体" w:hAnsi="宋体"/>
          <w:sz w:val="30"/>
          <w:szCs w:val="30"/>
        </w:rPr>
      </w:pPr>
      <w:r>
        <w:rPr>
          <w:rFonts w:hint="eastAsia" w:ascii="仿宋" w:hAnsi="仿宋" w:eastAsia="仿宋" w:cs="仿宋_GB2312"/>
          <w:bCs/>
          <w:color w:val="000000"/>
          <w:sz w:val="32"/>
          <w:szCs w:val="32"/>
        </w:rPr>
        <w:t>永州市冷水滩区科技和工业信息化局内设机构有办公室、政工室、经济运行室、能源运行室、交通运输协调股、中小企业服务中心、科技股、电子信息产业和信息化推进股、工业技术改造股、科技成果与技术市场股等10个；</w:t>
      </w:r>
      <w:r>
        <w:rPr>
          <w:rFonts w:hint="eastAsia" w:ascii="仿宋" w:hAnsi="仿宋" w:eastAsia="仿宋"/>
          <w:sz w:val="32"/>
        </w:rPr>
        <w:t>本单位2021年未实有人数3</w:t>
      </w:r>
      <w:r>
        <w:rPr>
          <w:rFonts w:hint="eastAsia" w:ascii="仿宋" w:hAnsi="仿宋" w:eastAsia="仿宋"/>
          <w:sz w:val="32"/>
          <w:szCs w:val="32"/>
        </w:rPr>
        <w:t>3</w:t>
      </w:r>
      <w:r>
        <w:rPr>
          <w:rFonts w:hint="eastAsia" w:ascii="仿宋" w:hAnsi="仿宋" w:eastAsia="仿宋"/>
          <w:sz w:val="32"/>
        </w:rPr>
        <w:t>人。</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numPr>
          <w:ilvl w:val="0"/>
          <w:numId w:val="1"/>
        </w:numPr>
        <w:ind w:firstLine="640" w:firstLineChars="200"/>
        <w:rPr>
          <w:rFonts w:ascii="仿宋" w:hAnsi="仿宋" w:eastAsia="仿宋" w:cs="Times New Roman"/>
          <w:sz w:val="32"/>
          <w:szCs w:val="32"/>
        </w:rPr>
      </w:pPr>
      <w:r>
        <w:rPr>
          <w:rFonts w:hint="eastAsia" w:ascii="仿宋" w:hAnsi="仿宋" w:eastAsia="仿宋" w:cs="Times New Roman"/>
          <w:sz w:val="32"/>
          <w:szCs w:val="32"/>
        </w:rPr>
        <w:t>加强沟通，科学调度，经济指标取得新成效</w:t>
      </w:r>
      <w:r>
        <w:rPr>
          <w:rFonts w:hint="eastAsia" w:ascii="楷体" w:hAnsi="楷体" w:eastAsia="楷体" w:cs="楷体"/>
          <w:sz w:val="32"/>
          <w:szCs w:val="32"/>
        </w:rPr>
        <w:t>。</w:t>
      </w:r>
      <w:r>
        <w:rPr>
          <w:rFonts w:hint="eastAsia" w:ascii="仿宋" w:hAnsi="仿宋" w:eastAsia="仿宋" w:cs="Times New Roman"/>
          <w:sz w:val="32"/>
          <w:szCs w:val="32"/>
        </w:rPr>
        <w:t>对全区重点工业项目进行跟踪调度，主动对接商务、发改、园区及企业。今年区属新增智创电子、诚惠电子、国创新材料等8家入统工业企业。区域规模工业完成产值</w:t>
      </w:r>
      <w:r>
        <w:rPr>
          <w:rFonts w:hint="eastAsia" w:ascii="仿宋" w:hAnsi="仿宋" w:eastAsia="仿宋" w:cs="仿宋"/>
          <w:color w:val="000000"/>
          <w:kern w:val="0"/>
          <w:sz w:val="32"/>
          <w:szCs w:val="32"/>
          <w:shd w:val="clear" w:color="auto" w:fill="FFFFFF"/>
          <w:lang w:bidi="ar"/>
        </w:rPr>
        <w:t>345.45亿元，同比增长14.12%</w:t>
      </w:r>
      <w:r>
        <w:rPr>
          <w:rFonts w:hint="eastAsia" w:ascii="仿宋" w:hAnsi="仿宋" w:eastAsia="仿宋" w:cs="Times New Roman"/>
          <w:sz w:val="32"/>
          <w:szCs w:val="32"/>
        </w:rPr>
        <w:t> ；区属规模工业完成产值</w:t>
      </w:r>
      <w:r>
        <w:rPr>
          <w:rFonts w:hint="eastAsia" w:ascii="仿宋" w:hAnsi="仿宋" w:eastAsia="仿宋" w:cs="仿宋"/>
          <w:color w:val="000000"/>
          <w:kern w:val="0"/>
          <w:sz w:val="32"/>
          <w:szCs w:val="32"/>
          <w:shd w:val="clear" w:color="auto" w:fill="FFFFFF"/>
          <w:lang w:bidi="ar"/>
        </w:rPr>
        <w:t>191.17亿元，同比增长12.0% </w:t>
      </w:r>
      <w:r>
        <w:rPr>
          <w:rFonts w:hint="eastAsia" w:ascii="仿宋" w:hAnsi="仿宋" w:eastAsia="仿宋" w:cs="Times New Roman"/>
          <w:sz w:val="32"/>
          <w:szCs w:val="32"/>
        </w:rPr>
        <w:t> 。累计工业用电量34669万千瓦时，同比增长1.72%。</w:t>
      </w:r>
    </w:p>
    <w:p>
      <w:pPr>
        <w:numPr>
          <w:ilvl w:val="0"/>
          <w:numId w:val="1"/>
        </w:numPr>
        <w:ind w:firstLine="640" w:firstLineChars="200"/>
        <w:rPr>
          <w:rFonts w:ascii="仿宋" w:hAnsi="仿宋" w:eastAsia="仿宋" w:cs="Times New Roman"/>
          <w:sz w:val="32"/>
          <w:szCs w:val="32"/>
        </w:rPr>
      </w:pPr>
      <w:r>
        <w:rPr>
          <w:rFonts w:hint="eastAsia" w:ascii="仿宋" w:hAnsi="仿宋" w:eastAsia="仿宋" w:cs="Times New Roman"/>
          <w:sz w:val="32"/>
          <w:szCs w:val="32"/>
        </w:rPr>
        <w:t>持之以恒开展暖企服务。对区内 50家重点企业实行“点对点”帮扶，针对企业（项目）在企业用地、融资、用水、公交、环卫、招工、燃气等方面的实际问题，为企业发展保驾护航。</w:t>
      </w:r>
    </w:p>
    <w:p>
      <w:pPr>
        <w:pStyle w:val="6"/>
        <w:widowControl/>
        <w:spacing w:after="0" w:line="560" w:lineRule="exact"/>
        <w:ind w:firstLine="640" w:firstLineChars="200"/>
        <w:jc w:val="both"/>
        <w:rPr>
          <w:rFonts w:ascii="仿宋" w:hAnsi="仿宋" w:eastAsia="仿宋"/>
          <w:sz w:val="32"/>
          <w:szCs w:val="32"/>
        </w:rPr>
      </w:pPr>
      <w:r>
        <w:rPr>
          <w:rFonts w:hint="eastAsia" w:ascii="仿宋" w:hAnsi="仿宋" w:eastAsia="仿宋"/>
          <w:kern w:val="2"/>
          <w:sz w:val="32"/>
          <w:szCs w:val="32"/>
        </w:rPr>
        <w:t>3、夯实基础，创新发展，打造经济发展新优势。</w:t>
      </w:r>
      <w:r>
        <w:rPr>
          <w:rFonts w:hint="eastAsia" w:ascii="仿宋_GB2312" w:eastAsia="仿宋_GB2312"/>
          <w:sz w:val="32"/>
          <w:szCs w:val="32"/>
        </w:rPr>
        <w:t>今年成功申报高新技术企业30家，</w:t>
      </w:r>
      <w:r>
        <w:rPr>
          <w:rFonts w:ascii="仿宋" w:hAnsi="仿宋" w:eastAsia="仿宋"/>
          <w:sz w:val="32"/>
          <w:szCs w:val="32"/>
        </w:rPr>
        <w:t>高新技术企业总数达到</w:t>
      </w:r>
      <w:r>
        <w:rPr>
          <w:rFonts w:hint="eastAsia" w:ascii="仿宋" w:hAnsi="仿宋" w:eastAsia="仿宋"/>
          <w:sz w:val="32"/>
          <w:szCs w:val="32"/>
        </w:rPr>
        <w:t>61家，</w:t>
      </w:r>
      <w:r>
        <w:rPr>
          <w:rFonts w:ascii="仿宋" w:hAnsi="仿宋" w:eastAsia="仿宋"/>
          <w:sz w:val="32"/>
          <w:szCs w:val="32"/>
        </w:rPr>
        <w:t>总数</w:t>
      </w:r>
      <w:r>
        <w:rPr>
          <w:rFonts w:hint="eastAsia" w:ascii="仿宋" w:hAnsi="仿宋" w:eastAsia="仿宋"/>
          <w:sz w:val="32"/>
          <w:szCs w:val="32"/>
        </w:rPr>
        <w:t>位</w:t>
      </w:r>
      <w:r>
        <w:rPr>
          <w:rFonts w:ascii="仿宋" w:hAnsi="仿宋" w:eastAsia="仿宋"/>
          <w:sz w:val="32"/>
          <w:szCs w:val="32"/>
        </w:rPr>
        <w:t>居全市首位</w:t>
      </w:r>
      <w:r>
        <w:rPr>
          <w:rFonts w:hint="eastAsia" w:ascii="仿宋_GB2312" w:eastAsia="仿宋_GB2312"/>
          <w:sz w:val="32"/>
          <w:szCs w:val="32"/>
        </w:rPr>
        <w:t>；</w:t>
      </w:r>
      <w:r>
        <w:rPr>
          <w:rFonts w:hint="eastAsia" w:ascii="仿宋" w:hAnsi="仿宋" w:eastAsia="仿宋"/>
          <w:sz w:val="32"/>
          <w:szCs w:val="32"/>
        </w:rPr>
        <w:t>加快科技型企业培育，依托产业集聚区、创新创业基地、科技企业孵化器等创新创业服务平台，加快培育一批科技型中小企业，遴选一批有基础、有潜力的科技型中小企业，进入高新技术后备企业重点培养，截至</w:t>
      </w:r>
      <w:bookmarkStart w:id="1" w:name="_GoBack"/>
      <w:bookmarkEnd w:id="1"/>
      <w:r>
        <w:rPr>
          <w:rFonts w:hint="eastAsia" w:ascii="仿宋" w:hAnsi="仿宋" w:eastAsia="仿宋"/>
          <w:sz w:val="32"/>
          <w:szCs w:val="32"/>
        </w:rPr>
        <w:t>目前我区科技型中小企业入库82家；突出创新平台创建，2021年申报省级众创空间1家、省级科普基地1家，现有省级以上工程技术研究中心5家，省级以上星创天地4家，省级以上众创空间2家，省级以上技术示范基地1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4、科技助力乡村振兴。紧紧围绕乡村振兴等中心工作，从高校、区直单位、企业选派科技特派员83名，组建成11个小分队，对口指导11个乡镇174个行政村，覆盖率达到100%。2021年推广新技术新产品15项，引进新品种18个，研制新品种3项，服务龙头企业20家，驻地农民人均收入平均增幅达9%，组织各类培训14期 1860人次，安置劳动力360人次，建立产业基地8个、建立产业示范基地20500亩，培育科技示范户168户。</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spacing w:line="600" w:lineRule="exact"/>
        <w:ind w:firstLine="640" w:firstLineChars="200"/>
      </w:pPr>
      <w:r>
        <w:rPr>
          <w:rFonts w:hint="eastAsia" w:ascii="仿宋" w:hAnsi="仿宋" w:eastAsia="仿宋"/>
          <w:sz w:val="32"/>
          <w:szCs w:val="32"/>
        </w:rPr>
        <w:t>基本支出405.84万元，比上年减少6.03万元，其中：人员经费350.867万元，比上年减少44万元，减少11.14%,变化的主要原因是2021年进行了工资及其他缴费调整；公用经费54.976万元，比上年增加37.976万元，上涨223.39%，主要原因是公用经费标准提高及工会福利费等计入该类目。</w:t>
      </w:r>
    </w:p>
    <w:p>
      <w:pPr>
        <w:ind w:firstLine="600" w:firstLineChars="200"/>
        <w:rPr>
          <w:rFonts w:ascii="宋体" w:hAnsi="宋体"/>
          <w:sz w:val="30"/>
          <w:szCs w:val="30"/>
        </w:rPr>
      </w:pPr>
      <w:r>
        <w:rPr>
          <w:rFonts w:ascii="宋体" w:hAnsi="宋体"/>
          <w:sz w:val="30"/>
          <w:szCs w:val="30"/>
        </w:rPr>
        <w:t>（二）项目支出情况</w:t>
      </w:r>
    </w:p>
    <w:p>
      <w:pPr>
        <w:pStyle w:val="9"/>
        <w:spacing w:line="614" w:lineRule="exact"/>
        <w:ind w:left="280" w:firstLine="66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全年项目支出4880.96万元，比上年增加3534.53万元，增长262.51%，主要是增加了以下项目支出：</w:t>
      </w:r>
    </w:p>
    <w:p>
      <w:pPr>
        <w:pStyle w:val="9"/>
        <w:spacing w:line="614" w:lineRule="exact"/>
        <w:ind w:left="280" w:firstLine="66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2021年第一批保障性安居工程专项中央预算内基建资金（轻工机械厂）</w:t>
      </w:r>
      <w:r>
        <w:rPr>
          <w:rFonts w:hint="eastAsia" w:ascii="仿宋" w:hAnsi="仿宋" w:eastAsia="仿宋" w:cs="仿宋"/>
          <w:color w:val="000000"/>
          <w:sz w:val="32"/>
          <w:szCs w:val="32"/>
          <w:lang w:val="en-US" w:eastAsia="zh-CN"/>
        </w:rPr>
        <w:t>1290万元；</w:t>
      </w:r>
    </w:p>
    <w:p>
      <w:pPr>
        <w:pStyle w:val="9"/>
        <w:spacing w:line="614" w:lineRule="exact"/>
        <w:ind w:firstLine="928" w:firstLineChars="29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立源企业管理2021年省中小企业发展服务建设补助资金</w:t>
      </w:r>
      <w:r>
        <w:rPr>
          <w:rFonts w:hint="eastAsia" w:ascii="仿宋" w:hAnsi="仿宋" w:eastAsia="仿宋" w:cs="仿宋"/>
          <w:color w:val="000000"/>
          <w:sz w:val="32"/>
          <w:szCs w:val="32"/>
          <w:lang w:val="en-US" w:eastAsia="zh-CN"/>
        </w:rPr>
        <w:t>155万元；</w:t>
      </w:r>
    </w:p>
    <w:p>
      <w:pPr>
        <w:pStyle w:val="9"/>
        <w:spacing w:line="614" w:lineRule="exact"/>
        <w:ind w:left="280" w:firstLine="66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r>
        <w:rPr>
          <w:rFonts w:ascii="仿宋" w:hAnsi="仿宋" w:eastAsia="仿宋" w:cs="仿宋"/>
          <w:color w:val="000000"/>
          <w:sz w:val="32"/>
          <w:szCs w:val="32"/>
          <w:lang w:val="en-US" w:eastAsia="zh-CN"/>
        </w:rPr>
        <w:t>果秀公司土地错位问题再行报批费用</w:t>
      </w:r>
      <w:r>
        <w:rPr>
          <w:rFonts w:hint="eastAsia" w:ascii="仿宋" w:hAnsi="仿宋" w:eastAsia="仿宋" w:cs="仿宋"/>
          <w:color w:val="000000"/>
          <w:sz w:val="32"/>
          <w:szCs w:val="32"/>
          <w:lang w:val="en-US" w:eastAsia="zh-CN"/>
        </w:rPr>
        <w:t>186.3万元；</w:t>
      </w:r>
    </w:p>
    <w:p>
      <w:pPr>
        <w:pStyle w:val="9"/>
        <w:spacing w:line="614" w:lineRule="exact"/>
        <w:ind w:firstLine="928" w:firstLineChars="29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r>
        <w:rPr>
          <w:rFonts w:ascii="仿宋" w:hAnsi="仿宋" w:eastAsia="仿宋" w:cs="仿宋"/>
          <w:color w:val="000000"/>
          <w:sz w:val="32"/>
          <w:szCs w:val="32"/>
          <w:lang w:val="en-US" w:eastAsia="zh-CN"/>
        </w:rPr>
        <w:t>2021年企业高校及科研所研发奖补资金</w:t>
      </w:r>
      <w:r>
        <w:rPr>
          <w:rFonts w:hint="eastAsia" w:ascii="仿宋" w:hAnsi="仿宋" w:eastAsia="仿宋" w:cs="仿宋"/>
          <w:color w:val="000000"/>
          <w:sz w:val="32"/>
          <w:szCs w:val="32"/>
          <w:lang w:val="en-US" w:eastAsia="zh-CN"/>
        </w:rPr>
        <w:t>294.72万元；</w:t>
      </w:r>
    </w:p>
    <w:p>
      <w:pPr>
        <w:pStyle w:val="9"/>
        <w:spacing w:line="614" w:lineRule="exact"/>
        <w:ind w:left="420" w:leftChars="200" w:firstLine="640" w:firstLineChars="20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r>
        <w:rPr>
          <w:rFonts w:ascii="仿宋" w:hAnsi="仿宋" w:eastAsia="仿宋" w:cs="仿宋"/>
          <w:color w:val="000000"/>
          <w:sz w:val="32"/>
          <w:szCs w:val="32"/>
          <w:lang w:val="en-US" w:eastAsia="zh-CN"/>
        </w:rPr>
        <w:t>制革厂改制资金</w:t>
      </w:r>
      <w:r>
        <w:rPr>
          <w:rFonts w:hint="eastAsia" w:ascii="仿宋" w:hAnsi="仿宋" w:eastAsia="仿宋" w:cs="仿宋"/>
          <w:color w:val="000000"/>
          <w:sz w:val="32"/>
          <w:szCs w:val="32"/>
          <w:lang w:val="en-US" w:eastAsia="zh-CN"/>
        </w:rPr>
        <w:t>1935.31万元；</w:t>
      </w:r>
    </w:p>
    <w:p>
      <w:pPr>
        <w:pStyle w:val="9"/>
        <w:spacing w:line="614" w:lineRule="exact"/>
        <w:ind w:left="420" w:leftChars="200" w:firstLine="640" w:firstLineChars="20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6、湘盛矿业赔偿、利息及执行费84.99万元；</w:t>
      </w:r>
    </w:p>
    <w:p>
      <w:pPr>
        <w:pStyle w:val="9"/>
        <w:tabs>
          <w:tab w:val="left" w:pos="1538"/>
        </w:tabs>
        <w:spacing w:line="614" w:lineRule="exact"/>
        <w:ind w:firstLine="900"/>
        <w:jc w:val="left"/>
        <w:rPr>
          <w:rFonts w:ascii="黑体" w:hAnsi="黑体" w:eastAsia="黑体" w:cs="黑体"/>
          <w:color w:val="000000"/>
          <w:sz w:val="32"/>
          <w:szCs w:val="32"/>
        </w:rPr>
      </w:pPr>
      <w:bookmarkStart w:id="0" w:name="bookmark81"/>
      <w:r>
        <w:rPr>
          <w:rFonts w:hint="eastAsia" w:ascii="黑体" w:hAnsi="黑体" w:eastAsia="黑体" w:cs="黑体"/>
          <w:color w:val="000000"/>
          <w:sz w:val="32"/>
          <w:szCs w:val="32"/>
        </w:rPr>
        <w:t>三</w:t>
      </w:r>
      <w:bookmarkEnd w:id="0"/>
      <w:r>
        <w:rPr>
          <w:rFonts w:hint="eastAsia" w:ascii="黑体" w:hAnsi="黑体" w:eastAsia="黑体" w:cs="黑体"/>
          <w:color w:val="000000"/>
          <w:sz w:val="32"/>
          <w:szCs w:val="32"/>
        </w:rPr>
        <w:t>、政府性基金预算支出情况</w:t>
      </w:r>
    </w:p>
    <w:p>
      <w:pPr>
        <w:pStyle w:val="9"/>
        <w:spacing w:line="614" w:lineRule="exact"/>
        <w:ind w:left="420" w:leftChars="200" w:firstLine="640" w:firstLineChars="20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无政府性基金预算支出</w:t>
      </w:r>
    </w:p>
    <w:p>
      <w:pPr>
        <w:pStyle w:val="9"/>
        <w:numPr>
          <w:ilvl w:val="0"/>
          <w:numId w:val="2"/>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国有资本经营预算支出情况</w:t>
      </w:r>
    </w:p>
    <w:p>
      <w:pPr>
        <w:pStyle w:val="9"/>
        <w:spacing w:line="614" w:lineRule="exact"/>
        <w:ind w:left="420" w:leftChars="200" w:firstLine="640" w:firstLineChars="20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无国有资本经营预算支出</w:t>
      </w:r>
    </w:p>
    <w:p>
      <w:pPr>
        <w:pStyle w:val="9"/>
        <w:numPr>
          <w:ilvl w:val="0"/>
          <w:numId w:val="2"/>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社会保险基金预算支出情况</w:t>
      </w:r>
    </w:p>
    <w:p>
      <w:pPr>
        <w:pStyle w:val="9"/>
        <w:spacing w:line="614" w:lineRule="exact"/>
        <w:ind w:left="420" w:leftChars="200" w:firstLine="640" w:firstLineChars="200"/>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无社保基金预算支出</w:t>
      </w:r>
    </w:p>
    <w:p>
      <w:pPr>
        <w:pStyle w:val="9"/>
        <w:numPr>
          <w:ilvl w:val="0"/>
          <w:numId w:val="2"/>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部门整体支出绩效情况</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2021年度</w:t>
      </w:r>
      <w:r>
        <w:rPr>
          <w:rFonts w:hint="eastAsia" w:ascii="仿宋" w:hAnsi="仿宋" w:eastAsia="仿宋" w:cs="仿宋_GB2312"/>
          <w:bCs/>
          <w:color w:val="000000"/>
          <w:sz w:val="32"/>
          <w:szCs w:val="32"/>
        </w:rPr>
        <w:t>永州市冷水滩区科技和工业信息化局</w:t>
      </w:r>
      <w:r>
        <w:rPr>
          <w:rFonts w:hint="eastAsia" w:ascii="仿宋" w:hAnsi="仿宋" w:eastAsia="仿宋" w:cs="仿宋"/>
          <w:color w:val="000000"/>
          <w:sz w:val="32"/>
          <w:szCs w:val="32"/>
        </w:rPr>
        <w:t>部门整体支出主要是基本支出和专项项目支出，一年以来，在区委、区政府的领导下，严格按照区财政局的相关文件的要求，遵循客观、公平、公正的原则，运用了目标比较法、定性与定量相结合的方法，组织完成部门单位绩效评价工作，</w:t>
      </w:r>
      <w:r>
        <w:rPr>
          <w:rFonts w:hint="eastAsia" w:ascii="仿宋" w:hAnsi="仿宋" w:eastAsia="仿宋" w:cs="仿宋_GB2312"/>
          <w:bCs/>
          <w:color w:val="000000"/>
          <w:sz w:val="32"/>
          <w:szCs w:val="32"/>
        </w:rPr>
        <w:t>为我区“两个率先”目标的实现，提供有力的思想保证、精神力量、道德滋养和文化条件。</w:t>
      </w:r>
      <w:r>
        <w:rPr>
          <w:rFonts w:hint="eastAsia" w:ascii="仿宋" w:hAnsi="仿宋" w:eastAsia="仿宋" w:cs="仿宋"/>
          <w:color w:val="000000"/>
          <w:sz w:val="32"/>
          <w:szCs w:val="32"/>
        </w:rPr>
        <w:t>主要绩效情况如下:</w:t>
      </w:r>
    </w:p>
    <w:p>
      <w:pPr>
        <w:pStyle w:val="2"/>
        <w:ind w:firstLine="640" w:firstLineChars="200"/>
        <w:rPr>
          <w:rFonts w:eastAsia="仿宋"/>
        </w:rPr>
      </w:pPr>
      <w:r>
        <w:rPr>
          <w:rFonts w:hint="eastAsia" w:ascii="仿宋" w:hAnsi="仿宋" w:eastAsia="仿宋" w:cs="仿宋"/>
          <w:color w:val="000000"/>
          <w:sz w:val="32"/>
          <w:szCs w:val="32"/>
        </w:rPr>
        <w:t>1、绩效目标完成情况</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支出总额控制在预算内，除因机构改革，年中临时调整其他专项支出，均控制在预算之内。</w:t>
      </w:r>
    </w:p>
    <w:p>
      <w:pPr>
        <w:pStyle w:val="2"/>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 xml:space="preserve">  2、实现产出和取得效益情况</w:t>
      </w:r>
    </w:p>
    <w:p>
      <w:pPr>
        <w:pStyle w:val="2"/>
        <w:ind w:firstLine="640" w:firstLineChars="200"/>
        <w:rPr>
          <w:rFonts w:ascii="仿宋" w:hAnsi="仿宋" w:eastAsia="仿宋" w:cs="Times New Roman"/>
          <w:sz w:val="32"/>
          <w:szCs w:val="32"/>
        </w:rPr>
      </w:pPr>
      <w:r>
        <w:rPr>
          <w:rFonts w:hint="eastAsia" w:ascii="仿宋" w:hAnsi="仿宋" w:eastAsia="仿宋" w:cs="Times New Roman"/>
          <w:sz w:val="32"/>
          <w:szCs w:val="32"/>
        </w:rPr>
        <w:t>目前区域规模以上工业企业达192家，其中区属103家，今年区属新增智创电子、湖南经纬辉开、诚惠电子、国创新材料等8家入统工业企业。区域规模工业完成产值</w:t>
      </w:r>
      <w:r>
        <w:rPr>
          <w:rFonts w:hint="eastAsia" w:ascii="仿宋" w:hAnsi="仿宋" w:eastAsia="仿宋" w:cs="仿宋"/>
          <w:color w:val="000000"/>
          <w:kern w:val="0"/>
          <w:sz w:val="32"/>
          <w:szCs w:val="32"/>
          <w:shd w:val="clear" w:color="auto" w:fill="FFFFFF"/>
          <w:lang w:bidi="ar"/>
        </w:rPr>
        <w:t>345.45亿元，同比增长14.12%</w:t>
      </w:r>
      <w:r>
        <w:rPr>
          <w:rFonts w:hint="eastAsia" w:ascii="仿宋" w:hAnsi="仿宋" w:eastAsia="仿宋" w:cs="Times New Roman"/>
          <w:sz w:val="32"/>
          <w:szCs w:val="32"/>
        </w:rPr>
        <w:t> ；区属规模工业完成产值</w:t>
      </w:r>
      <w:r>
        <w:rPr>
          <w:rFonts w:hint="eastAsia" w:ascii="仿宋" w:hAnsi="仿宋" w:eastAsia="仿宋" w:cs="仿宋"/>
          <w:color w:val="000000"/>
          <w:kern w:val="0"/>
          <w:sz w:val="32"/>
          <w:szCs w:val="32"/>
          <w:shd w:val="clear" w:color="auto" w:fill="FFFFFF"/>
          <w:lang w:bidi="ar"/>
        </w:rPr>
        <w:t>191.17亿元，同比增长12.0% </w:t>
      </w:r>
      <w:r>
        <w:rPr>
          <w:rFonts w:hint="eastAsia" w:ascii="仿宋" w:hAnsi="仿宋" w:eastAsia="仿宋" w:cs="Times New Roman"/>
          <w:sz w:val="32"/>
          <w:szCs w:val="32"/>
        </w:rPr>
        <w:t> 。累计工业用电量34669万千瓦时，同比增长1.72%；列入省市重大产品创新项目5个，其中捷力泰列入省重大产品创新项目，项目计划总投资11.32亿元，年度计划投资4.785亿元，累计完成投资9.41亿元，完成年度计划的196.7%。列入市“5个10”考核的重大科技创新项目共3个，分别是诚惠智能、捷力泰、和广生物，项目总投资2.6亿元，2021年计划投资1.3亿元，</w:t>
      </w:r>
      <w:r>
        <w:rPr>
          <w:rFonts w:hint="eastAsia" w:ascii="仿宋" w:hAnsi="仿宋" w:eastAsia="仿宋" w:cs="仿宋"/>
          <w:color w:val="000000"/>
          <w:kern w:val="0"/>
          <w:sz w:val="32"/>
          <w:szCs w:val="32"/>
          <w:shd w:val="clear" w:color="auto" w:fill="FFFFFF"/>
          <w:lang w:bidi="ar"/>
        </w:rPr>
        <w:t>累计完成投资1.749亿元，完成年度计划的134.5%。</w:t>
      </w:r>
      <w:r>
        <w:rPr>
          <w:rFonts w:hint="eastAsia" w:ascii="仿宋" w:hAnsi="仿宋" w:eastAsia="仿宋" w:cs="Times New Roman"/>
          <w:kern w:val="0"/>
          <w:sz w:val="32"/>
          <w:szCs w:val="32"/>
          <w:lang w:bidi="ar"/>
        </w:rPr>
        <w:t>2021年推广新技术新产品15项，引进新品种18个，研制新品种3项，服务龙头企业20家，驻地农民人均收入平均增幅达9%，组织各类培训14期 1860人次，安置劳动力360人次，建立产业基地8个、建立产业示范基地20500亩，培育科技示范户168户。</w:t>
      </w:r>
    </w:p>
    <w:p>
      <w:pPr>
        <w:numPr>
          <w:ilvl w:val="0"/>
          <w:numId w:val="3"/>
        </w:numPr>
        <w:spacing w:line="540" w:lineRule="exact"/>
        <w:ind w:firstLine="640" w:firstLineChars="200"/>
        <w:rPr>
          <w:rFonts w:ascii="仿宋_GB2312" w:eastAsia="仿宋_GB2312"/>
          <w:sz w:val="32"/>
          <w:szCs w:val="32"/>
        </w:rPr>
      </w:pPr>
      <w:r>
        <w:rPr>
          <w:rFonts w:hint="eastAsia" w:ascii="仿宋_GB2312" w:eastAsia="仿宋_GB2312"/>
          <w:sz w:val="32"/>
          <w:szCs w:val="32"/>
        </w:rPr>
        <w:t>满意度指标完成情况分析</w:t>
      </w:r>
    </w:p>
    <w:p>
      <w:pPr>
        <w:spacing w:line="560" w:lineRule="exact"/>
        <w:ind w:firstLine="640" w:firstLineChars="200"/>
        <w:rPr>
          <w:rFonts w:ascii="仿宋" w:hAnsi="仿宋" w:eastAsia="仿宋" w:cs="Times New Roman"/>
          <w:sz w:val="32"/>
          <w:szCs w:val="32"/>
        </w:rPr>
      </w:pPr>
      <w:r>
        <w:rPr>
          <w:rFonts w:hint="eastAsia" w:ascii="仿宋_GB2312" w:eastAsia="仿宋_GB2312"/>
          <w:sz w:val="32"/>
          <w:szCs w:val="32"/>
        </w:rPr>
        <w:t>项目的经济性分析：</w:t>
      </w:r>
      <w:r>
        <w:rPr>
          <w:rFonts w:hint="eastAsia" w:ascii="仿宋" w:hAnsi="仿宋" w:eastAsia="仿宋" w:cs="Times New Roman"/>
          <w:sz w:val="32"/>
          <w:szCs w:val="32"/>
        </w:rPr>
        <w:t>我区积极实施工业“小巨人”企业培育工程，支持企业开展技术创新，积极指导规模工业企业积极上报研发费用，我区全社会研发经费投入达到5.42亿元，投入强度1.52%。</w:t>
      </w:r>
      <w:r>
        <w:rPr>
          <w:rFonts w:hint="eastAsia" w:ascii="仿宋" w:hAnsi="仿宋" w:eastAsia="仿宋" w:cs="仿宋"/>
          <w:kern w:val="0"/>
          <w:sz w:val="32"/>
          <w:szCs w:val="32"/>
        </w:rPr>
        <w:t>围绕农产品加工、油茶、电子信息等重点产业需求，大力搭建“政产学研用”合作平台，通过“厅市区共建”、科研院校协同创新战略联盟和产学研合作，激发企业创新活力，构筑良好的科技成果产业化通道。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项目的效率性分析：</w:t>
      </w:r>
      <w:r>
        <w:rPr>
          <w:rFonts w:hint="eastAsia" w:ascii="仿宋" w:hAnsi="仿宋" w:eastAsia="仿宋" w:cs="Times New Roman"/>
          <w:sz w:val="32"/>
          <w:szCs w:val="32"/>
        </w:rPr>
        <w:t>迈锐客等8家企业被认定为市级专精特新“小巨人”企业，星辰生物被认定为省级专精特新“小巨人”企业，截至目前全区省级“专精特新”中小企业达到10家；组织恒伟药业、捷力泰等20余企业申报2021年制造强省项目，14家企业获得专项资金支持655万元，捷力泰被认定省级企业技术中心。</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项目的有效性分析：</w:t>
      </w:r>
      <w:r>
        <w:rPr>
          <w:rFonts w:hint="eastAsia" w:ascii="仿宋" w:hAnsi="仿宋" w:eastAsia="仿宋" w:cs="Times New Roman"/>
          <w:sz w:val="32"/>
          <w:szCs w:val="32"/>
        </w:rPr>
        <w:t>我区科技型中小企业入库82家；突出创新平台创建，2021年申报省级众创空间1家、省级科普基地1家，现有省级以上工程技术研究中心5家，省级以上星创天地4家，省级以上众创空间2家，省级以上技术示范基地1家。</w:t>
      </w:r>
      <w:r>
        <w:rPr>
          <w:rFonts w:hint="eastAsia" w:ascii="仿宋_GB2312" w:eastAsia="仿宋_GB2312"/>
          <w:sz w:val="32"/>
          <w:szCs w:val="32"/>
        </w:rPr>
        <w:t>我局2021年度项目进度及质量符合预期目标，项目进展顺利，预期目标已100%完成。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项目的可持续性分析：助力产业项目建设和实体经济振兴，在融资、供地、厂房补贴、税收优惠、技术创新、人才引进、企业服务等十四个类别中，给予企业全方位的支持，因此，该项目具有较好地持续性。</w:t>
      </w:r>
    </w:p>
    <w:p>
      <w:pPr>
        <w:numPr>
          <w:ilvl w:val="0"/>
          <w:numId w:val="2"/>
        </w:numPr>
        <w:ind w:firstLine="900"/>
        <w:rPr>
          <w:rFonts w:ascii="宋体" w:hAnsi="宋体"/>
          <w:b/>
          <w:sz w:val="30"/>
          <w:szCs w:val="30"/>
        </w:rPr>
      </w:pPr>
      <w:r>
        <w:rPr>
          <w:rFonts w:hint="eastAsia" w:ascii="宋体" w:hAnsi="宋体"/>
          <w:b/>
          <w:sz w:val="30"/>
          <w:szCs w:val="30"/>
        </w:rPr>
        <w:t>绩效自评得分情况及绩效等级</w:t>
      </w:r>
    </w:p>
    <w:p>
      <w:pPr>
        <w:spacing w:line="600" w:lineRule="exact"/>
        <w:ind w:firstLine="640" w:firstLineChars="200"/>
      </w:pPr>
      <w:r>
        <w:rPr>
          <w:rFonts w:hint="eastAsia" w:ascii="仿宋" w:hAnsi="仿宋" w:eastAsia="仿宋"/>
          <w:sz w:val="32"/>
          <w:szCs w:val="32"/>
        </w:rPr>
        <w:t>2021年度绩效自评得分为：85分。绩效等级：良好。</w:t>
      </w:r>
    </w:p>
    <w:p>
      <w:pPr>
        <w:ind w:firstLine="602" w:firstLineChars="200"/>
        <w:rPr>
          <w:rFonts w:ascii="宋体" w:hAnsi="宋体"/>
          <w:b/>
          <w:sz w:val="30"/>
          <w:szCs w:val="30"/>
        </w:rPr>
      </w:pPr>
      <w:r>
        <w:rPr>
          <w:rFonts w:hint="eastAsia" w:ascii="宋体" w:hAnsi="宋体"/>
          <w:b/>
          <w:sz w:val="30"/>
          <w:szCs w:val="30"/>
        </w:rPr>
        <w:t>八</w:t>
      </w:r>
      <w:r>
        <w:rPr>
          <w:rFonts w:ascii="宋体" w:hAnsi="宋体"/>
          <w:b/>
          <w:sz w:val="30"/>
          <w:szCs w:val="30"/>
        </w:rPr>
        <w:t>、存在的问题</w:t>
      </w:r>
      <w:r>
        <w:rPr>
          <w:rFonts w:hint="eastAsia" w:ascii="宋体" w:hAnsi="宋体"/>
          <w:b/>
          <w:sz w:val="30"/>
          <w:szCs w:val="30"/>
        </w:rPr>
        <w:t>及原因分析</w:t>
      </w:r>
    </w:p>
    <w:p>
      <w:pPr>
        <w:pStyle w:val="2"/>
        <w:ind w:firstLine="640" w:firstLineChars="200"/>
      </w:pPr>
      <w:r>
        <w:rPr>
          <w:rFonts w:hint="eastAsia" w:ascii="仿宋" w:hAnsi="仿宋" w:eastAsia="仿宋" w:cs="仿宋"/>
          <w:sz w:val="32"/>
          <w:szCs w:val="32"/>
        </w:rPr>
        <w:t>1、绩效目标设定的系统性、科学性不够，绩效指标的细化程度及清晰度不足；2、预算管理的严谨性及规范性不足，预算业务的控制能力有待提高。预算编制不够细化，准确性不足；3、近年来，我单位每年在信访维稳项目上的资金投入都大大超出了财政给予扶持资金，使得单位员工的基本福利待遇保障压力越来越大。</w:t>
      </w:r>
    </w:p>
    <w:p>
      <w:pPr>
        <w:ind w:firstLine="602" w:firstLineChars="200"/>
        <w:rPr>
          <w:rFonts w:ascii="宋体" w:hAnsi="宋体"/>
          <w:b/>
          <w:sz w:val="30"/>
          <w:szCs w:val="30"/>
        </w:rPr>
      </w:pPr>
      <w:r>
        <w:rPr>
          <w:rFonts w:hint="eastAsia" w:ascii="宋体" w:hAnsi="宋体"/>
          <w:b/>
          <w:sz w:val="30"/>
          <w:szCs w:val="30"/>
        </w:rPr>
        <w:t>九</w:t>
      </w:r>
      <w:r>
        <w:rPr>
          <w:rFonts w:ascii="宋体" w:hAnsi="宋体"/>
          <w:b/>
          <w:sz w:val="30"/>
          <w:szCs w:val="30"/>
        </w:rPr>
        <w:t>、改进措施和有关建议</w:t>
      </w:r>
    </w:p>
    <w:p>
      <w:pPr>
        <w:pStyle w:val="6"/>
        <w:widowControl/>
        <w:spacing w:after="0" w:line="30" w:lineRule="atLeast"/>
        <w:ind w:firstLine="420"/>
        <w:jc w:val="both"/>
        <w:rPr>
          <w:rFonts w:ascii="仿宋" w:hAnsi="仿宋" w:eastAsia="仿宋" w:cs="仿宋"/>
          <w:kern w:val="2"/>
          <w:sz w:val="32"/>
          <w:szCs w:val="32"/>
        </w:rPr>
      </w:pPr>
      <w:r>
        <w:rPr>
          <w:rFonts w:hint="eastAsia" w:ascii="仿宋" w:hAnsi="仿宋" w:eastAsia="仿宋" w:cs="仿宋"/>
          <w:kern w:val="2"/>
          <w:sz w:val="32"/>
          <w:szCs w:val="32"/>
        </w:rPr>
        <w:t>1、优化绩效目标设置，提高预算绩效管理水平。建议根据部门职能、中长期发展规范及年度工作计划，制定系统的、科学的绩效目标；在提升整体决策科学性的基础上，结合绩效目标制定合理的、细化的评价指标及评价标准，在突出重点工作的同时把非重点工作以综合性指标予以体现，使绩效指标与部门整体工作、部门预算相结合，各分项指标之间相衔接，以便于全面反映及综合评价部门整体绩效。</w:t>
      </w:r>
    </w:p>
    <w:p>
      <w:pPr>
        <w:pStyle w:val="6"/>
        <w:widowControl/>
        <w:spacing w:after="0" w:line="30" w:lineRule="atLeast"/>
        <w:ind w:firstLine="420"/>
        <w:jc w:val="both"/>
        <w:rPr>
          <w:rFonts w:ascii="仿宋" w:hAnsi="仿宋" w:eastAsia="仿宋" w:cs="仿宋"/>
          <w:kern w:val="2"/>
          <w:sz w:val="32"/>
          <w:szCs w:val="32"/>
        </w:rPr>
      </w:pPr>
      <w:r>
        <w:rPr>
          <w:rFonts w:hint="eastAsia" w:ascii="仿宋" w:hAnsi="仿宋" w:eastAsia="仿宋" w:cs="仿宋"/>
          <w:kern w:val="2"/>
          <w:sz w:val="32"/>
          <w:szCs w:val="32"/>
        </w:rPr>
        <w:t>2、强化预算执行力，确保预算严格有效执行。严格根据批复的预算安排各项收支，建立预算执行分析机制，定期分析预算执行情况，研究解决预算执行中存在的问题，提出改进措施，提高预算执行的有效性；强化决算分析结果运用，建立健全单位预算与决算相互对应、相互促进的机制。</w:t>
      </w:r>
    </w:p>
    <w:p>
      <w:pPr>
        <w:pStyle w:val="6"/>
        <w:widowControl/>
        <w:spacing w:after="0" w:line="30" w:lineRule="atLeast"/>
        <w:ind w:firstLine="420"/>
        <w:jc w:val="both"/>
        <w:rPr>
          <w:rFonts w:ascii="仿宋" w:hAnsi="仿宋" w:eastAsia="仿宋" w:cs="仿宋"/>
          <w:kern w:val="2"/>
          <w:sz w:val="32"/>
          <w:szCs w:val="32"/>
        </w:rPr>
      </w:pPr>
      <w:r>
        <w:rPr>
          <w:rFonts w:hint="eastAsia" w:ascii="仿宋" w:hAnsi="仿宋" w:eastAsia="仿宋" w:cs="仿宋"/>
          <w:kern w:val="2"/>
          <w:sz w:val="32"/>
          <w:szCs w:val="32"/>
        </w:rPr>
        <w:t>3、加强预算绩效管理，逐步建立“预算编制有目标、预算执行有监控、预算完成有评价、评价结果有反馈、反馈结果有应用”的全过程预算绩效管理机制。加强绩效成果方面的统计分析，运用年度比较数据等细化绩效指标及评价标准，从多个层面反映部门绩效实现情况及收益对象满意度等。</w:t>
      </w:r>
    </w:p>
    <w:p>
      <w:pPr>
        <w:ind w:firstLine="602" w:firstLineChars="200"/>
        <w:rPr>
          <w:rFonts w:ascii="宋体" w:hAnsi="宋体"/>
          <w:b/>
          <w:sz w:val="30"/>
          <w:szCs w:val="30"/>
        </w:rPr>
      </w:pPr>
      <w:r>
        <w:rPr>
          <w:rFonts w:hint="eastAsia" w:ascii="宋体" w:hAnsi="宋体"/>
          <w:b/>
          <w:sz w:val="30"/>
          <w:szCs w:val="30"/>
        </w:rPr>
        <w:t>十、其他需要说明的情况</w:t>
      </w:r>
    </w:p>
    <w:p>
      <w:pPr>
        <w:pStyle w:val="2"/>
        <w:ind w:firstLine="320" w:firstLineChars="100"/>
        <w:rPr>
          <w:rFonts w:hint="eastAsia" w:ascii="仿宋" w:hAnsi="仿宋" w:eastAsia="仿宋" w:cs="仿宋"/>
          <w:sz w:val="32"/>
          <w:szCs w:val="32"/>
        </w:rPr>
      </w:pPr>
      <w:r>
        <w:rPr>
          <w:rFonts w:hint="eastAsia" w:ascii="仿宋" w:hAnsi="仿宋" w:eastAsia="仿宋" w:cs="仿宋"/>
          <w:sz w:val="32"/>
          <w:szCs w:val="32"/>
        </w:rPr>
        <w:t>无</w:t>
      </w:r>
    </w:p>
    <w:p>
      <w:pPr>
        <w:spacing w:after="120"/>
        <w:rPr>
          <w:sz w:val="48"/>
        </w:rPr>
      </w:pPr>
      <w:r>
        <w:rPr>
          <w:rFonts w:hint="eastAsia"/>
          <w:sz w:val="48"/>
          <w:highlight w:val="yellow"/>
        </w:rPr>
        <w:t>没有评分表</w:t>
      </w: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0EF91"/>
    <w:multiLevelType w:val="singleLevel"/>
    <w:tmpl w:val="8880EF91"/>
    <w:lvl w:ilvl="0" w:tentative="0">
      <w:start w:val="2"/>
      <w:numFmt w:val="chineseCounting"/>
      <w:suff w:val="nothing"/>
      <w:lvlText w:val="（%1）"/>
      <w:lvlJc w:val="left"/>
      <w:rPr>
        <w:rFonts w:hint="eastAsia"/>
      </w:rPr>
    </w:lvl>
  </w:abstractNum>
  <w:abstractNum w:abstractNumId="1">
    <w:nsid w:val="09B1DA37"/>
    <w:multiLevelType w:val="singleLevel"/>
    <w:tmpl w:val="09B1DA37"/>
    <w:lvl w:ilvl="0" w:tentative="0">
      <w:start w:val="1"/>
      <w:numFmt w:val="decimal"/>
      <w:suff w:val="nothing"/>
      <w:lvlText w:val="%1、"/>
      <w:lvlJc w:val="left"/>
    </w:lvl>
  </w:abstractNum>
  <w:abstractNum w:abstractNumId="2">
    <w:nsid w:val="38F9F931"/>
    <w:multiLevelType w:val="singleLevel"/>
    <w:tmpl w:val="38F9F931"/>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TkyOGEyMjNjYTE0ZDIwNDc5YzQ2MTY1NjFjZTEifQ=="/>
  </w:docVars>
  <w:rsids>
    <w:rsidRoot w:val="003B7491"/>
    <w:rsid w:val="000D01EE"/>
    <w:rsid w:val="003B7491"/>
    <w:rsid w:val="00D411FA"/>
    <w:rsid w:val="0C6E742C"/>
    <w:rsid w:val="10B92B1C"/>
    <w:rsid w:val="172A1D91"/>
    <w:rsid w:val="1A12329D"/>
    <w:rsid w:val="2442694E"/>
    <w:rsid w:val="2A420242"/>
    <w:rsid w:val="2A5957DE"/>
    <w:rsid w:val="2B200583"/>
    <w:rsid w:val="3D0620FE"/>
    <w:rsid w:val="3D941121"/>
    <w:rsid w:val="51BA41DE"/>
    <w:rsid w:val="593A5A95"/>
    <w:rsid w:val="5D7E2D63"/>
    <w:rsid w:val="6060466F"/>
    <w:rsid w:val="640A2ECD"/>
    <w:rsid w:val="76B0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alloon Text"/>
    <w:basedOn w:val="1"/>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rFonts w:cs="Times New Roman"/>
      <w:kern w:val="0"/>
      <w:sz w:val="24"/>
    </w:rPr>
  </w:style>
  <w:style w:type="paragraph" w:customStyle="1" w:styleId="9">
    <w:name w:val="Body text|1"/>
    <w:basedOn w:val="1"/>
    <w:qFormat/>
    <w:uiPriority w:val="0"/>
    <w:pPr>
      <w:spacing w:line="398" w:lineRule="auto"/>
      <w:ind w:firstLine="400"/>
    </w:pPr>
    <w:rPr>
      <w:rFonts w:ascii="宋体" w:hAnsi="宋体" w:cs="宋体"/>
      <w:sz w:val="30"/>
      <w:szCs w:val="30"/>
      <w:lang w:val="zh-TW" w:eastAsia="zh-TW" w:bidi="zh-TW"/>
    </w:rPr>
  </w:style>
  <w:style w:type="character" w:customStyle="1" w:styleId="10">
    <w:name w:val="页眉 Char"/>
    <w:basedOn w:val="8"/>
    <w:link w:val="5"/>
    <w:uiPriority w:val="0"/>
    <w:rPr>
      <w:rFonts w:ascii="Calibri" w:hAnsi="Calibri" w:cs="Calibri"/>
      <w:kern w:val="2"/>
      <w:sz w:val="18"/>
      <w:szCs w:val="18"/>
    </w:rPr>
  </w:style>
  <w:style w:type="character" w:customStyle="1" w:styleId="11">
    <w:name w:val="页脚 Char"/>
    <w:basedOn w:val="8"/>
    <w:link w:val="4"/>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501</Words>
  <Characters>2856</Characters>
  <Lines>23</Lines>
  <Paragraphs>6</Paragraphs>
  <TotalTime>97</TotalTime>
  <ScaleCrop>false</ScaleCrop>
  <LinksUpToDate>false</LinksUpToDate>
  <CharactersWithSpaces>3351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2022-08-22T01:36:00Z</dcterms:created>
  <dc:creator>Administrator</dc:creator>
  <cp:lastModifiedBy>-</cp:lastModifiedBy>
  <cp:lastPrinted>2022-08-25T01:35:00Z</cp:lastPrinted>
  <dcterms:modified xsi:type="dcterms:W3CDTF">2023-10-13T03:30:06Z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A483F6F7424E44FA8A105E2413EB91F2</vt:lpwstr>
  </property>
</Properties>
</file>