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color w:val="000000"/>
          <w:kern w:val="2"/>
          <w:sz w:val="44"/>
          <w:szCs w:val="44"/>
        </w:rPr>
        <w:t>2021年度冷水滩区就业服务中心部门决算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冷水滩区就业服务中心概况</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冷水滩区就业服务中心概况</w:t>
      </w:r>
      <w:r>
        <w:rPr>
          <w:rFonts w:hint="default" w:ascii="等线" w:hAnsi="等线" w:eastAsia="等线" w:cs="Times New Roman"/>
          <w:b/>
          <w:bCs/>
          <w:color w:val="000000"/>
          <w:kern w:val="2"/>
          <w:sz w:val="21"/>
          <w:szCs w:val="21"/>
        </w:rPr>
        <w:t xml:space="preserve"> </w:t>
      </w:r>
    </w:p>
    <w:p>
      <w:pPr>
        <w:pStyle w:val="18"/>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（一）参与制定并组织实施全区就业服务发展规划，为指导推进全区公共就业服务体系建设提供相关服务。</w:t>
      </w:r>
      <w:r>
        <w:rPr>
          <w:rFonts w:hint="default" w:ascii="等线" w:hAnsi="等线" w:eastAsia="等线" w:cs="Times New Roman"/>
          <w:color w:val="000000"/>
          <w:kern w:val="2"/>
          <w:sz w:val="32"/>
          <w:szCs w:val="32"/>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承担贯彻落实促进就业各项政策措施的相关事务性工作，为高校毕业生、登记失业人员、农村劳动力及就业困难人员等群体提供政策咨询、岗位信息、就业失业与求职登记、技能培训、职业指导、就业援助等公共就业服务。</w:t>
      </w:r>
      <w:r>
        <w:rPr>
          <w:rFonts w:hint="default" w:ascii="等线" w:hAnsi="等线" w:eastAsia="等线" w:cs="Times New Roman"/>
          <w:color w:val="000000"/>
          <w:kern w:val="2"/>
          <w:sz w:val="32"/>
          <w:szCs w:val="32"/>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（三）承担贯彻落实创业带动就业政策措施的相关事务性工作，为各类群体开展创新创业活动提供创业培训、创业指导和创业担保贷款等创业服务。</w:t>
      </w:r>
      <w:r>
        <w:rPr>
          <w:rFonts w:hint="default" w:ascii="等线" w:hAnsi="等线" w:eastAsia="等线" w:cs="Times New Roman"/>
          <w:color w:val="000000"/>
          <w:kern w:val="2"/>
          <w:sz w:val="32"/>
          <w:szCs w:val="32"/>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（四）承担全区职业技能培训的相关事务性工作，为培训机构和用人单位开展就业前培训、在职培训提供服务工作。</w:t>
      </w:r>
      <w:r>
        <w:rPr>
          <w:rFonts w:hint="default" w:ascii="等线" w:hAnsi="等线" w:eastAsia="等线" w:cs="Times New Roman"/>
          <w:color w:val="000000"/>
          <w:kern w:val="2"/>
          <w:sz w:val="32"/>
          <w:szCs w:val="32"/>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（五）承担公共就业服务信息化建设工作，承办全区就业相关统计分析，组织实施就业信息监测工作。</w:t>
      </w:r>
      <w:r>
        <w:rPr>
          <w:rFonts w:hint="default" w:ascii="等线" w:hAnsi="等线" w:eastAsia="等线" w:cs="Times New Roman"/>
          <w:color w:val="000000"/>
          <w:kern w:val="2"/>
          <w:sz w:val="32"/>
          <w:szCs w:val="32"/>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（六）承办区人社局交办的其他事项。</w:t>
      </w:r>
      <w:r>
        <w:rPr>
          <w:rFonts w:hint="default" w:ascii="等线" w:hAnsi="等线" w:eastAsia="等线" w:cs="Times New Roman"/>
          <w:color w:val="000000"/>
          <w:kern w:val="2"/>
          <w:sz w:val="32"/>
          <w:szCs w:val="32"/>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就业服务中心内设机构包括：本部门共有编制人数26人，实有人数22人，退休人员27人。伤残退伍军人1名（已退休），遗属2人。内设股室5个，分别为：综合部、财务部、创业就业服务部、职业培训部、创业担保贷款中心。</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冷水滩区就业服务中心为一级预算单位，无独立二级单位，因此本次决算公开单位为冷水滩区就业服务中心本级。</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color w:val="000000"/>
          <w:kern w:val="2"/>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18"/>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02"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1002"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收入</w:t>
            </w:r>
          </w:p>
        </w:tc>
        <w:tc>
          <w:tcPr>
            <w:tcW w:w="2500" w:type="pct"/>
            <w:gridSpan w:val="3"/>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四、上级补助收入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五、事业收入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六、经营收入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七、附属单位上缴收入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八、其他收入</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bCs/>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使用非财政拨款结余</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结余分配</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1497"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799"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7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994"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财政拨款收入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上级补助收入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事业收入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附属单位上缴收入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20801</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人力资源和社会保障管理事务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269.32</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269.32</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2080106</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就业管理事务</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269.32</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269.32</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20807</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就业补助</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2080799</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其他就业补助支出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20809</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退役安置</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2080999</w:t>
            </w:r>
          </w:p>
        </w:tc>
        <w:tc>
          <w:tcPr>
            <w:tcW w:w="99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其他退役安置支出</w:t>
            </w:r>
          </w:p>
        </w:tc>
        <w:tc>
          <w:tcPr>
            <w:tcW w:w="67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49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1"/>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注：本表反映部门本年度取得的各项收入情况。本表金额转换为万元时，因四舍五入可能存在尾数误差。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75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1105"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上缴上级支出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286.12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576.09</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286.12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576.09</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20801</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人力资源和社会保障管理事务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269.32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263.23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6.09</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2080106</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就业管理事务</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269.32</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263.23</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6.09</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20807</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就业补助</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2080799</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其他就业补助支出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20809</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退役安置</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2080999</w:t>
            </w:r>
          </w:p>
        </w:tc>
        <w:tc>
          <w:tcPr>
            <w:tcW w:w="110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其他退役安置支出</w:t>
            </w:r>
          </w:p>
        </w:tc>
        <w:tc>
          <w:tcPr>
            <w:tcW w:w="7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55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注：本表反映部门本年度各项支出情况。本表金额转换为万元时，因四舍五入可能存在尾数误差。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3"/>
        <w:gridCol w:w="14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8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6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11"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911"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 入</w:t>
            </w:r>
          </w:p>
        </w:tc>
        <w:tc>
          <w:tcPr>
            <w:tcW w:w="3349" w:type="pct"/>
            <w:gridSpan w:val="6"/>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8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8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bCs/>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48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48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1151"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64</w:t>
            </w:r>
          </w:p>
        </w:tc>
        <w:tc>
          <w:tcPr>
            <w:tcW w:w="6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45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928"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1928"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892" w:type="pct"/>
            <w:gridSpan w:val="3"/>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862.21</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286.12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576.09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社会保障和就业支出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862.21</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286.12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20801</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人力资源和社会保障管理事务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269.32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263.23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2080106</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就业管理事务</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269.32</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263.23</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20807</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就业补助</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2080799</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其他就业补助支出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20809</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退役安置</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2080999</w:t>
            </w:r>
          </w:p>
        </w:tc>
        <w:tc>
          <w:tcPr>
            <w:tcW w:w="1682"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其他退役安置支出</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96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6"/>
        <w:gridCol w:w="1726"/>
        <w:gridCol w:w="725"/>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5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366"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1366"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人员经费</w:t>
            </w:r>
          </w:p>
        </w:tc>
        <w:tc>
          <w:tcPr>
            <w:tcW w:w="3182" w:type="pct"/>
            <w:gridSpan w:val="6"/>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工资福利支出</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216.57</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34.92</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债务利息及费用支出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基本工资</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111.97</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29.16</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国内债务付息</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30102</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津贴补贴</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18.31</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印刷费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国外债务付息</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30103</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奖金</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40.50</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30203</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咨询费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310</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资本性支出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30106</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伙食补助费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30204</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手续费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房屋建筑物购建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30107</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绩效工资</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2.34</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30205</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办公设备购置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30108</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机关事业单位基本养老保险缴费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20.95</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电费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31003</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专用设备购置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30109</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职业年金缴费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邮电费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31005</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基础设施建设</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30110</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职工基本医疗保险缴费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10.54</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取暖费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大型修缮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公务员医疗补助缴费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物业管理费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信息网络及软件购置更新</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30112</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其他社会保障缴费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0.04</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差旅费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2.34</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物资储备</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30113</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土地补偿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30114</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30213</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维修（护）费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31010</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安置补助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30199</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其他工资福利支出</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11.93</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30214</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租赁费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地上附着物和青苗补偿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303</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34.63</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30215</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会议费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拆迁补偿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离休费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培训费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31013</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30302</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退休费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0.72</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其他交通工具购置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30303</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退职（役）费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专用材料费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文物和陈列品购置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30304</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30224</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被装购置费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31022</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无形资产购置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30305</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生活补助</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5.51</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30225</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专用燃料费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31099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其他资本性支出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30306</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救济费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劳务费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0.20</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399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其他支出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30307</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委托业务费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39906</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赠与</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30308</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助学金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工会经费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2.50</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39907</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国家赔偿费用支出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30309</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奖励金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福利费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39908</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对民间非营利组织和群众性自治组织补贴</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30310</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个人农业生产补贴</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30231</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公务用车运行维护费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39999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30311</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代缴社会保险费</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22.88</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30399</w:t>
            </w:r>
          </w:p>
        </w:tc>
        <w:tc>
          <w:tcPr>
            <w:tcW w:w="105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6.24</w:t>
            </w: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30240</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税金及附加费用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5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30299</w:t>
            </w:r>
          </w:p>
        </w:tc>
        <w:tc>
          <w:tcPr>
            <w:tcW w:w="82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人员经费合计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251.20</w:t>
            </w:r>
          </w:p>
        </w:tc>
        <w:tc>
          <w:tcPr>
            <w:tcW w:w="2645" w:type="pct"/>
            <w:gridSpan w:val="5"/>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公用经费合计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9"/>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33"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833"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预算数</w:t>
            </w:r>
          </w:p>
        </w:tc>
        <w:tc>
          <w:tcPr>
            <w:tcW w:w="2500" w:type="pct"/>
            <w:gridSpan w:val="6"/>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nil"/>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3.00</w:t>
            </w: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0.72</w:t>
            </w: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2"/>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4"/>
        <w:gridCol w:w="1517"/>
        <w:gridCol w:w="4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816"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1816"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w:t>
            </w:r>
          </w:p>
        </w:tc>
        <w:tc>
          <w:tcPr>
            <w:tcW w:w="1281" w:type="pct"/>
            <w:gridSpan w:val="3"/>
            <w:tcBorders>
              <w:top w:val="single" w:color="666666" w:sz="6" w:space="0"/>
              <w:left w:val="nil"/>
              <w:bottom w:val="nil"/>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368"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614"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335"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7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7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134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10"/>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注：本表反映部门本年度政府性基金预算财政拨款收入、支出及结转和结余情况。本单位没有政府性基金收入，也没有使用政府性基金安排的支出，故本表无数据。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86" w:type="pct"/>
            <w:gridSpan w:val="2"/>
            <w:tcBorders>
              <w:top w:val="nil"/>
              <w:left w:val="nil"/>
              <w:bottom w:val="nil"/>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部门：永州市冷水滩区就业服务中心</w:t>
            </w:r>
          </w:p>
        </w:tc>
        <w:tc>
          <w:tcPr>
            <w:tcW w:w="1686" w:type="pct"/>
            <w:gridSpan w:val="2"/>
            <w:tcBorders>
              <w:top w:val="nil"/>
              <w:left w:val="nil"/>
              <w:bottom w:val="single" w:color="666666" w:sz="6" w:space="0"/>
              <w:right w:val="nil"/>
            </w:tcBorders>
            <w:shd w:val="clear"/>
            <w:vAlign w:val="center"/>
          </w:tcPr>
          <w:p>
            <w:pPr>
              <w:pStyle w:val="18"/>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530" w:type="pct"/>
            <w:gridSpan w:val="3"/>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84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84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843" w:type="pct"/>
            <w:tcBorders>
              <w:top w:val="single" w:color="666666" w:sz="6" w:space="0"/>
              <w:left w:val="nil"/>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18"/>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000" w:type="pct"/>
            <w:gridSpan w:val="7"/>
            <w:tcBorders>
              <w:top w:val="nil"/>
              <w:left w:val="nil"/>
              <w:bottom w:val="nil"/>
              <w:right w:val="nil"/>
            </w:tcBorders>
            <w:shd w:val="clear"/>
            <w:vAlign w:val="center"/>
          </w:tcPr>
          <w:p>
            <w:pPr>
              <w:pStyle w:val="18"/>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注：本表反映部门本年度国有资本经营预算财政拨款支出情况。本单位没有国有资本经营预算财政拨款收入，也没有使用国有资本经营预算财政拨款安排的支出，故本表无数据。</w:t>
            </w:r>
          </w:p>
        </w:tc>
      </w:tr>
    </w:tbl>
    <w:p>
      <w:pPr>
        <w:rPr>
          <w:rFonts w:hint="default" w:ascii="等线" w:hAnsi="等线" w:eastAsia="等线" w:cs="Times New Roman"/>
          <w:color w:val="000000"/>
          <w:kern w:val="2"/>
          <w:sz w:val="32"/>
          <w:szCs w:val="32"/>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2021年度收、支总计862.21万元。与上一年度相比，收、支总计各增加187.09万元，增长27.71%。主要是因为新增区级配套资金，新增退伍军人公益性岗位人员各项社保缴费。</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2021年度收入合计862.21万元，其中：财政拨款收入862.21万元，占100%；上级补助收入0万元，占0%；事业收入0万元，占0%；经营收入0万元，占0%；附属单位上缴收入0万元，占0%；其他收入0万元，占0%。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2021年度支出合计862.21万元，其中：基本支出286.12万元，占33.18%；项目支出576.09万元，占66.82%；上缴上级支出0万元，占0%；经营支出0万元，占0%；对附属单位补助支出0万元，占0%。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2021年度财政拨款收、支总计862.21万元。与上一年度相比，财政拨款收、支总计各增加187.09万元，增长27.71%。主要是因为新增区级配套资金，新增退伍军人公益性岗位人员各项社保缴费。</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2021年度财政拨款支出862.21万元，占本年支出合计的100%。与上一年度相比，财政拨款支出增加487.09万元，增长129.85%。主要是因为新增区级配套资金，新增退伍军人公益性岗位人员各项社保缴费。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2021年度财政拨款支出862.21万元，主要用于以下方面：社会保障和就业支出862.21万元，占100%。</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2021年度财政拨款支出年初预算数为256.9万元，支出决算数为862.21万元，完成年初预算的335.62%，其中：</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Style w:val="14"/>
          <w:rFonts w:hint="eastAsia" w:ascii="宋体" w:hAnsi="宋体" w:eastAsia="宋体" w:cs="宋体"/>
          <w:b/>
          <w:bCs w:val="0"/>
          <w:color w:val="000000"/>
          <w:sz w:val="32"/>
          <w:szCs w:val="32"/>
        </w:rPr>
        <w:t>1、社会保障和就业支出（类）人力资源和社会保障管理事务（款）就业管理事务（项）</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年初预算为0万元，支出决算为269.32万元，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。决算数大于年初预算数的主要原因是：调增工资，增加社保缴费。</w:t>
      </w:r>
    </w:p>
    <w:p>
      <w:pPr>
        <w:pStyle w:val="15"/>
        <w:spacing w:before="0" w:beforeAutospacing="0" w:after="2" w:afterAutospacing="0"/>
        <w:ind w:left="0" w:firstLine="641"/>
        <w:rPr>
          <w:rFonts w:hint="default" w:ascii="等线" w:hAnsi="等线" w:eastAsia="等线" w:cs="Times New Roman"/>
          <w:kern w:val="2"/>
          <w:sz w:val="27"/>
          <w:szCs w:val="27"/>
        </w:rPr>
      </w:pPr>
      <w:r>
        <w:rPr>
          <w:rStyle w:val="14"/>
          <w:rFonts w:hint="eastAsia" w:ascii="宋体" w:hAnsi="宋体" w:eastAsia="宋体" w:cs="宋体"/>
          <w:b/>
          <w:bCs w:val="0"/>
          <w:color w:val="000000"/>
          <w:sz w:val="32"/>
          <w:szCs w:val="32"/>
        </w:rPr>
        <w:t>2、社会保障和就业支出（类）就业补助（款）其他就业补助支出（项）</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年初预算为0万元，支出决算为570万元，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。决算数大于年初预算数的主要原因是：新增区级配套资金。</w:t>
      </w:r>
    </w:p>
    <w:p>
      <w:pPr>
        <w:pStyle w:val="15"/>
        <w:spacing w:before="0" w:beforeAutospacing="0" w:after="2" w:afterAutospacing="0"/>
        <w:ind w:left="0" w:firstLine="641"/>
        <w:rPr>
          <w:rFonts w:hint="default" w:ascii="等线" w:hAnsi="等线" w:eastAsia="等线" w:cs="Times New Roman"/>
          <w:kern w:val="2"/>
          <w:sz w:val="27"/>
          <w:szCs w:val="27"/>
        </w:rPr>
      </w:pPr>
      <w:r>
        <w:rPr>
          <w:rStyle w:val="14"/>
          <w:rFonts w:hint="eastAsia" w:ascii="宋体" w:hAnsi="宋体" w:eastAsia="宋体" w:cs="宋体"/>
          <w:b/>
          <w:bCs w:val="0"/>
          <w:color w:val="000000"/>
          <w:sz w:val="32"/>
          <w:szCs w:val="32"/>
        </w:rPr>
        <w:t>3、社会保障和就业支出（类）退役安置（款）其他退役安置支出（项）</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年初预算为0万元，支出决算为22.88万元，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。决算数大于年初预算数的主要原因是：单位代缴退伍军人公益性岗位人员各项社保缴费。</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286.12万元，其中：人员经费251.2万元，占基本支出的87.8%，主要包括：基本工资、津贴补贴、奖金、绩效工资、机关事业单位基本养老保险缴费、职工基本医疗保险缴费、其他社会保障缴费、其他工资福利支出、生活补助、代缴社会保险费、其他对个人和家庭的补助。公用经费34.92万元，占基本支出的12.2%，主要包括：办公费、差旅费、公务接待费、劳务费、工会经费。</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2021年度“三公”经费财政拨款支出预算为3万元，支出决算为0.72万元，完成预算的24%，</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其中：</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公务接待费支出预算为3万元，支出决算为0.72万元，完成预算的24%，决算数小于预算数的主要原因是因为疫情，将工作交流方式多改为线上交流 ，与上年相比减少1.35万元，下降65.22%，下降的主要原因是因为疫情，将工作交流方式多改为线上交流。</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公务用车运行维护费支出预算为0万元，支出决算为0万元，决算数与预算数一致，我单位严格按预算执行决算，公务用车运行维护费支出与上年持平。</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2021年度“三公”经费财政拨款支出决算中，公务接待费支出决算0.72万元，占100%，因公出国（境）费支出决算0万元，占0%，公务用车购置费及运行维护费支出决算0万元，占0%。其中：</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2、公务接待费支出决算为0.72万元，全年共接待来访团组10个、来宾50人次，主要是工作交流发生的接待支出。</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冷水滩区就业服务中心2021年度没有政府性基金收入，也没有使用政府性基金安排的支出，并已公开空表。 </w:t>
      </w:r>
    </w:p>
    <w:p>
      <w:pPr>
        <w:pStyle w:val="15"/>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冷水滩区就业服务中心为财政补助事业单位，没有机关运行经费。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2021年度冷水滩区就业服务中心开支会议费0万元，我单位2021年度无会议费支出；开支培训费0万元，我单位2021年度无培训费支出；举办0场节庆、晚会、论坛、赛事活动，开支0万元，无相关活动计划。</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就业服务中心2021年度政府采购支出总额7.9万元，其中：政府采购货物支出7.9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就业服务中心共有车辆0辆（台），其中：机要通信用车0辆、应急保障用车0辆、执法执勤用车0辆、特种专业技术用车0辆、其他用车0辆；单价50万元（含）以上通用设备0台（套），单价100万元（含）以上专用设备0台（套）。</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jc w:val="both"/>
        <w:rPr>
          <w:rFonts w:hint="eastAsia" w:ascii="宋体" w:hAnsi="宋体" w:eastAsia="宋体" w:cs="宋体"/>
          <w:b/>
          <w:bCs/>
          <w:color w:val="000000"/>
          <w:kern w:val="2"/>
          <w:sz w:val="32"/>
          <w:szCs w:val="32"/>
        </w:rPr>
      </w:pPr>
      <w:r>
        <w:rPr>
          <w:rFonts w:hint="eastAsia" w:ascii="宋体" w:hAnsi="宋体" w:eastAsia="宋体" w:cs="宋体"/>
          <w:b/>
          <w:bCs/>
          <w:color w:val="000000"/>
          <w:kern w:val="2"/>
          <w:sz w:val="32"/>
          <w:szCs w:val="32"/>
        </w:rPr>
        <w:t>（1）绩效管理评价工作开展情况</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在一般公共预算财政拨款收入862.21万元以内，完成本单位正常工作和区委区政府安排的重点工作，确保干部职工工资福利发放；完成就业工作各项任务预期目标；严格按照财政资金使用各项相关规定及就业专项资金使用管理办法，厉行节约，合法开支。 </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（2）部门决算中项目绩效自评结果（如有）</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自评得分97分，等级优秀。</w:t>
      </w:r>
      <w:r>
        <w:rPr>
          <w:rFonts w:hint="default" w:ascii="等线" w:hAnsi="等线" w:eastAsia="等线" w:cs="Times New Roman"/>
          <w:color w:val="000000"/>
          <w:kern w:val="2"/>
          <w:sz w:val="27"/>
          <w:szCs w:val="27"/>
        </w:rPr>
        <w:t xml:space="preserve"> </w:t>
      </w:r>
    </w:p>
    <w:p>
      <w:pPr>
        <w:pStyle w:val="15"/>
        <w:spacing w:before="0" w:beforeAutospacing="0" w:after="2" w:afterAutospacing="0"/>
        <w:ind w:left="0" w:firstLine="640"/>
        <w:jc w:val="both"/>
        <w:rPr>
          <w:rFonts w:hint="eastAsia" w:ascii="宋体" w:hAnsi="宋体" w:eastAsia="宋体" w:cs="宋体"/>
          <w:b/>
          <w:bCs/>
          <w:color w:val="000000"/>
          <w:kern w:val="2"/>
          <w:sz w:val="32"/>
          <w:szCs w:val="32"/>
        </w:rPr>
      </w:pPr>
      <w:r>
        <w:rPr>
          <w:rFonts w:hint="eastAsia" w:ascii="宋体" w:hAnsi="宋体" w:eastAsia="宋体" w:cs="宋体"/>
          <w:b/>
          <w:bCs/>
          <w:color w:val="000000"/>
          <w:kern w:val="2"/>
          <w:sz w:val="32"/>
          <w:szCs w:val="32"/>
        </w:rPr>
        <w:t>（3）部门评价项目绩效评价结果</w:t>
      </w:r>
    </w:p>
    <w:p>
      <w:pPr>
        <w:pStyle w:val="15"/>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8"/>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fldChar w:fldCharType="begin"/>
      </w:r>
      <w:r>
        <w:instrText xml:space="preserve"> HYPERLINK "http://10.105.181.49/home/downloadAttachment?attachGUID=9db1c6137120407d9c42f2ccc4dba4b9" </w:instrText>
      </w:r>
      <w:r>
        <w:fldChar w:fldCharType="separate"/>
      </w:r>
      <w:r>
        <w:rPr>
          <w:rStyle w:val="12"/>
          <w:rFonts w:hint="eastAsia" w:ascii="宋体" w:hAnsi="宋体" w:eastAsia="宋体" w:cs="宋体"/>
          <w:color w:val="0000FF"/>
          <w:sz w:val="28"/>
          <w:szCs w:val="28"/>
          <w:u w:val="single"/>
          <w:shd w:val="clear" w:fill="FFFFFF"/>
        </w:rPr>
        <w:t>永州市冷水滩区就业服务中心2021年度部门预算绩效自评报告 .docx</w:t>
      </w:r>
      <w:r>
        <w:fldChar w:fldCharType="end"/>
      </w:r>
      <w:r>
        <w:rPr>
          <w:rFonts w:hint="eastAsia" w:ascii="宋体" w:hAnsi="宋体" w:eastAsia="宋体" w:cs="宋体"/>
          <w:color w:val="000000"/>
          <w:kern w:val="2"/>
          <w:sz w:val="28"/>
          <w:szCs w:val="28"/>
          <w:shd w:val="clear" w:fill="FFFFFF"/>
        </w:rPr>
        <w:br w:type="textWrapping"/>
      </w:r>
      <w:r>
        <w:fldChar w:fldCharType="begin"/>
      </w:r>
      <w:r>
        <w:instrText xml:space="preserve"> HYPERLINK "http://10.105.181.49/home/downloadAttachment?attachGUID=3c124c9781b64350b47063a67199e4bc" </w:instrText>
      </w:r>
      <w:r>
        <w:fldChar w:fldCharType="separate"/>
      </w:r>
      <w:r>
        <w:rPr>
          <w:rStyle w:val="12"/>
          <w:rFonts w:hint="eastAsia" w:ascii="宋体" w:hAnsi="宋体" w:eastAsia="宋体" w:cs="宋体"/>
          <w:color w:val="0000FF"/>
          <w:sz w:val="28"/>
          <w:szCs w:val="28"/>
          <w:u w:val="single"/>
          <w:shd w:val="clear" w:fill="FFFFFF"/>
        </w:rPr>
        <w:t>永州市冷水滩区就业服务中心2021年度专项（项目）资金绩效自评报告.docx</w:t>
      </w:r>
      <w:r>
        <w:fldChar w:fldCharType="end"/>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25664C67"/>
    <w:rsid w:val="29E92F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character" w:customStyle="1" w:styleId="13">
    <w:name w:val="16"/>
    <w:basedOn w:val="11"/>
    <w:uiPriority w:val="0"/>
    <w:rPr>
      <w:rFonts w:hint="default" w:ascii="Times New Roman" w:hAnsi="Times New Roman" w:cs="Times New Roman"/>
      <w:color w:val="0000FF"/>
      <w:u w:val="single"/>
    </w:rPr>
  </w:style>
  <w:style w:type="character" w:customStyle="1" w:styleId="14">
    <w:name w:val="15"/>
    <w:basedOn w:val="11"/>
    <w:uiPriority w:val="0"/>
    <w:rPr>
      <w:rFonts w:hint="default" w:ascii="Times New Roman" w:hAnsi="Times New Roman" w:cs="Times New Roman"/>
      <w:b/>
    </w:rPr>
  </w:style>
  <w:style w:type="paragraph" w:customStyle="1" w:styleId="15">
    <w:name w:val="18"/>
    <w:basedOn w:val="1"/>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character" w:customStyle="1" w:styleId="16">
    <w:name w:val="10"/>
    <w:basedOn w:val="11"/>
    <w:uiPriority w:val="0"/>
    <w:rPr>
      <w:rFonts w:hint="default" w:ascii="Times New Roman" w:hAnsi="Times New Roman" w:cs="Times New Roman"/>
    </w:rPr>
  </w:style>
  <w:style w:type="paragraph" w:customStyle="1" w:styleId="17">
    <w:name w:val="HTML 预设格式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8">
    <w:name w:val="普通(网站) Char"/>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Characters>8992</Characters>
  <Lines>1</Lines>
  <Paragraphs>1</Paragraph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2023-09-22T14:40:36Z</dcterms:created>
  <dc:creator>Administrator</dc:creator>
  <cp:lastModifiedBy>东来</cp:lastModifiedBy>
  <dcterms:modified xsi:type="dcterms:W3CDTF">2023-09-22T14:46:50Z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AFC1499E5FA141D0A31AFEFDEC11F36A_13</vt:lpwstr>
  </property>
</Properties>
</file>