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before="0" w:beforeAutospacing="0" w:after="2" w:afterAutospacing="0"/>
        <w:jc w:val="center"/>
        <w:rPr>
          <w:rFonts w:hint="default" w:ascii="等线" w:hAnsi="等线" w:eastAsia="等线" w:cs="Times New Roman"/>
          <w:kern w:val="2"/>
          <w:sz w:val="21"/>
          <w:szCs w:val="21"/>
        </w:rPr>
      </w:pPr>
      <w:bookmarkStart w:id="0" w:name="_GoBack"/>
      <w:bookmarkEnd w:id="0"/>
      <w:r>
        <w:rPr>
          <w:rFonts w:hint="eastAsia" w:ascii="宋体" w:hAnsi="宋体" w:eastAsia="宋体" w:cs="宋体"/>
          <w:color w:val="000000"/>
          <w:kern w:val="2"/>
          <w:sz w:val="44"/>
          <w:szCs w:val="44"/>
        </w:rPr>
        <w:t>2021年度冷水滩区卫生计生综合监督执法局部门决算</w:t>
      </w:r>
      <w:r>
        <w:rPr>
          <w:rFonts w:hint="default" w:ascii="等线" w:hAnsi="等线" w:eastAsia="等线" w:cs="Times New Roman"/>
          <w:color w:val="000000"/>
          <w:kern w:val="2"/>
          <w:sz w:val="21"/>
          <w:szCs w:val="21"/>
        </w:rPr>
        <w:t xml:space="preserve"> </w:t>
      </w:r>
    </w:p>
    <w:p>
      <w:pPr>
        <w:spacing w:before="0" w:beforeAutospacing="0" w:after="2" w:afterAutospacing="0"/>
        <w:jc w:val="center"/>
        <w:rPr>
          <w:rFonts w:hint="default" w:ascii="等线" w:hAnsi="等线" w:eastAsia="等线" w:cs="Times New Roman"/>
          <w:kern w:val="2"/>
          <w:sz w:val="21"/>
          <w:szCs w:val="21"/>
        </w:rPr>
      </w:pPr>
      <w:r>
        <w:rPr>
          <w:rFonts w:hint="default" w:ascii="等线" w:hAnsi="等线" w:eastAsia="等线" w:cs="等线"/>
          <w:color w:val="000000"/>
          <w:kern w:val="2"/>
          <w:sz w:val="32"/>
          <w:szCs w:val="32"/>
        </w:rPr>
        <w:t xml:space="preserve"> </w:t>
      </w:r>
      <w:r>
        <w:rPr>
          <w:rFonts w:hint="default" w:ascii="等线" w:hAnsi="等线" w:eastAsia="等线" w:cs="Times New Roman"/>
          <w:color w:val="000000"/>
          <w:kern w:val="2"/>
          <w:sz w:val="21"/>
          <w:szCs w:val="21"/>
        </w:rPr>
        <w:t xml:space="preserve"> </w:t>
      </w:r>
    </w:p>
    <w:p>
      <w:pPr>
        <w:spacing w:before="0" w:beforeAutospacing="0" w:after="2" w:afterAutospacing="0"/>
        <w:jc w:val="center"/>
        <w:rPr>
          <w:rFonts w:hint="eastAsia" w:ascii="宋体" w:hAnsi="宋体" w:eastAsia="宋体" w:cs="宋体"/>
          <w:kern w:val="2"/>
          <w:sz w:val="21"/>
          <w:szCs w:val="21"/>
        </w:rPr>
      </w:pPr>
      <w:r>
        <w:rPr>
          <w:rFonts w:hint="eastAsia" w:ascii="宋体" w:hAnsi="宋体" w:eastAsia="宋体" w:cs="宋体"/>
          <w:color w:val="000000"/>
          <w:kern w:val="2"/>
          <w:sz w:val="32"/>
          <w:szCs w:val="32"/>
        </w:rPr>
        <w:t>目 录</w:t>
      </w:r>
      <w:r>
        <w:rPr>
          <w:rFonts w:hint="eastAsia" w:ascii="宋体" w:hAnsi="宋体" w:eastAsia="宋体" w:cs="宋体"/>
          <w:color w:val="000000"/>
          <w:kern w:val="2"/>
          <w:sz w:val="21"/>
          <w:szCs w:val="21"/>
        </w:rPr>
        <w:t xml:space="preserve"> </w:t>
      </w:r>
    </w:p>
    <w:p>
      <w:pPr>
        <w:spacing w:before="0" w:beforeAutospacing="0" w:after="2" w:afterAutospacing="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第一部分 冷水滩区卫生计生综合监督执法局概况</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一、部门职责</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二、机构设置</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第二部分 2021年度部门决算表</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一、收入支出决算总表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二、收入决算表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三、支出决算表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四、财政拨款收入支出决算总表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五、一般公共预算财政拨款支出决算表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六、一般公共预算财政拨款基本支出决算明细表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七、一般公共预算财政拨款“三公”经费支出决算表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八、政府性基金预算财政拨款收入支出决算表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九、国有资本经营预算财政拨款支出决算表</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b/>
          <w:bCs/>
          <w:color w:val="000000"/>
          <w:kern w:val="2"/>
          <w:sz w:val="32"/>
          <w:szCs w:val="32"/>
        </w:rPr>
        <w:t>第三部分 2021年度部门决算情况说明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一、收入支出决算总体情况说明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二、收入决算情况说明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三、支出决算情况说明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四、财政拨款收入支出决算总体情况说明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五、一般公共预算财政拨款支出决算情况说明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六、一般公共预算财政拨款基本支出决算情况说明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七、一般公共预算财政拨款三公经费支出决算情况说明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八、政府性基金预算收入支出决算情况</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九、关于机关运行经费支出说明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十、一般性支出情况</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十一、关于政府采购支出说明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十二、关于国有资产占用情况说明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700"/>
        <w:rPr>
          <w:rFonts w:hint="default" w:ascii="等线" w:hAnsi="等线" w:eastAsia="等线" w:cs="Times New Roman"/>
          <w:kern w:val="2"/>
          <w:sz w:val="21"/>
          <w:szCs w:val="21"/>
        </w:rPr>
      </w:pPr>
      <w:r>
        <w:rPr>
          <w:rFonts w:hint="eastAsia" w:ascii="宋体" w:hAnsi="宋体" w:eastAsia="宋体" w:cs="宋体"/>
          <w:color w:val="000000"/>
          <w:kern w:val="2"/>
          <w:sz w:val="28"/>
          <w:szCs w:val="28"/>
        </w:rPr>
        <w:t>十三、关于2021年度预算绩效情况的说明</w:t>
      </w:r>
      <w:r>
        <w:rPr>
          <w:rFonts w:hint="default" w:ascii="等线" w:hAnsi="等线" w:eastAsia="等线" w:cs="Times New Roman"/>
          <w:color w:val="000000"/>
          <w:kern w:val="2"/>
          <w:sz w:val="21"/>
          <w:szCs w:val="21"/>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第四部分 名词解释</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第五部分 附件</w:t>
      </w:r>
      <w:r>
        <w:rPr>
          <w:rFonts w:hint="default" w:ascii="等线" w:hAnsi="等线" w:eastAsia="等线" w:cs="Times New Roman"/>
          <w:color w:val="000000"/>
          <w:kern w:val="2"/>
          <w:sz w:val="27"/>
          <w:szCs w:val="27"/>
        </w:rPr>
        <w:t xml:space="preserve"> </w:t>
      </w:r>
    </w:p>
    <w:p>
      <w:pP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spacing w:before="0" w:beforeAutospacing="0" w:after="2" w:afterAutospacing="0" w:line="600" w:lineRule="atLeast"/>
        <w:ind w:left="0" w:right="0"/>
        <w:jc w:val="center"/>
        <w:rPr>
          <w:rFonts w:hint="default" w:ascii="等线" w:hAnsi="等线" w:eastAsia="等线" w:cs="Times New Roman"/>
          <w:kern w:val="2"/>
          <w:sz w:val="21"/>
          <w:szCs w:val="21"/>
        </w:rPr>
      </w:pPr>
      <w:r>
        <w:rPr>
          <w:rFonts w:hint="eastAsia" w:ascii="宋体" w:hAnsi="宋体" w:eastAsia="宋体" w:cs="宋体"/>
          <w:b/>
          <w:bCs/>
          <w:color w:val="000000"/>
          <w:kern w:val="2"/>
          <w:sz w:val="36"/>
          <w:szCs w:val="36"/>
        </w:rPr>
        <w:t>第一部分 冷水滩区卫生计生综合监督执法局概况</w:t>
      </w:r>
      <w:r>
        <w:rPr>
          <w:rFonts w:hint="default" w:ascii="等线" w:hAnsi="等线" w:eastAsia="等线" w:cs="Times New Roman"/>
          <w:b/>
          <w:bCs/>
          <w:color w:val="000000"/>
          <w:kern w:val="2"/>
          <w:sz w:val="21"/>
          <w:szCs w:val="21"/>
        </w:rPr>
        <w:t xml:space="preserve"> </w:t>
      </w:r>
    </w:p>
    <w:p>
      <w:pPr>
        <w:pStyle w:val="16"/>
        <w:keepNext w:val="0"/>
        <w:keepLines w:val="0"/>
        <w:widowControl/>
        <w:suppressLineNumbers w:val="0"/>
        <w:spacing w:before="0" w:beforeAutospacing="0" w:after="2" w:afterAutospacing="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pStyle w:val="16"/>
        <w:keepNext w:val="0"/>
        <w:keepLines w:val="0"/>
        <w:widowControl/>
        <w:suppressLineNumbers w:val="0"/>
        <w:spacing w:before="0" w:beforeAutospacing="0" w:after="2" w:afterAutospacing="0"/>
        <w:ind w:left="0" w:right="0" w:firstLine="0"/>
        <w:rPr>
          <w:rFonts w:hint="eastAsia" w:ascii="宋体" w:hAnsi="宋体" w:eastAsia="宋体" w:cs="宋体"/>
          <w:kern w:val="0"/>
          <w:sz w:val="24"/>
          <w:szCs w:val="24"/>
        </w:rPr>
      </w:pPr>
      <w:r>
        <w:rPr>
          <w:rFonts w:hint="eastAsia" w:ascii="宋体" w:hAnsi="宋体" w:eastAsia="宋体" w:cs="宋体"/>
          <w:color w:val="000000"/>
          <w:kern w:val="0"/>
          <w:sz w:val="32"/>
          <w:szCs w:val="32"/>
        </w:rPr>
        <w:t xml:space="preserve"> </w:t>
      </w:r>
      <w:r>
        <w:rPr>
          <w:rFonts w:hint="eastAsia" w:ascii="宋体" w:hAnsi="宋体" w:eastAsia="宋体" w:cs="宋体"/>
          <w:color w:val="000000"/>
          <w:kern w:val="0"/>
          <w:sz w:val="24"/>
          <w:szCs w:val="24"/>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一、部门职责</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（一）负责组织实施行政区域内卫生计生专项整治和日常监督检查工作。</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（二）对公共场所卫生、生活饮用水卫生、学校卫生及消毒产品和涉及饮用水安全产品进行监督检查。</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（三）对医疗机构、采供血机构及其从业人员的执业活动进行监督检查，查处违法行为。</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（四）打击非法行医和非法采供血。</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（五）整顿和规范医疗服务秩序。</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（六）对医疗卫生机构的放射诊疗、职业健康检查和职业病诊断工作进行监督检查，查处违法行为。</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（七）对医疗机构、采供血机构、疾病预防控制机构的传染病疫情报告、疫情控制措施、消毒隔离制度执行情况、医疗废物处置情况和菌（毒）种管理情况等进行监督检查，查处违法行为。</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（八）对母婴保健机构、计划生育技术服务机构服务内容和从业人员的行为规范进行监督。</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（九）依法打击“非医学需要的胎儿性别鉴定和非医学需要选择性别的人工终止妊娠”（以下简称“两非”）行为。</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（十）查处计划生育违法违纪案件，对重大违法违纪案件进行督查督办。</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（十一）对乡镇卫生计生综合监督执法进行指导和督查，对监督协管员进行培训、业务指导。</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（十二）负责行政区域内卫生计生监督信息的收集、核实和上报。</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（十三）受理卫生计生违法行为的投诉、举报。</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（十四）开展卫生计生法律法规宣传教育和执法检查。</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（十五）完成区委、区政府及区卫生和计划生育委员会交办的其他事项。</w:t>
      </w:r>
      <w:r>
        <w:rPr>
          <w:rFonts w:hint="default" w:ascii="等线" w:hAnsi="等线" w:eastAsia="等线" w:cs="Times New Roman"/>
          <w:color w:val="000000"/>
          <w:kern w:val="2"/>
          <w:sz w:val="32"/>
          <w:szCs w:val="32"/>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二、机构设置及决算单位构成</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（一）内设机构设置</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冷水滩区卫生计生综合监督执法局内设机构包括：我局为全额拨款的副科级参照公务员管理的事业单位。内设六科一室，包括办公室、场所卫生监督科、医疗服务及传染病防治监督科、计划生育监督科、卫生监督稽查科、受理审核发证科和计财科。人员编制39人，实有在职人员32人，退休人员12人。</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（二）决算单位构成</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冷水滩区卫生计生综合监督执法局为一级预算单位，无独立二级单位，因此本次决算公开单位为冷水滩区卫生计生综合监督执法局本级。</w:t>
      </w:r>
      <w:r>
        <w:rPr>
          <w:rFonts w:hint="default" w:ascii="等线" w:hAnsi="等线" w:eastAsia="等线" w:cs="Times New Roman"/>
          <w:color w:val="000000"/>
          <w:kern w:val="2"/>
          <w:sz w:val="27"/>
          <w:szCs w:val="27"/>
        </w:rPr>
        <w:t xml:space="preserve"> </w:t>
      </w:r>
    </w:p>
    <w:p>
      <w:pPr>
        <w:rPr>
          <w:rFonts w:hint="default" w:ascii="等线" w:hAnsi="等线" w:eastAsia="等线" w:cs="Times New Roman"/>
          <w:color w:val="000000"/>
          <w:kern w:val="2"/>
          <w:sz w:val="21"/>
          <w:szCs w:val="21"/>
        </w:rPr>
        <w:sectPr>
          <w:pgSz w:w="11906" w:h="16838" w:orient="landscape"/>
          <w:pgMar w:top="1440" w:right="1080" w:bottom="1440" w:left="1080" w:header="851" w:footer="992" w:gutter="0"/>
          <w:cols w:space="720" w:num="1"/>
          <w:docGrid w:type="lines" w:linePitch="160" w:charSpace="0"/>
        </w:sectPr>
      </w:pPr>
    </w:p>
    <w:p>
      <w:pPr>
        <w:spacing w:before="0" w:beforeAutospacing="0" w:after="2" w:afterAutospacing="0"/>
        <w:ind w:left="0" w:firstLine="721"/>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spacing w:before="0" w:beforeAutospacing="0" w:after="2" w:afterAutospacing="0"/>
        <w:ind w:left="0" w:firstLine="721"/>
        <w:jc w:val="center"/>
        <w:rPr>
          <w:rFonts w:hint="default" w:ascii="等线" w:hAnsi="等线" w:eastAsia="等线" w:cs="Times New Roman"/>
          <w:kern w:val="2"/>
          <w:sz w:val="21"/>
          <w:szCs w:val="21"/>
        </w:rPr>
      </w:pPr>
      <w:r>
        <w:rPr>
          <w:rFonts w:hint="eastAsia" w:ascii="宋体" w:hAnsi="宋体" w:eastAsia="宋体" w:cs="宋体"/>
          <w:b/>
          <w:bCs/>
          <w:color w:val="000000"/>
          <w:kern w:val="2"/>
          <w:sz w:val="36"/>
          <w:szCs w:val="36"/>
        </w:rPr>
        <w:t>第二部分 2021年度部门决算表</w:t>
      </w:r>
      <w:r>
        <w:rPr>
          <w:rFonts w:hint="default" w:ascii="等线" w:hAnsi="等线" w:eastAsia="等线" w:cs="Times New Roman"/>
          <w:color w:val="000000"/>
          <w:kern w:val="2"/>
          <w:sz w:val="21"/>
          <w:szCs w:val="21"/>
        </w:rPr>
        <w:t xml:space="preserve"> </w:t>
      </w:r>
    </w:p>
    <w:p>
      <w:pPr>
        <w:pStyle w:val="16"/>
        <w:keepNext w:val="0"/>
        <w:keepLines w:val="0"/>
        <w:widowControl/>
        <w:suppressLineNumbers w:val="0"/>
        <w:spacing w:before="0" w:beforeAutospacing="0" w:after="2" w:afterAutospacing="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4802"/>
        <w:gridCol w:w="648"/>
        <w:gridCol w:w="2569"/>
        <w:gridCol w:w="4802"/>
        <w:gridCol w:w="648"/>
        <w:gridCol w:w="256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6"/>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收入支出决算总表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202"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799"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497"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002"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公开01表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997" w:type="pct"/>
            <w:gridSpan w:val="4"/>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1002" w:type="pct"/>
            <w:gridSpan w:val="2"/>
            <w:tcBorders>
              <w:top w:val="nil"/>
              <w:left w:val="nil"/>
              <w:bottom w:val="single" w:color="666666" w:sz="6" w:space="0"/>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500"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收入 </w:t>
            </w:r>
          </w:p>
        </w:tc>
        <w:tc>
          <w:tcPr>
            <w:tcW w:w="2500" w:type="pct"/>
            <w:gridSpan w:val="3"/>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支出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行次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金额 </w:t>
            </w: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行次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金额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一、一般公共预算财政拨款收入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365.75 </w:t>
            </w: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一、一般公共服务支出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32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二、政府性基金预算财政拨款收入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二、外交支出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33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三、国有资本经营预算财政拨款收入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三、国防支出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34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四、上级补助收入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四、公共安全支出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35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五、事业收入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五、教育支出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36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六、经营收入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六、科学技术支出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37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七、附属单位上缴收入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7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七、文化旅游体育与传媒支出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38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八、其他收入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8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14.00 </w:t>
            </w: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八、社会保障和就业支出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39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9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九、卫生健康支出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40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314.75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10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十、节能环保支出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41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11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十一、城乡社区支出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42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12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十二、农林水支出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13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十三、交通运输支出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44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十四、资源勘探工业信息等支出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45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15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十五、商业服务业等支出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46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16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十六、金融支出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47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17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十七、援助其他地区支出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48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18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十八、自然资源海洋气象等支出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49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19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十九、住房保障支出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50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20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二十、粮油物资储备支出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51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二十一、国有资本经营预算支出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52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22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二十二、灾害防治及应急管理支出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53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23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二十三、其他支出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54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24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二十四、债务还本支出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55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25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二十五、债务付息支出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56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26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二十六、抗疫特别国债安排的支出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57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本年收入合计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27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379.75 </w:t>
            </w: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本年支出合计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58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379.75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使用非财政拨款结余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28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结余分配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59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年初结转和结余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29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年末结转和结余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60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61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97"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总计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379.75 </w:t>
            </w:r>
          </w:p>
        </w:tc>
        <w:tc>
          <w:tcPr>
            <w:tcW w:w="1497"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总计 </w:t>
            </w:r>
          </w:p>
        </w:tc>
        <w:tc>
          <w:tcPr>
            <w:tcW w:w="20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62 </w:t>
            </w:r>
          </w:p>
        </w:tc>
        <w:tc>
          <w:tcPr>
            <w:tcW w:w="799"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379.75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6"/>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注：本表反映部门本年度的总收支和年末结转结余情况。本表金额转换为万元时，因四舍五入可能存在尾数误差。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358"/>
        <w:gridCol w:w="359"/>
        <w:gridCol w:w="369"/>
        <w:gridCol w:w="3192"/>
        <w:gridCol w:w="2175"/>
        <w:gridCol w:w="1591"/>
        <w:gridCol w:w="1591"/>
        <w:gridCol w:w="1591"/>
        <w:gridCol w:w="1617"/>
        <w:gridCol w:w="1591"/>
        <w:gridCol w:w="160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5000" w:type="pct"/>
            <w:gridSpan w:val="11"/>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收入决算表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12"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12"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12"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99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678"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9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9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9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9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994"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公开02表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004" w:type="pct"/>
            <w:gridSpan w:val="9"/>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994"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334"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本年收入合计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财政拨款收入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上级补助收入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事业收入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经营收入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附属单位上缴收入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其他收入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39" w:type="pct"/>
            <w:gridSpan w:val="3"/>
            <w:vMerge w:val="restart"/>
            <w:tcBorders>
              <w:top w:val="nil"/>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功能分类科目编码 </w:t>
            </w: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科目名称 </w:t>
            </w: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39"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1334"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1334"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379.75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14.00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卫生健康支出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314.75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300.75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21001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卫生健康管理事务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2100101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行政运行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公共卫生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310.38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296.38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2100402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卫生监督机构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308.98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294.98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2100408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基本公共卫生服务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城乡社区支出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21205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城乡社区环境卫生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2120501 </w:t>
            </w: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城乡社区环境卫生 </w:t>
            </w: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39"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99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6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9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5000" w:type="pct"/>
            <w:gridSpan w:val="11"/>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注：本表反映部门本年度取得的各项收入情况。本表金额转换为万元时，因四舍五入可能存在尾数误差。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400"/>
        <w:gridCol w:w="401"/>
        <w:gridCol w:w="401"/>
        <w:gridCol w:w="3551"/>
        <w:gridCol w:w="2415"/>
        <w:gridCol w:w="1771"/>
        <w:gridCol w:w="1771"/>
        <w:gridCol w:w="1777"/>
        <w:gridCol w:w="1771"/>
        <w:gridCol w:w="17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10"/>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支出决算表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2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2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2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10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753"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552"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552"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552"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105"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公开03表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893" w:type="pct"/>
            <w:gridSpan w:val="8"/>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1105"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82"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本年支出合计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基本支出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项目支出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上缴上级支出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经营支出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对附属单位补助支出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vMerge w:val="restart"/>
            <w:tcBorders>
              <w:top w:val="nil"/>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功能分类科目编码 </w:t>
            </w: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科目名称 </w:t>
            </w: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75"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82"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82"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379.75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379.75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卫生健康支出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314.75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314.75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21001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卫生健康管理事务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2100101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行政运行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公共卫生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310.38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310.38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2100402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卫生监督机构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308.98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308.98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2100408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基本公共卫生服务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城乡社区支出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21205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城乡社区环境卫生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2120501 </w:t>
            </w: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城乡社区环境卫生 </w:t>
            </w: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75"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10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7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55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5000" w:type="pct"/>
            <w:gridSpan w:val="10"/>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注：本表反映部门本年度各项支出情况。本表金额转换为万元时，因四舍五入可能存在尾数误差。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3204"/>
        <w:gridCol w:w="529"/>
        <w:gridCol w:w="1559"/>
        <w:gridCol w:w="3692"/>
        <w:gridCol w:w="529"/>
        <w:gridCol w:w="2130"/>
        <w:gridCol w:w="1463"/>
        <w:gridCol w:w="1459"/>
        <w:gridCol w:w="147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5000" w:type="pct"/>
            <w:gridSpan w:val="9"/>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财政拨款收入支出决算总表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999"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6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8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151"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6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66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5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911"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公开04表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086" w:type="pct"/>
            <w:gridSpan w:val="7"/>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911" w:type="pct"/>
            <w:gridSpan w:val="2"/>
            <w:tcBorders>
              <w:top w:val="nil"/>
              <w:left w:val="nil"/>
              <w:bottom w:val="single" w:color="666666" w:sz="6" w:space="0"/>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650"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收 入 </w:t>
            </w:r>
          </w:p>
        </w:tc>
        <w:tc>
          <w:tcPr>
            <w:tcW w:w="3349" w:type="pct"/>
            <w:gridSpan w:val="6"/>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支 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0" w:type="pct"/>
            <w:vMerge w:val="restart"/>
            <w:tcBorders>
              <w:top w:val="nil"/>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行次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金额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行次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一般公共预算财政拨款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政府性基金预算财政拨款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国有资本经营预算财政拨款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0" w:type="pct"/>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一、一般公共预算财政拨款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365.75 </w:t>
            </w: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一、一般公共服务支出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33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二、政府性基金预算财政拨款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二、外交支出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34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三、国有资本经营财政拨款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三、国防支出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35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四、公共安全支出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36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五、教育支出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37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六、科学技术支出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38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7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七、文化旅游体育与传媒支出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39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8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八、社会保障和就业支出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40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9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九、卫生健康支出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41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300.75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300.75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10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十、节能环保支出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42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11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十一、城乡社区支出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12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十二、农林水支出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44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13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十三、交通运输支出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45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十四、资源勘探工业信息等支出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46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15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十五、商业服务业等支出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47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16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十六、金融支出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48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17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十七、援助其他地区支出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49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18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十八、自然资源海洋气象等支出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50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19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十九、住房保障支出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51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20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二十、粮油物资储备支出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52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二十一、国有资本经营预算支出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53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22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二十二、灾害防治及应急管理支出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54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23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二十三、其他支出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55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24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二十四、债务还本支出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56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25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二十五、债务付息支出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57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26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二十六、抗疫特别国债安排的支出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58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本年收入合计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27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本年支出合计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59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年初财政拨款结转和结余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28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年末财政拨款结转和结余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60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一般公共预算财政拨款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29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61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政府性基金预算财政拨款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62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国有资本经营预算财政拨款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63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999"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总计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32 </w:t>
            </w:r>
          </w:p>
        </w:tc>
        <w:tc>
          <w:tcPr>
            <w:tcW w:w="48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115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总计 </w:t>
            </w:r>
          </w:p>
        </w:tc>
        <w:tc>
          <w:tcPr>
            <w:tcW w:w="16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64 </w:t>
            </w:r>
          </w:p>
        </w:tc>
        <w:tc>
          <w:tcPr>
            <w:tcW w:w="6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5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5000" w:type="pct"/>
            <w:gridSpan w:val="9"/>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注：本表反映部门本年度一般公共预算财政拨款、政府性基金预算财政拨款和国有资本经营预算财政拨款的总收支和年末结转结余情况。本表金额转换为万元时，因四舍五入可能存在尾数误差。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452"/>
        <w:gridCol w:w="452"/>
        <w:gridCol w:w="455"/>
        <w:gridCol w:w="5398"/>
        <w:gridCol w:w="3092"/>
        <w:gridCol w:w="3093"/>
        <w:gridCol w:w="30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7"/>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一般公共预算财政拨款支出决算表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41"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41"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41"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682"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96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928"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公开05表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071" w:type="pct"/>
            <w:gridSpan w:val="5"/>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1928" w:type="pct"/>
            <w:gridSpan w:val="2"/>
            <w:tcBorders>
              <w:top w:val="nil"/>
              <w:left w:val="nil"/>
              <w:bottom w:val="single" w:color="666666" w:sz="6" w:space="0"/>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107"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2892" w:type="pct"/>
            <w:gridSpan w:val="3"/>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本年支出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vMerge w:val="restart"/>
            <w:tcBorders>
              <w:top w:val="nil"/>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功能分类科目编码 </w:t>
            </w: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科目名称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小计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基本支出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项目支出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24"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107"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107"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365.75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卫生健康支出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300.75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300.75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21001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卫生健康管理事务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2100101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行政运行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4.37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公共卫生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296.38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296.38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2100402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卫生监督机构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294.98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294.98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2100408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基本公共卫生服务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1.40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城乡社区支出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21205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城乡社区环境卫生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2120501 </w:t>
            </w: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城乡社区环境卫生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65.00 </w:t>
            </w: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24"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682"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96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7"/>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注：本表反映部门本年度一般公共预算财政拨款支出情况。本表金额转换为万元时，因四舍五入可能存在尾数误差。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718"/>
        <w:gridCol w:w="3380"/>
        <w:gridCol w:w="1726"/>
        <w:gridCol w:w="719"/>
        <w:gridCol w:w="2656"/>
        <w:gridCol w:w="1726"/>
        <w:gridCol w:w="725"/>
        <w:gridCol w:w="2659"/>
        <w:gridCol w:w="17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9"/>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一般公共预算财政拨款基本支出决算明细表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053"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538"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22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828"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538"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22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366"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18"/>
                <w:szCs w:val="18"/>
              </w:rPr>
              <w:t xml:space="preserve">公开06表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632" w:type="pct"/>
            <w:gridSpan w:val="7"/>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1366" w:type="pct"/>
            <w:gridSpan w:val="2"/>
            <w:tcBorders>
              <w:top w:val="nil"/>
              <w:left w:val="nil"/>
              <w:bottom w:val="single" w:color="666666" w:sz="6" w:space="0"/>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18"/>
                <w:szCs w:val="18"/>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816"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人员经费 </w:t>
            </w:r>
          </w:p>
        </w:tc>
        <w:tc>
          <w:tcPr>
            <w:tcW w:w="3182" w:type="pct"/>
            <w:gridSpan w:val="6"/>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公用经费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0" w:type="pct"/>
            <w:vMerge w:val="restart"/>
            <w:tcBorders>
              <w:top w:val="nil"/>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科目编码 </w:t>
            </w: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科目名称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决算数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科目编码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科目名称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决算数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科目编码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科目名称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决算数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0" w:type="pct"/>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301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工资福利支出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265.36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302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商品和服务支出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91.65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307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债务利息及费用支出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30101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基本工资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97.01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30201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办公费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5.81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30701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国内债务付息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30102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津贴补贴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50.82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30202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印刷费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5.75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30702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国外债务付息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30103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奖金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30.86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30203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咨询费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310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资本性支出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30106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伙食补助费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6.61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30204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手续费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31001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房屋建筑物购建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30107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绩效工资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14.35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30205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水费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0.60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31002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办公设备购置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30108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机关事业单位基本养老保险缴费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30.07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30206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电费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2.24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31003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专用设备购置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30109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职业年金缴费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30207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邮电费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0.63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31005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基础设施建设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30110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职工基本医疗保险缴费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16.74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30208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取暖费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31006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大型修缮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30111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公务员医疗补助缴费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30209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物业管理费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31007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信息网络及软件购置更新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30112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其他社会保障缴费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0.75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30211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差旅费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4.54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31008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物资储备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30113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住房公积金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30212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因公出国（境）费用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31009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土地补偿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30114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医疗费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30213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维修（护）费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31010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安置补助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30199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其他工资福利支出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18.15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30214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租赁费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6.63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31011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地上附着物和青苗补偿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303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对个人和家庭的补助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8.74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30215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会议费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0.26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31012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拆迁补偿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30301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离休费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30216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培训费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1.76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31013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公务用车购置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30302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退休费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7.50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30217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公务接待费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1.05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31019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其他交通工具购置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30303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退职（役）费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30218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专用材料费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2.58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31021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文物和陈列品购置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30304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抚恤金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30224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被装购置费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31022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无形资产购置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30305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生活补助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30225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专用燃料费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31099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其他资本性支出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30306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救济费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30226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劳务费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1.44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399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bCs/>
                <w:kern w:val="0"/>
                <w:sz w:val="22"/>
                <w:szCs w:val="22"/>
              </w:rPr>
              <w:t xml:space="preserve">其他支出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30307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医疗费补助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30227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委托业务费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56.00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39906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赠与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30308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助学金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30228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工会经费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39907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国家赔偿费用支出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30309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奖励金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1.24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30229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福利费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39908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对民间非营利组织和群众性自治组织补贴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30310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个人农业生产补贴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30231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公务用车运行维护费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39999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30311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代缴社会保险费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30239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其他交通费用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30399 </w:t>
            </w: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其他对个人和家庭的补助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30240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税金及附加费用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24"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05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30299 </w:t>
            </w: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其他商品和服务支出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2.36 </w:t>
            </w:r>
          </w:p>
        </w:tc>
        <w:tc>
          <w:tcPr>
            <w:tcW w:w="22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2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278" w:type="pct"/>
            <w:gridSpan w:val="2"/>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人员经费合计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274.10 </w:t>
            </w:r>
          </w:p>
        </w:tc>
        <w:tc>
          <w:tcPr>
            <w:tcW w:w="2645" w:type="pct"/>
            <w:gridSpan w:val="5"/>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bCs/>
                <w:kern w:val="0"/>
                <w:sz w:val="22"/>
                <w:szCs w:val="22"/>
              </w:rPr>
              <w:t xml:space="preserve">公用经费合计 </w:t>
            </w:r>
          </w:p>
        </w:tc>
        <w:tc>
          <w:tcPr>
            <w:tcW w:w="53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bCs/>
                <w:kern w:val="0"/>
                <w:sz w:val="22"/>
                <w:szCs w:val="22"/>
              </w:rPr>
              <w:t xml:space="preserve">91.65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9"/>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注：本表反映部门本年度一般公共预算财政拨款基本支出明细情况。本表金额转换为万元时，因四舍五入可能存在尾数误差。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1334"/>
        <w:gridCol w:w="1334"/>
        <w:gridCol w:w="1334"/>
        <w:gridCol w:w="1334"/>
        <w:gridCol w:w="1341"/>
        <w:gridCol w:w="1347"/>
        <w:gridCol w:w="1334"/>
        <w:gridCol w:w="1334"/>
        <w:gridCol w:w="1334"/>
        <w:gridCol w:w="1342"/>
        <w:gridCol w:w="1335"/>
        <w:gridCol w:w="13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12"/>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一般公共预算财政拨款“三公”经费支出决算表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16"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833"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公开07表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166" w:type="pct"/>
            <w:gridSpan w:val="10"/>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833" w:type="pct"/>
            <w:gridSpan w:val="2"/>
            <w:tcBorders>
              <w:top w:val="nil"/>
              <w:left w:val="nil"/>
              <w:bottom w:val="single" w:color="666666" w:sz="6" w:space="0"/>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500" w:type="pct"/>
            <w:gridSpan w:val="6"/>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预算数 </w:t>
            </w:r>
          </w:p>
        </w:tc>
        <w:tc>
          <w:tcPr>
            <w:tcW w:w="2500" w:type="pct"/>
            <w:gridSpan w:val="6"/>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决算数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0" w:type="pct"/>
            <w:vMerge w:val="restart"/>
            <w:tcBorders>
              <w:top w:val="nil"/>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因公出国（境）费 </w:t>
            </w:r>
          </w:p>
        </w:tc>
        <w:tc>
          <w:tcPr>
            <w:tcW w:w="1250" w:type="pct"/>
            <w:gridSpan w:val="3"/>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公务用车购置及运行费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公务接待费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因公出国（境）费 </w:t>
            </w:r>
          </w:p>
        </w:tc>
        <w:tc>
          <w:tcPr>
            <w:tcW w:w="1250" w:type="pct"/>
            <w:gridSpan w:val="3"/>
            <w:tcBorders>
              <w:top w:val="single" w:color="666666" w:sz="6" w:space="0"/>
              <w:left w:val="nil"/>
              <w:bottom w:val="nil"/>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公务用车购置及运行费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公务接待费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0" w:type="pct"/>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小计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公务用车购置费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公务用车运行费 </w:t>
            </w: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小计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公务用车购置费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公务用车运行费 </w:t>
            </w: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16"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7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8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9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10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11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16" w:type="pct"/>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2.50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2.50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1.05 </w:t>
            </w: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16"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1.05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12"/>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三公”经费支出预决算情况。其中，预算数为“三公”经费全年预算数，反映按规定程序调整后的预算数；决算数是包括当年一般公共预算财政拨款和以前年度结转资金安排的实际支出。本表金额转换为万元时，因四舍五入可能存在尾数误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333"/>
        <w:gridCol w:w="334"/>
        <w:gridCol w:w="334"/>
        <w:gridCol w:w="3458"/>
        <w:gridCol w:w="1180"/>
        <w:gridCol w:w="1969"/>
        <w:gridCol w:w="1075"/>
        <w:gridCol w:w="1524"/>
        <w:gridCol w:w="1517"/>
        <w:gridCol w:w="431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5000" w:type="pct"/>
            <w:gridSpan w:val="10"/>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政府性基金预算财政拨款收入支出决算表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0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0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0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078"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368"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614"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33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473"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816"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公开08表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182" w:type="pct"/>
            <w:gridSpan w:val="8"/>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1816"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390"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年初结转和结余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本年收入 </w:t>
            </w:r>
          </w:p>
        </w:tc>
        <w:tc>
          <w:tcPr>
            <w:tcW w:w="1281" w:type="pct"/>
            <w:gridSpan w:val="3"/>
            <w:tcBorders>
              <w:top w:val="single" w:color="666666" w:sz="6" w:space="0"/>
              <w:left w:val="nil"/>
              <w:bottom w:val="nil"/>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本年支出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年末结转和结余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vMerge w:val="restart"/>
            <w:tcBorders>
              <w:top w:val="nil"/>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功能分类科目编码 </w:t>
            </w: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科目名称 </w:t>
            </w: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小计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基本支出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项目支出 </w:t>
            </w: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1390"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36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61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33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4 </w:t>
            </w: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5 </w:t>
            </w:r>
          </w:p>
        </w:tc>
        <w:tc>
          <w:tcPr>
            <w:tcW w:w="13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1390"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36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61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33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3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0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36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61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33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3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0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36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61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33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3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0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36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61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33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3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0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36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61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33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3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0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36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61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33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3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312"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07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368"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614"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335"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47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13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5000" w:type="pct"/>
            <w:gridSpan w:val="10"/>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注：本表反映部门本年度政府性基金预算财政拨款收入、支出及结转和结余情况。本单位没有政府性基金收入，也没有使用政府性基金安排的支出，故本表无数据。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spacing w:before="0" w:beforeAutospacing="0" w:after="2" w:afterAutospacing="0"/>
        <w:ind w:left="0" w:right="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tbl>
      <w:tblPr>
        <w:tblStyle w:val="10"/>
        <w:tblW w:w="5000"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29"/>
        <w:gridCol w:w="529"/>
        <w:gridCol w:w="532"/>
        <w:gridCol w:w="6329"/>
        <w:gridCol w:w="2707"/>
        <w:gridCol w:w="2704"/>
        <w:gridCol w:w="27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7"/>
            <w:tcBorders>
              <w:top w:val="nil"/>
              <w:left w:val="nil"/>
              <w:bottom w:val="nil"/>
              <w:right w:val="nil"/>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40"/>
                <w:szCs w:val="40"/>
              </w:rPr>
              <w:t xml:space="preserve">国有资本经营预算财政拨款支出决算表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16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6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65"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971"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843" w:type="pct"/>
            <w:tcBorders>
              <w:top w:val="nil"/>
              <w:left w:val="nil"/>
              <w:bottom w:val="nil"/>
              <w:right w:val="nil"/>
            </w:tcBorders>
            <w:noWrap w:val="0"/>
            <w:vAlign w:val="center"/>
          </w:tcPr>
          <w:p>
            <w:pPr>
              <w:pStyle w:val="16"/>
              <w:keepNext w:val="0"/>
              <w:keepLines w:val="0"/>
              <w:widowControl/>
              <w:suppressLineNumbers w:val="0"/>
              <w:rPr>
                <w:rFonts w:hint="eastAsia" w:ascii="宋体" w:hAnsi="宋体" w:eastAsia="宋体" w:cs="宋体"/>
                <w:kern w:val="0"/>
                <w:sz w:val="24"/>
                <w:szCs w:val="24"/>
              </w:rPr>
            </w:pPr>
          </w:p>
        </w:tc>
        <w:tc>
          <w:tcPr>
            <w:tcW w:w="1686" w:type="pct"/>
            <w:gridSpan w:val="2"/>
            <w:tcBorders>
              <w:top w:val="nil"/>
              <w:left w:val="nil"/>
              <w:bottom w:val="nil"/>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公开09表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3313" w:type="pct"/>
            <w:gridSpan w:val="5"/>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部门：永州市冷水滩区卫生计生综合监督执法局 </w:t>
            </w:r>
          </w:p>
        </w:tc>
        <w:tc>
          <w:tcPr>
            <w:tcW w:w="1686" w:type="pct"/>
            <w:gridSpan w:val="2"/>
            <w:tcBorders>
              <w:top w:val="nil"/>
              <w:left w:val="nil"/>
              <w:bottom w:val="single" w:color="666666" w:sz="6" w:space="0"/>
              <w:right w:val="nil"/>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r>
              <w:rPr>
                <w:rFonts w:hint="eastAsia" w:ascii="宋体" w:hAnsi="宋体" w:eastAsia="宋体" w:cs="宋体"/>
                <w:b w:val="0"/>
                <w:bCs w:val="0"/>
                <w:kern w:val="0"/>
                <w:sz w:val="20"/>
                <w:szCs w:val="20"/>
              </w:rPr>
              <w:t xml:space="preserve">金额单位：万元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469"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 </w:t>
            </w:r>
          </w:p>
        </w:tc>
        <w:tc>
          <w:tcPr>
            <w:tcW w:w="2530" w:type="pct"/>
            <w:gridSpan w:val="3"/>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本年支出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vMerge w:val="restart"/>
            <w:tcBorders>
              <w:top w:val="nil"/>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功能分类科目编码 </w:t>
            </w:r>
          </w:p>
        </w:tc>
        <w:tc>
          <w:tcPr>
            <w:tcW w:w="0" w:type="pct"/>
            <w:vMerge w:val="restart"/>
            <w:tcBorders>
              <w:top w:val="nil"/>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科目名称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基本支出 </w:t>
            </w:r>
          </w:p>
        </w:tc>
        <w:tc>
          <w:tcPr>
            <w:tcW w:w="0" w:type="pct"/>
            <w:vMerge w:val="restar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项目支出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vMerge w:val="continue"/>
            <w:tcBorders>
              <w:top w:val="nil"/>
              <w:left w:val="single" w:color="666666" w:sz="6" w:space="0"/>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nil"/>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c>
          <w:tcPr>
            <w:tcW w:w="0" w:type="pct"/>
            <w:vMerge w:val="continue"/>
            <w:tcBorders>
              <w:top w:val="single" w:color="666666" w:sz="6" w:space="0"/>
              <w:left w:val="nil"/>
              <w:bottom w:val="single" w:color="666666" w:sz="6" w:space="0"/>
              <w:right w:val="single" w:color="666666" w:sz="6" w:space="0"/>
            </w:tcBorders>
            <w:noWrap w:val="0"/>
            <w:vAlign w:val="center"/>
          </w:tcPr>
          <w:p>
            <w:pPr>
              <w:rPr>
                <w:rFonts w:hint="default" w:ascii="Times New Roman" w:hAnsi="Times New Roman" w:cs="Times New Roman"/>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2469"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栏次 </w:t>
            </w: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1 </w:t>
            </w: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2 </w:t>
            </w: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2469" w:type="pct"/>
            <w:gridSpan w:val="4"/>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center"/>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合计 </w:t>
            </w: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97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97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97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97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97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496" w:type="pct"/>
            <w:gridSpan w:val="3"/>
            <w:tcBorders>
              <w:top w:val="single" w:color="666666" w:sz="6" w:space="0"/>
              <w:left w:val="single" w:color="666666" w:sz="6" w:space="0"/>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1971"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c>
          <w:tcPr>
            <w:tcW w:w="843" w:type="pct"/>
            <w:tcBorders>
              <w:top w:val="single" w:color="666666" w:sz="6" w:space="0"/>
              <w:left w:val="nil"/>
              <w:bottom w:val="single" w:color="666666" w:sz="6" w:space="0"/>
              <w:right w:val="single" w:color="666666" w:sz="6" w:space="0"/>
            </w:tcBorders>
            <w:noWrap w:val="0"/>
            <w:vAlign w:val="center"/>
          </w:tcPr>
          <w:p>
            <w:pPr>
              <w:pStyle w:val="16"/>
              <w:keepNext w:val="0"/>
              <w:keepLines w:val="0"/>
              <w:widowControl/>
              <w:suppressLineNumbers w:val="0"/>
              <w:jc w:val="right"/>
              <w:rPr>
                <w:rFonts w:hint="eastAsia" w:ascii="宋体" w:hAnsi="宋体" w:eastAsia="宋体" w:cs="宋体"/>
                <w:kern w:val="0"/>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jc w:val="center"/>
        </w:trPr>
        <w:tc>
          <w:tcPr>
            <w:tcW w:w="5000" w:type="pct"/>
            <w:gridSpan w:val="7"/>
            <w:tcBorders>
              <w:top w:val="nil"/>
              <w:left w:val="nil"/>
              <w:bottom w:val="nil"/>
              <w:right w:val="nil"/>
            </w:tcBorders>
            <w:noWrap w:val="0"/>
            <w:vAlign w:val="center"/>
          </w:tcPr>
          <w:p>
            <w:pPr>
              <w:pStyle w:val="16"/>
              <w:keepNext w:val="0"/>
              <w:keepLines w:val="0"/>
              <w:widowControl/>
              <w:suppressLineNumbers w:val="0"/>
              <w:jc w:val="left"/>
              <w:rPr>
                <w:rFonts w:hint="eastAsia" w:ascii="宋体" w:hAnsi="宋体" w:eastAsia="宋体" w:cs="宋体"/>
                <w:kern w:val="0"/>
                <w:sz w:val="24"/>
                <w:szCs w:val="24"/>
              </w:rPr>
            </w:pPr>
            <w:r>
              <w:rPr>
                <w:rFonts w:hint="eastAsia" w:ascii="宋体" w:hAnsi="宋体" w:eastAsia="宋体" w:cs="宋体"/>
                <w:b w:val="0"/>
                <w:bCs w:val="0"/>
                <w:kern w:val="0"/>
                <w:sz w:val="22"/>
                <w:szCs w:val="22"/>
              </w:rPr>
              <w:t xml:space="preserve">注：本表反映部门本年度国有资本经营预算财政拨款支出情况。本单位没有国有资本经营预算财政拨款收入，也没有使用国有资本经营预算财政拨款安排的支出，故本表无数据。 </w:t>
            </w:r>
          </w:p>
        </w:tc>
      </w:tr>
    </w:tbl>
    <w:p>
      <w:pPr>
        <w:pStyle w:val="16"/>
        <w:keepNext w:val="0"/>
        <w:keepLines w:val="0"/>
        <w:widowControl/>
        <w:suppressLineNumbers w:val="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rPr>
          <w:rFonts w:hint="default" w:ascii="等线" w:hAnsi="等线" w:eastAsia="等线" w:cs="Times New Roman"/>
          <w:color w:val="000000"/>
          <w:kern w:val="2"/>
          <w:sz w:val="21"/>
          <w:szCs w:val="21"/>
        </w:rPr>
        <w:sectPr>
          <w:pgSz w:w="16838" w:h="11906"/>
          <w:pgMar w:top="1080" w:right="400" w:bottom="1080" w:left="400" w:header="851" w:footer="992" w:gutter="0"/>
          <w:cols w:space="720" w:num="1"/>
          <w:docGrid w:type="lines" w:linePitch="160" w:charSpace="0"/>
        </w:sectPr>
      </w:pPr>
    </w:p>
    <w:p>
      <w:pPr>
        <w:spacing w:before="0" w:beforeAutospacing="0" w:after="2" w:afterAutospacing="0"/>
        <w:jc w:val="center"/>
        <w:rPr>
          <w:rFonts w:hint="default" w:ascii="等线" w:hAnsi="等线" w:eastAsia="等线" w:cs="Times New Roman"/>
          <w:kern w:val="2"/>
          <w:sz w:val="21"/>
          <w:szCs w:val="21"/>
        </w:rPr>
      </w:pPr>
      <w:r>
        <w:rPr>
          <w:rFonts w:hint="eastAsia" w:ascii="宋体" w:hAnsi="宋体" w:eastAsia="宋体" w:cs="宋体"/>
          <w:b/>
          <w:bCs/>
          <w:color w:val="000000"/>
          <w:kern w:val="2"/>
          <w:sz w:val="36"/>
          <w:szCs w:val="36"/>
        </w:rPr>
        <w:t>第三部分 2021年度部门决算情况说明</w:t>
      </w:r>
      <w:r>
        <w:rPr>
          <w:rFonts w:hint="default" w:ascii="等线" w:hAnsi="等线" w:eastAsia="等线" w:cs="Times New Roman"/>
          <w:color w:val="000000"/>
          <w:kern w:val="2"/>
          <w:sz w:val="21"/>
          <w:szCs w:val="21"/>
        </w:rPr>
        <w:t xml:space="preserve"> </w:t>
      </w:r>
    </w:p>
    <w:p>
      <w:pP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一、收入支出决算总体情况说明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2021年度收、支总计379.75万元。与上一年度相比，收、支总计各减少118.64万元，下降23.8%。主要是因为正常缩减开支，项目收入减少。</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二、收入决算情况说明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2021年度收入合计379.75万元，其中：财政拨款收入365.75万元，占96.31%；上级补助收入0万元，占0%；事业收入0万元，占0%；经营收入0万元，占0%；附属单位上缴收入0万元，占0%；其他收入14万元，占3.69%。</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三、支出决算情况说明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2021年度支出合计379.75万元，其中：基本支出379.75万元，占100%；项目支出0万元，占0%；上缴上级支出0万元，占0%；经营支出0万元，占0%；对附属单位补助支出0万元，占0%。</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四、财政拨款收入支出决算总体情况说明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2021年度财政拨款收、支总计365.75万元。与上一年度相比，财政拨款收、支总计各减少11.55万元，下降3.06%。主要是因为公用类开支减少，正常缩减开支。</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五、一般公共预算财政拨款支出决算情况说明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（一）财政拨款支出决算总体情况</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855"/>
        <w:rPr>
          <w:rFonts w:hint="default" w:ascii="等线" w:hAnsi="等线" w:eastAsia="等线" w:cs="Times New Roman"/>
          <w:kern w:val="2"/>
          <w:sz w:val="27"/>
          <w:szCs w:val="27"/>
        </w:rPr>
      </w:pPr>
      <w:r>
        <w:rPr>
          <w:rFonts w:hint="eastAsia" w:ascii="宋体" w:hAnsi="宋体" w:eastAsia="宋体" w:cs="宋体"/>
          <w:color w:val="000000"/>
          <w:kern w:val="2"/>
          <w:sz w:val="32"/>
          <w:szCs w:val="32"/>
        </w:rPr>
        <w:t xml:space="preserve">2021年度财政拨款支出365.75万元，占本年支出合计的96.31%。与上一年度相比，财政拨款支出减少11.55万元，下降3.06%。主要是因为正常缩减开支，公用类开支减少。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（二）财政拨款支出决算结构情况</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2021年度财政拨款支出365.75万元，主要用于以下方面：卫生健康支出300.75万元，占82.23%；城乡社区支出65万元，占17.77%。</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（三）财政拨款支出决算具体情况</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2021年度财政拨款支出年初预算数为317.82万元，支出决算数为365.75万元，完成年初预算的115.08%，其中：</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Style w:val="15"/>
          <w:rFonts w:hint="eastAsia" w:ascii="宋体" w:hAnsi="宋体" w:eastAsia="宋体" w:cs="宋体"/>
          <w:b/>
          <w:bCs w:val="0"/>
          <w:color w:val="000000"/>
          <w:sz w:val="32"/>
          <w:szCs w:val="32"/>
        </w:rPr>
        <w:t>1、卫生健康支出（类）卫生健康管理事务（款）行政运行（项）</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年初预算为0万元，支出决算为4.37万元，由于预算数为0，无法计算百分比。决算数大于年初预算数的主要原因是：办公费、其他商品和服务支出增加。</w:t>
      </w:r>
    </w:p>
    <w:p>
      <w:pPr>
        <w:pStyle w:val="18"/>
        <w:spacing w:before="0" w:beforeAutospacing="0" w:after="2" w:afterAutospacing="0"/>
        <w:ind w:left="0" w:firstLine="641"/>
        <w:rPr>
          <w:rFonts w:hint="default" w:ascii="等线" w:hAnsi="等线" w:eastAsia="等线" w:cs="Times New Roman"/>
          <w:kern w:val="2"/>
          <w:sz w:val="27"/>
          <w:szCs w:val="27"/>
        </w:rPr>
      </w:pPr>
      <w:r>
        <w:rPr>
          <w:rStyle w:val="15"/>
          <w:rFonts w:hint="eastAsia" w:ascii="宋体" w:hAnsi="宋体" w:eastAsia="宋体" w:cs="宋体"/>
          <w:b/>
          <w:bCs w:val="0"/>
          <w:color w:val="000000"/>
          <w:sz w:val="32"/>
          <w:szCs w:val="32"/>
        </w:rPr>
        <w:t>2、卫生健康支出（类）公共卫生（款）卫生监督机构（项）</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年初预算为301.71万元，支出决算为294.98万元，完成年初预算的97.77%。决算数小于年初预算数的主要原因是：正常缩减开支，委托服务费用减少。</w:t>
      </w:r>
    </w:p>
    <w:p>
      <w:pPr>
        <w:pStyle w:val="18"/>
        <w:spacing w:before="0" w:beforeAutospacing="0" w:after="2" w:afterAutospacing="0"/>
        <w:ind w:left="0" w:firstLine="641"/>
        <w:rPr>
          <w:rFonts w:hint="default" w:ascii="等线" w:hAnsi="等线" w:eastAsia="等线" w:cs="Times New Roman"/>
          <w:kern w:val="2"/>
          <w:sz w:val="27"/>
          <w:szCs w:val="27"/>
        </w:rPr>
      </w:pPr>
      <w:r>
        <w:rPr>
          <w:rStyle w:val="15"/>
          <w:rFonts w:hint="eastAsia" w:ascii="宋体" w:hAnsi="宋体" w:eastAsia="宋体" w:cs="宋体"/>
          <w:b/>
          <w:bCs w:val="0"/>
          <w:color w:val="000000"/>
          <w:sz w:val="32"/>
          <w:szCs w:val="32"/>
        </w:rPr>
        <w:t>3、卫生健康支出（类）公共卫生（款）基本公共卫生服务（项）</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年初预算为0万元，支出决算为1.4万元，由于预算数为0，无法计算百分比。决算数大于年初预算数的主要原因是：办公费和印刷费支出增加。</w:t>
      </w:r>
    </w:p>
    <w:p>
      <w:pPr>
        <w:pStyle w:val="18"/>
        <w:spacing w:before="0" w:beforeAutospacing="0" w:after="2" w:afterAutospacing="0"/>
        <w:ind w:left="0" w:firstLine="641"/>
        <w:rPr>
          <w:rFonts w:hint="default" w:ascii="等线" w:hAnsi="等线" w:eastAsia="等线" w:cs="Times New Roman"/>
          <w:kern w:val="2"/>
          <w:sz w:val="27"/>
          <w:szCs w:val="27"/>
        </w:rPr>
      </w:pPr>
      <w:r>
        <w:rPr>
          <w:rStyle w:val="15"/>
          <w:rFonts w:hint="eastAsia" w:ascii="宋体" w:hAnsi="宋体" w:eastAsia="宋体" w:cs="宋体"/>
          <w:b/>
          <w:bCs w:val="0"/>
          <w:color w:val="000000"/>
          <w:sz w:val="32"/>
          <w:szCs w:val="32"/>
        </w:rPr>
        <w:t>4、城乡社区支出（类）城乡社区环境卫生（款）城乡社区环境卫生（项）</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年初预算为0万元，支出决算为65万元，由于预算数为0，无法计算百分比。决算数大于年初预算数的主要原因是：年初纳入卫生健康支出（类）公共卫生（款）卫生监督机构（项）中列支，决算则分开列支。。</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六、一般公共预算财政拨款基本支出决算情况说明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财政拨款基本支出365.75万元，其中：人员经费274.1万元，占基本支出的74.94%，主要包括：基本工资、津贴补贴、奖金、伙食补助费、绩效工资、机关事业单位基本养老保险缴费、职工基本医疗保险缴费、其他社会保障缴费、其他工资福利支出、退休费、奖励金。公用经费91.65万元，占基本支出的25.06%，主要包括：办公费、印刷费、水费、电费、邮电费、差旅费、租赁费、会议费、培训费、公务接待费、专用材料费、劳务费、委托业务费、其他商品和服务支出。</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七、一般公共预算财政拨款三公经费支出决算情况说明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（一）“三公”经费财政拨款支出决算总体情况说明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2021年度“三公”经费财政拨款支出预算为2.5万元，支出决算为1.05万元，完成预算的42%，其中：</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因公出国（境）费支出预算为0万元，支出决算为0万元，决算数与预算数一致，我单位严格按预算执行决算，因公出国（境）费支出与上年持平。</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公务接待费支出预算为2.5万元，支出决算为1.05万元，完成预算的42%，决算数小于预算数的主要原因是公务接待数量减少，开支缩减 ，与上年相比减少1.45万元，下降58%，下降的主要原因是公务接待人次数缩减。</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公务用车购置费支出预算为0万元，支出决算为0万元，决算数与预算数一致，我单位严格按预算执行决算，公务用车购置费支出与上年持平。</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公务用车运行维护费支出预算为0万元，支出决算为0万元，决算数与预算数一致，我单位严格按预算执行决算，公务用车运行维护费支出与上年持平。</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（二）“三公”经费财政拨款支出决算具体情况说明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2021年度“三公”经费财政拨款支出决算中，公务接待费支出决算1.05万元，占100%，因公出国（境）费支出决算0万元，占0%，公务用车购置费及运行维护费支出决算0万元，占0%。其中：</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1、因公出国（境）费支出决算为0万元，全年安排因公出国（境）团组0个，累计0人次，我单位2021年度无因公出国（境）费支出。</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2、公务接待费支出决算为1.05万元，全年共接待来访团组12个、来宾114人次，主要是就餐发生的接待支出。</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3、公务用车购置费及运行维护费支出决算为0万元，其中：公务用车购置费0万元。公务用车运行维护费0万元，截至2021年12月31日，我单位开支财政拨款的公务用车保有量为1辆。我单位2021年度无公务用车购置费及运行维护费支出。</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八、政府性基金预算收入支出决算情况</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color w:val="000000"/>
          <w:kern w:val="2"/>
          <w:sz w:val="32"/>
          <w:szCs w:val="32"/>
        </w:rPr>
        <w:t xml:space="preserve">冷水滩区卫生计生综合监督执法局2021年度没有政府性基金收入，也没有使用政府性基金安排的支出，并已公开空表。 </w:t>
      </w:r>
    </w:p>
    <w:p>
      <w:pPr>
        <w:pStyle w:val="18"/>
        <w:spacing w:before="0" w:beforeAutospacing="0" w:after="2" w:afterAutospacing="0"/>
        <w:ind w:left="0" w:firstLine="641"/>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九、关于机关运行经费支出说明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 xml:space="preserve">冷水滩区卫生计生综合监督执法局2021年度机关运行经费支出91.65万元，比年初预算数增加41.57万元，增长83.01%。主要原因是：医疗废弃物处置等其他费用增加。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十、一般性支出情况</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2021年度冷水滩区卫生计生综合监督执法局开支会议费0.26万元，开展卫生协管职业卫生会议；开支培训费1.76万元，开展协管员培训费；举办0场节庆、晚会、论坛、赛事活动，开支0万元，无相关活动计划。</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十一、关于政府采购支出说明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jc w:val="both"/>
        <w:rPr>
          <w:rFonts w:hint="default" w:ascii="等线" w:hAnsi="等线" w:eastAsia="等线" w:cs="Times New Roman"/>
          <w:kern w:val="2"/>
          <w:sz w:val="27"/>
          <w:szCs w:val="27"/>
        </w:rPr>
      </w:pPr>
      <w:r>
        <w:rPr>
          <w:rFonts w:hint="eastAsia" w:ascii="宋体" w:hAnsi="宋体" w:eastAsia="宋体" w:cs="宋体"/>
          <w:color w:val="000000"/>
          <w:kern w:val="2"/>
          <w:sz w:val="32"/>
          <w:szCs w:val="32"/>
        </w:rPr>
        <w:t xml:space="preserve">冷水滩区卫生计生综合监督执法局2021年度政府采购支出总额0万元，其中：政府采购货物支出0万元、政府采购工程支出0万元、政府采购服务支出0万元。授予中小企业合同金额0万元，占政府采购支出总额的0%，其中：授予小微企业合同金额0万元，占政府采购支出总额的0%。货物采购授予中小企业合同金额占货物支出金额的0%，工程采购授予中小企业合同金额占工程支出金额的0%，服务采购授予中小企业合同金额占服务支出金额的0%。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十二、关于国有资产占用情况说明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截至2021年12月31日，冷水滩区卫生计生综合监督执法局共有车辆1辆（台），其中：机要通信用车0辆、应急保障用车0辆、执法执勤用车1辆、特种专业技术用车0辆、其他用车0辆；单价50万元（含）以上通用设备0台（套），单价100万元（含）以上专用设备0台（套）。</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b/>
          <w:bCs/>
          <w:color w:val="000000"/>
          <w:kern w:val="2"/>
          <w:sz w:val="32"/>
          <w:szCs w:val="32"/>
        </w:rPr>
        <w:t>十三、关于2021年度预算绩效情况说明</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Style w:val="15"/>
          <w:rFonts w:hint="eastAsia" w:ascii="宋体" w:hAnsi="宋体" w:eastAsia="宋体" w:cs="宋体"/>
          <w:b/>
          <w:bCs w:val="0"/>
          <w:color w:val="000000"/>
          <w:sz w:val="36"/>
          <w:szCs w:val="36"/>
        </w:rPr>
        <w:t>（</w:t>
      </w:r>
      <w:r>
        <w:rPr>
          <w:rStyle w:val="15"/>
          <w:rFonts w:hint="eastAsia" w:ascii="宋体" w:hAnsi="宋体" w:eastAsia="宋体" w:cs="宋体"/>
          <w:b/>
          <w:bCs w:val="0"/>
          <w:color w:val="000000"/>
          <w:sz w:val="36"/>
          <w:szCs w:val="36"/>
          <w:lang w:eastAsia="zh-CN"/>
        </w:rPr>
        <w:t>一</w:t>
      </w:r>
      <w:r>
        <w:rPr>
          <w:rStyle w:val="15"/>
          <w:rFonts w:hint="eastAsia" w:ascii="宋体" w:hAnsi="宋体" w:eastAsia="宋体" w:cs="宋体"/>
          <w:b/>
          <w:bCs w:val="0"/>
          <w:color w:val="000000"/>
          <w:sz w:val="36"/>
          <w:szCs w:val="36"/>
        </w:rPr>
        <w:t>）绩效管理评价工作开展情况。</w:t>
      </w:r>
    </w:p>
    <w:p>
      <w:pPr>
        <w:pStyle w:val="9"/>
        <w:keepNext w:val="0"/>
        <w:keepLines w:val="0"/>
        <w:widowControl/>
        <w:suppressLineNumbers w:val="0"/>
        <w:spacing w:before="0" w:beforeAutospacing="0" w:after="2" w:afterAutospacing="0"/>
        <w:ind w:left="0" w:right="0" w:firstLine="640"/>
        <w:rPr>
          <w:rFonts w:hint="eastAsia" w:ascii="宋体" w:hAnsi="宋体" w:eastAsia="宋体" w:cs="宋体"/>
          <w:i w:val="0"/>
          <w:iCs w:val="0"/>
          <w:caps w:val="0"/>
          <w:color w:val="000000"/>
          <w:spacing w:val="0"/>
          <w:sz w:val="32"/>
          <w:szCs w:val="32"/>
          <w:lang w:eastAsia="zh-CN"/>
        </w:rPr>
      </w:pPr>
      <w:r>
        <w:rPr>
          <w:rFonts w:hint="eastAsia" w:ascii="宋体" w:hAnsi="宋体" w:eastAsia="宋体" w:cs="宋体"/>
          <w:i w:val="0"/>
          <w:iCs w:val="0"/>
          <w:caps w:val="0"/>
          <w:color w:val="000000"/>
          <w:spacing w:val="0"/>
          <w:sz w:val="32"/>
          <w:szCs w:val="32"/>
        </w:rPr>
        <w:t>（1）我局加大了对公共场所旅馆（店）、美容美发店、沐足浴店、KTV歌舞厅“四小”行业整治力度。组织开展旅馆等“四小行业”专项整治5余次，共出动执法人员80余人次，检查美容美发店、小旅馆（店）、沐足浴店、网吧、KTV歌舞厅场所等单位1000户次，责令改正200户次，限期整改40家；督促办证6家，立案查处2家。到目前止，共监督检查3000多户次，发放卫生许可证约500家，发放“六城同创”宣传资料6000余份，免费发放或更换许可证公示牌400余块、免费配送《禁止吸烟》标识1000余张、《禁止皮肤病及性病患者入浴》标识100余张、《禁止吸烟劝导员》标志2000多个、《经营单位消毒登记本》1200余本、《头皮癣皮肤病理发工具专用箱》100多个，共出动执法车辆300余台次、执法人员1000余人次 。开展生活饮用水监督监测工作。</w:t>
      </w:r>
    </w:p>
    <w:p>
      <w:pPr>
        <w:pStyle w:val="9"/>
        <w:keepNext w:val="0"/>
        <w:keepLines w:val="0"/>
        <w:widowControl/>
        <w:suppressLineNumbers w:val="0"/>
        <w:spacing w:before="0" w:beforeAutospacing="0" w:after="2" w:afterAutospacing="0"/>
        <w:ind w:left="0" w:right="0" w:firstLine="640"/>
        <w:rPr>
          <w:rFonts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32"/>
          <w:szCs w:val="32"/>
        </w:rPr>
        <w:t>  （2）对全区农村集中供水、学校自建设设供水、市政供水开展了监督检查和现场快速检测工作，监督覆盖率100％。我局联合区疾控中心对全区学校自建设施供水，农村饮水工程供水的水质全部开展了抽样检测，水质检测率100％。</w:t>
      </w:r>
    </w:p>
    <w:p>
      <w:pPr>
        <w:keepNext w:val="0"/>
        <w:keepLines w:val="0"/>
        <w:widowControl/>
        <w:suppressLineNumbers w:val="0"/>
        <w:spacing w:before="0" w:beforeAutospacing="0" w:after="0" w:afterAutospacing="0"/>
        <w:ind w:left="0" w:right="0" w:firstLine="640"/>
        <w:jc w:val="both"/>
        <w:rPr>
          <w:rFonts w:ascii="等线" w:hAnsi="等线" w:eastAsia="等线" w:cs="等线"/>
          <w:i w:val="0"/>
          <w:iCs w:val="0"/>
          <w:caps w:val="0"/>
          <w:color w:val="000000"/>
          <w:spacing w:val="0"/>
          <w:sz w:val="21"/>
          <w:szCs w:val="21"/>
        </w:rPr>
      </w:pPr>
      <w:r>
        <w:rPr>
          <w:rFonts w:hint="eastAsia" w:ascii="宋体" w:hAnsi="宋体" w:eastAsia="宋体" w:cs="宋体"/>
          <w:i w:val="0"/>
          <w:iCs w:val="0"/>
          <w:caps w:val="0"/>
          <w:color w:val="000000"/>
          <w:spacing w:val="0"/>
          <w:kern w:val="0"/>
          <w:sz w:val="32"/>
          <w:szCs w:val="32"/>
          <w:lang w:val="en-US" w:eastAsia="zh-CN" w:bidi="ar"/>
        </w:rPr>
        <w:t>（3）关注焦点，开展举报投诉案件的受理查办。我局通过公布举报电话、设立举报信箱等方式畅通双向交流渠道，主动接受群众监督。对于受理的举报信息，根据我局制定的《举报投诉调查处理制度》，由卫生稽查科指定专人进行分类处置，如举报对象为卫生健康监督执法人员，则由卫生稽查科按稽查程序查办；如举报对象为管理相对人，则转相应业务科室，并对查处过程实施稽查。由于措施得当，针对今年受理的15起举报投诉案件，对每一件认真进行调查核实：对情节较轻案件当场进行批评教育，书面进行整改；对情节较重的3起案件进行立案处罚；案件结果结束后对投诉举报人及时进行了回复和回电，受到了投诉举报人的称赞。 </w:t>
      </w:r>
      <w:r>
        <w:rPr>
          <w:rFonts w:hint="default" w:ascii="等线" w:hAnsi="等线" w:eastAsia="等线" w:cs="等线"/>
          <w:i w:val="0"/>
          <w:iCs w:val="0"/>
          <w:caps w:val="0"/>
          <w:color w:val="000000"/>
          <w:spacing w:val="0"/>
          <w:kern w:val="0"/>
          <w:sz w:val="27"/>
          <w:szCs w:val="27"/>
          <w:lang w:val="en-US" w:eastAsia="zh-CN" w:bidi="ar"/>
        </w:rPr>
        <w:t> </w:t>
      </w:r>
    </w:p>
    <w:p>
      <w:pPr>
        <w:pStyle w:val="18"/>
        <w:spacing w:before="0" w:beforeAutospacing="0" w:after="2" w:afterAutospacing="0"/>
        <w:ind w:left="0" w:firstLine="640"/>
        <w:rPr>
          <w:rFonts w:hint="default" w:ascii="等线" w:hAnsi="等线" w:eastAsia="等线" w:cs="Times New Roman"/>
          <w:kern w:val="2"/>
          <w:sz w:val="27"/>
          <w:szCs w:val="27"/>
        </w:rPr>
      </w:pPr>
      <w:r>
        <w:rPr>
          <w:rStyle w:val="15"/>
          <w:rFonts w:hint="eastAsia" w:ascii="宋体" w:hAnsi="宋体" w:eastAsia="宋体" w:cs="宋体"/>
          <w:b/>
          <w:bCs w:val="0"/>
          <w:color w:val="000000"/>
          <w:sz w:val="36"/>
          <w:szCs w:val="36"/>
        </w:rPr>
        <w:t>（</w:t>
      </w:r>
      <w:r>
        <w:rPr>
          <w:rStyle w:val="15"/>
          <w:rFonts w:hint="eastAsia" w:ascii="宋体" w:hAnsi="宋体" w:eastAsia="宋体" w:cs="宋体"/>
          <w:b/>
          <w:bCs w:val="0"/>
          <w:color w:val="000000"/>
          <w:sz w:val="36"/>
          <w:szCs w:val="36"/>
          <w:lang w:eastAsia="zh-CN"/>
        </w:rPr>
        <w:t>二</w:t>
      </w:r>
      <w:r>
        <w:rPr>
          <w:rStyle w:val="15"/>
          <w:rFonts w:hint="eastAsia" w:ascii="宋体" w:hAnsi="宋体" w:eastAsia="宋体" w:cs="宋体"/>
          <w:b/>
          <w:bCs w:val="0"/>
          <w:color w:val="000000"/>
          <w:sz w:val="36"/>
          <w:szCs w:val="36"/>
        </w:rPr>
        <w:t>）部门决算中项目绩效自评结果（如有）。</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我单位无项目支出。</w:t>
      </w:r>
      <w:r>
        <w:rPr>
          <w:rFonts w:hint="default" w:ascii="等线" w:hAnsi="等线" w:eastAsia="等线" w:cs="Times New Roman"/>
          <w:color w:val="000000"/>
          <w:kern w:val="2"/>
          <w:sz w:val="27"/>
          <w:szCs w:val="27"/>
        </w:rPr>
        <w:t xml:space="preserve"> </w:t>
      </w:r>
    </w:p>
    <w:p>
      <w:pPr>
        <w:pStyle w:val="18"/>
        <w:spacing w:before="0" w:beforeAutospacing="0" w:after="2" w:afterAutospacing="0"/>
        <w:ind w:left="0" w:firstLine="640"/>
        <w:rPr>
          <w:rFonts w:hint="default" w:ascii="等线" w:hAnsi="等线" w:eastAsia="等线" w:cs="Times New Roman"/>
          <w:kern w:val="2"/>
          <w:sz w:val="27"/>
          <w:szCs w:val="27"/>
        </w:rPr>
      </w:pPr>
      <w:r>
        <w:rPr>
          <w:rStyle w:val="15"/>
          <w:rFonts w:hint="eastAsia" w:ascii="宋体" w:hAnsi="宋体" w:eastAsia="宋体" w:cs="宋体"/>
          <w:b/>
          <w:bCs w:val="0"/>
          <w:color w:val="000000"/>
          <w:sz w:val="36"/>
          <w:szCs w:val="36"/>
        </w:rPr>
        <w:t>（</w:t>
      </w:r>
      <w:r>
        <w:rPr>
          <w:rStyle w:val="15"/>
          <w:rFonts w:hint="eastAsia" w:ascii="宋体" w:hAnsi="宋体" w:eastAsia="宋体" w:cs="宋体"/>
          <w:b/>
          <w:bCs w:val="0"/>
          <w:color w:val="000000"/>
          <w:sz w:val="36"/>
          <w:szCs w:val="36"/>
          <w:lang w:eastAsia="zh-CN"/>
        </w:rPr>
        <w:t>三</w:t>
      </w:r>
      <w:r>
        <w:rPr>
          <w:rStyle w:val="15"/>
          <w:rFonts w:hint="eastAsia" w:ascii="宋体" w:hAnsi="宋体" w:eastAsia="宋体" w:cs="宋体"/>
          <w:b/>
          <w:bCs w:val="0"/>
          <w:color w:val="000000"/>
          <w:sz w:val="36"/>
          <w:szCs w:val="36"/>
        </w:rPr>
        <w:t>）部门评价项目绩效评价结果。</w:t>
      </w:r>
    </w:p>
    <w:p>
      <w:pPr>
        <w:pStyle w:val="18"/>
        <w:spacing w:before="0" w:beforeAutospacing="0" w:after="2" w:afterAutospacing="0"/>
        <w:ind w:left="0" w:firstLine="640"/>
        <w:rPr>
          <w:rFonts w:hint="default" w:ascii="等线" w:hAnsi="等线" w:eastAsia="等线" w:cs="Times New Roman"/>
          <w:kern w:val="2"/>
          <w:sz w:val="27"/>
          <w:szCs w:val="27"/>
        </w:rPr>
      </w:pPr>
      <w:r>
        <w:rPr>
          <w:rFonts w:hint="eastAsia" w:ascii="宋体" w:hAnsi="宋体" w:eastAsia="宋体" w:cs="宋体"/>
          <w:color w:val="000000"/>
          <w:kern w:val="2"/>
          <w:sz w:val="32"/>
          <w:szCs w:val="32"/>
        </w:rPr>
        <w:t>部门评价项目数量3个以内的，至少将1个部门评价报告向社会公开；部门评价项目数量大于3个的，至少将2个部门评价报告向社会公开。报告框架可参考《项目支出绩效评价办法》（财预〔2020〕10 号）中《项目支出绩效评价报告（参考提纲）》、《湖南省预算支出绩效评价管理办法》（湘财绩〔2020〕7号）。</w:t>
      </w:r>
      <w:r>
        <w:rPr>
          <w:rFonts w:hint="default" w:ascii="等线" w:hAnsi="等线" w:eastAsia="等线" w:cs="Times New Roman"/>
          <w:color w:val="000000"/>
          <w:kern w:val="2"/>
          <w:sz w:val="27"/>
          <w:szCs w:val="27"/>
        </w:rPr>
        <w:t xml:space="preserve"> </w:t>
      </w:r>
    </w:p>
    <w:p>
      <w:pPr>
        <w:pStyle w:val="16"/>
        <w:keepNext w:val="0"/>
        <w:keepLines w:val="0"/>
        <w:widowControl/>
        <w:suppressLineNumbers w:val="0"/>
        <w:spacing w:before="0" w:beforeAutospacing="0" w:after="2" w:afterAutospacing="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pStyle w:val="16"/>
        <w:keepNext w:val="0"/>
        <w:keepLines w:val="0"/>
        <w:widowControl/>
        <w:suppressLineNumbers w:val="0"/>
        <w:spacing w:before="0" w:beforeAutospacing="0" w:after="2" w:afterAutospacing="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pStyle w:val="16"/>
        <w:keepNext w:val="0"/>
        <w:keepLines w:val="0"/>
        <w:widowControl/>
        <w:suppressLineNumbers w:val="0"/>
        <w:spacing w:before="0" w:beforeAutospacing="0" w:after="2" w:afterAutospacing="0"/>
        <w:rPr>
          <w:rFonts w:hint="eastAsia" w:ascii="宋体" w:hAnsi="宋体" w:eastAsia="宋体" w:cs="宋体"/>
          <w:kern w:val="0"/>
          <w:sz w:val="24"/>
          <w:szCs w:val="24"/>
        </w:rPr>
      </w:pPr>
      <w:r>
        <w:rPr>
          <w:rFonts w:hint="eastAsia" w:ascii="宋体" w:hAnsi="宋体" w:eastAsia="宋体" w:cs="宋体"/>
          <w:kern w:val="0"/>
          <w:sz w:val="24"/>
          <w:szCs w:val="24"/>
        </w:rPr>
        <w:t xml:space="preserve"> </w:t>
      </w:r>
    </w:p>
    <w:p>
      <w:pP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spacing w:before="0" w:beforeAutospacing="0" w:after="2" w:afterAutospacing="0"/>
        <w:jc w:val="center"/>
        <w:rPr>
          <w:rFonts w:hint="default" w:ascii="等线" w:hAnsi="等线" w:eastAsia="等线" w:cs="Times New Roman"/>
          <w:kern w:val="2"/>
          <w:sz w:val="21"/>
          <w:szCs w:val="21"/>
        </w:rPr>
      </w:pPr>
      <w:r>
        <w:rPr>
          <w:rFonts w:hint="eastAsia" w:ascii="宋体" w:hAnsi="宋体" w:eastAsia="宋体" w:cs="宋体"/>
          <w:b/>
          <w:bCs/>
          <w:color w:val="000000"/>
          <w:kern w:val="2"/>
          <w:sz w:val="36"/>
          <w:szCs w:val="36"/>
        </w:rPr>
        <w:t>第四部分 名词解释</w:t>
      </w:r>
      <w:r>
        <w:rPr>
          <w:rFonts w:hint="default" w:ascii="等线" w:hAnsi="等线" w:eastAsia="等线" w:cs="Times New Roman"/>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财政拨款收入</w:t>
      </w:r>
      <w:r>
        <w:rPr>
          <w:rFonts w:hint="eastAsia" w:ascii="宋体" w:hAnsi="宋体" w:eastAsia="宋体" w:cs="宋体"/>
          <w:color w:val="000000"/>
          <w:kern w:val="2"/>
          <w:sz w:val="32"/>
          <w:szCs w:val="32"/>
        </w:rPr>
        <w:t>：指财政当年拨付的资金。包括一般公共预算财政拨款和政府性基金财政拨款。</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上级补助收入</w:t>
      </w:r>
      <w:r>
        <w:rPr>
          <w:rFonts w:hint="eastAsia" w:ascii="宋体" w:hAnsi="宋体" w:eastAsia="宋体" w:cs="宋体"/>
          <w:color w:val="000000"/>
          <w:kern w:val="2"/>
          <w:sz w:val="32"/>
          <w:szCs w:val="32"/>
        </w:rPr>
        <w:t>：指事业单位从主管部门和上级单位取得的非财政补助收入。</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事业收入：</w:t>
      </w:r>
      <w:r>
        <w:rPr>
          <w:rFonts w:hint="eastAsia" w:ascii="宋体" w:hAnsi="宋体" w:eastAsia="宋体" w:cs="宋体"/>
          <w:color w:val="000000"/>
          <w:kern w:val="2"/>
          <w:sz w:val="32"/>
          <w:szCs w:val="32"/>
        </w:rPr>
        <w:t>指事业单位开展专业业务活动及辅助活动所取得的收入。</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经营收入：</w:t>
      </w:r>
      <w:r>
        <w:rPr>
          <w:rFonts w:hint="eastAsia" w:ascii="宋体" w:hAnsi="宋体" w:eastAsia="宋体" w:cs="宋体"/>
          <w:color w:val="000000"/>
          <w:kern w:val="2"/>
          <w:sz w:val="32"/>
          <w:szCs w:val="32"/>
        </w:rPr>
        <w:t>指事业单位在专业业务活动及其辅助活动之外开展非独立核算经营活动取得的收入。</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附属单位上缴收入</w:t>
      </w:r>
      <w:r>
        <w:rPr>
          <w:rFonts w:hint="eastAsia" w:ascii="宋体" w:hAnsi="宋体" w:eastAsia="宋体" w:cs="宋体"/>
          <w:color w:val="000000"/>
          <w:kern w:val="2"/>
          <w:sz w:val="32"/>
          <w:szCs w:val="32"/>
        </w:rPr>
        <w:t>：指事业单位附属独立核算单位按照有关规定上缴的收入。</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其他收入</w:t>
      </w:r>
      <w:r>
        <w:rPr>
          <w:rFonts w:hint="eastAsia" w:ascii="宋体" w:hAnsi="宋体" w:eastAsia="宋体" w:cs="宋体"/>
          <w:color w:val="000000"/>
          <w:kern w:val="2"/>
          <w:sz w:val="32"/>
          <w:szCs w:val="32"/>
        </w:rPr>
        <w:t>：指除上述“财政拨款收入”、“事业收入”、“经营收入”等以外的收入。</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用事业基金弥补收支差额</w:t>
      </w:r>
      <w:r>
        <w:rPr>
          <w:rFonts w:hint="eastAsia" w:ascii="宋体" w:hAnsi="宋体" w:eastAsia="宋体" w:cs="宋体"/>
          <w:color w:val="000000"/>
          <w:kern w:val="2"/>
          <w:sz w:val="32"/>
          <w:szCs w:val="32"/>
        </w:rPr>
        <w:t>：指事业单位在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年初结转和结余</w:t>
      </w:r>
      <w:r>
        <w:rPr>
          <w:rFonts w:hint="eastAsia" w:ascii="宋体" w:hAnsi="宋体" w:eastAsia="宋体" w:cs="宋体"/>
          <w:color w:val="000000"/>
          <w:kern w:val="2"/>
          <w:sz w:val="32"/>
          <w:szCs w:val="32"/>
        </w:rPr>
        <w:t>：指以前年度尚未完成、结转到本年按有关规定继续使用的资金。</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结余分配</w:t>
      </w:r>
      <w:r>
        <w:rPr>
          <w:rFonts w:hint="eastAsia" w:ascii="宋体" w:hAnsi="宋体" w:eastAsia="宋体" w:cs="宋体"/>
          <w:color w:val="000000"/>
          <w:kern w:val="2"/>
          <w:sz w:val="32"/>
          <w:szCs w:val="32"/>
        </w:rPr>
        <w:t>：指事业事位按规定从非财政补助结余中分配的事业基金和职工福利基金等。</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年末结转和结余</w:t>
      </w:r>
      <w:r>
        <w:rPr>
          <w:rFonts w:hint="eastAsia" w:ascii="宋体" w:hAnsi="宋体" w:eastAsia="宋体" w:cs="宋体"/>
          <w:color w:val="000000"/>
          <w:kern w:val="2"/>
          <w:sz w:val="32"/>
          <w:szCs w:val="32"/>
        </w:rPr>
        <w:t>：指本年度或以前年度预算安排、因客观条件发生变化无法按原计划实施，需要延迟到以后年度按有关规定继续使用的资金。</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基本支出</w:t>
      </w:r>
      <w:r>
        <w:rPr>
          <w:rFonts w:hint="eastAsia" w:ascii="宋体" w:hAnsi="宋体" w:eastAsia="宋体" w:cs="宋体"/>
          <w:color w:val="000000"/>
          <w:kern w:val="2"/>
          <w:sz w:val="32"/>
          <w:szCs w:val="32"/>
        </w:rPr>
        <w:t>：指为保障机构正常运转、完成日常工作任务而发生的人员支出和公用支出。</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项目支出</w:t>
      </w:r>
      <w:r>
        <w:rPr>
          <w:rFonts w:hint="eastAsia" w:ascii="宋体" w:hAnsi="宋体" w:eastAsia="宋体" w:cs="宋体"/>
          <w:color w:val="000000"/>
          <w:kern w:val="2"/>
          <w:sz w:val="32"/>
          <w:szCs w:val="32"/>
        </w:rPr>
        <w:t>：指在基本支出之外为完成特定行政任务和事业发展目标所发生的支出。</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经营支出</w:t>
      </w:r>
      <w:r>
        <w:rPr>
          <w:rFonts w:hint="eastAsia" w:ascii="宋体" w:hAnsi="宋体" w:eastAsia="宋体" w:cs="宋体"/>
          <w:color w:val="000000"/>
          <w:kern w:val="2"/>
          <w:sz w:val="32"/>
          <w:szCs w:val="32"/>
        </w:rPr>
        <w:t>：指事业单位在专业业务活动及其辅助活动之外开展非独立核算经营活动所发生的支出。</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“三公”经费</w:t>
      </w:r>
      <w:r>
        <w:rPr>
          <w:rFonts w:hint="eastAsia" w:ascii="宋体" w:hAnsi="宋体" w:eastAsia="宋体" w:cs="宋体"/>
          <w:color w:val="000000"/>
          <w:kern w:val="2"/>
          <w:sz w:val="32"/>
          <w:szCs w:val="32"/>
        </w:rPr>
        <w:t>：按照党中央、国务院有关文件及部门预算管理有关规定，“三公”经费包括因公出国（境）费、公务用车购置及运行费和公务接待费。（1）因公出国（境）费，指单位工作人员公务出国（境）的住宿费、旅费、伙食补助费、杂费、培训费等支出。（2）公务用车购置及运行费，指单位公务用车购置费（含车辆购置税）及租用费、燃料费、维修费、过路过桥费、保险费等支出。（3）公务接待费，指单位按规定开支的各类公务接待（含外宾接待）支出。</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eastAsia" w:ascii="宋体" w:hAnsi="宋体" w:eastAsia="宋体" w:cs="宋体"/>
          <w:b/>
          <w:bCs/>
          <w:color w:val="000000"/>
          <w:kern w:val="2"/>
          <w:sz w:val="32"/>
          <w:szCs w:val="32"/>
        </w:rPr>
        <w:t>机关运行经费</w:t>
      </w:r>
      <w:r>
        <w:rPr>
          <w:rFonts w:hint="eastAsia" w:ascii="宋体" w:hAnsi="宋体" w:eastAsia="宋体" w:cs="宋体"/>
          <w:color w:val="000000"/>
          <w:kern w:val="2"/>
          <w:sz w:val="32"/>
          <w:szCs w:val="32"/>
        </w:rPr>
        <w:t>：指为保障行政单位（含参照公务员法管理的事业单位）运行用于购买货物和服务的各项资金，包括办公及印刷费、邮电费、差旅费、会议费、福利费、日常维修费、专项材料及一般设备购置费、办公用房水电费、取暖费、物业管理费、公务用车运行维护费以及其他费用。</w:t>
      </w:r>
      <w:r>
        <w:rPr>
          <w:rFonts w:hint="default" w:ascii="Calibri" w:hAnsi="Calibri" w:eastAsia="等线" w:cs="Calibri"/>
          <w:color w:val="000000"/>
          <w:kern w:val="2"/>
          <w:sz w:val="21"/>
          <w:szCs w:val="21"/>
        </w:rPr>
        <w:t xml:space="preserve"> </w:t>
      </w:r>
    </w:p>
    <w:p>
      <w:pPr>
        <w:spacing w:before="0" w:beforeAutospacing="0" w:after="2" w:afterAutospacing="0" w:line="336" w:lineRule="atLeast"/>
        <w:ind w:left="0" w:right="0" w:firstLine="643"/>
        <w:rPr>
          <w:rFonts w:hint="default" w:ascii="Calibri" w:hAnsi="Calibri" w:eastAsia="等线" w:cs="Calibri"/>
          <w:kern w:val="2"/>
          <w:sz w:val="21"/>
          <w:szCs w:val="21"/>
        </w:rPr>
      </w:pPr>
      <w:r>
        <w:rPr>
          <w:rFonts w:hint="default" w:ascii="Calibri" w:hAnsi="Calibri" w:eastAsia="等线" w:cs="Calibri"/>
          <w:kern w:val="2"/>
          <w:sz w:val="21"/>
          <w:szCs w:val="21"/>
        </w:rPr>
        <w:t xml:space="preserve"> </w:t>
      </w:r>
    </w:p>
    <w:p>
      <w:pPr>
        <w:spacing w:before="0" w:beforeAutospacing="0" w:after="2" w:afterAutospacing="0"/>
        <w:jc w:val="center"/>
        <w:rPr>
          <w:rFonts w:hint="default" w:ascii="等线" w:hAnsi="等线" w:eastAsia="等线" w:cs="Times New Roman"/>
          <w:kern w:val="2"/>
          <w:sz w:val="21"/>
          <w:szCs w:val="21"/>
        </w:rPr>
      </w:pPr>
      <w:r>
        <w:rPr>
          <w:rFonts w:hint="eastAsia" w:ascii="宋体" w:hAnsi="宋体" w:eastAsia="宋体" w:cs="宋体"/>
          <w:b/>
          <w:bCs/>
          <w:color w:val="000000"/>
          <w:kern w:val="2"/>
          <w:sz w:val="36"/>
          <w:szCs w:val="36"/>
        </w:rPr>
        <w:t>第五部分 附件</w:t>
      </w:r>
      <w:r>
        <w:rPr>
          <w:rFonts w:hint="default" w:ascii="等线" w:hAnsi="等线" w:eastAsia="等线" w:cs="Times New Roman"/>
          <w:color w:val="000000"/>
          <w:kern w:val="2"/>
          <w:sz w:val="21"/>
          <w:szCs w:val="21"/>
        </w:rPr>
        <w:t xml:space="preserve"> </w:t>
      </w:r>
    </w:p>
    <w:p>
      <w:pPr>
        <w:spacing w:before="0" w:beforeAutospacing="0" w:after="2" w:afterAutospacing="0"/>
        <w:jc w:val="center"/>
        <w:rPr>
          <w:rFonts w:hint="default" w:ascii="等线" w:hAnsi="等线" w:eastAsia="等线" w:cs="Times New Roman"/>
          <w:kern w:val="2"/>
          <w:sz w:val="21"/>
          <w:szCs w:val="21"/>
        </w:rPr>
      </w:pPr>
      <w:r>
        <w:fldChar w:fldCharType="begin"/>
      </w:r>
      <w:r>
        <w:instrText xml:space="preserve"> HYPERLINK "http://10.105.181.49/home/downloadAttachment?attachGUID=2bfa982622ee4f058cc5b95122c19729" </w:instrText>
      </w:r>
      <w:r>
        <w:fldChar w:fldCharType="separate"/>
      </w:r>
      <w:r>
        <w:rPr>
          <w:rStyle w:val="12"/>
          <w:rFonts w:hint="eastAsia" w:ascii="宋体" w:hAnsi="宋体" w:eastAsia="宋体" w:cs="宋体"/>
          <w:color w:val="0000FF"/>
          <w:sz w:val="28"/>
          <w:szCs w:val="28"/>
          <w:u w:val="single"/>
          <w:shd w:val="clear" w:color="auto" w:fill="FFFFFF"/>
        </w:rPr>
        <w:t>永州市冷水滩区卫生计生综合监督执法局2021年度预算绩效自评工作报告.docx</w:t>
      </w:r>
      <w:r>
        <w:fldChar w:fldCharType="end"/>
      </w:r>
    </w:p>
    <w:p>
      <w:pPr>
        <w:spacing w:before="0" w:beforeAutospacing="0" w:after="2" w:afterAutospacing="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p>
      <w:pPr>
        <w:spacing w:before="0" w:beforeAutospacing="0" w:after="2" w:afterAutospacing="0"/>
        <w:jc w:val="center"/>
        <w:rPr>
          <w:rFonts w:hint="default" w:ascii="等线" w:hAnsi="等线" w:eastAsia="等线" w:cs="Times New Roman"/>
          <w:kern w:val="2"/>
          <w:sz w:val="21"/>
          <w:szCs w:val="21"/>
        </w:rPr>
      </w:pPr>
      <w:r>
        <w:rPr>
          <w:rFonts w:hint="default" w:ascii="等线" w:hAnsi="等线" w:eastAsia="等线" w:cs="Times New Roman"/>
          <w:kern w:val="2"/>
          <w:sz w:val="21"/>
          <w:szCs w:val="21"/>
        </w:rPr>
        <w:t xml:space="preserve"> </w:t>
      </w:r>
    </w:p>
    <w:sectPr>
      <w:pgSz w:w="11906" w:h="16838" w:orient="landscape"/>
      <w:pgMar w:top="1440" w:right="1080" w:bottom="1440" w:left="1080" w:header="851" w:footer="992" w:gutter="0"/>
      <w:cols w:space="720" w:num="1"/>
      <w:docGrid w:type="lines" w:linePitch="1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web"/>
  <w:zoom w:percent="100"/>
  <w:bordersDoNotSurroundHeader w:val="0"/>
  <w:bordersDoNotSurroundFooter w:val="0"/>
  <w:attachedTemplate r:id="rId1"/>
  <w:documentProtection w:enforcement="0"/>
  <w:defaultTabStop w:val="420"/>
  <w:hyphenationZone w:val="360"/>
  <w:drawingGridVerticalSpacing w:val="157"/>
  <w:displayHorizontalDrawingGridEvery w:val="1"/>
  <w:displayVerticalDrawingGridEvery w:val="1"/>
  <w:noPunctuationKerning w:val="1"/>
  <w:characterSpacingControl w:val="doNotCompress"/>
  <w:footnotePr>
    <w:footnote w:id="0"/>
    <w:footnote w:id="1"/>
  </w:footnotePr>
  <w:compat>
    <w:spaceForUL/>
    <w:doNotLeaveBackslashAlon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FlZTM4NjFmYTUyYjU3NmQ2MDBmMjY3MDlhYzA2MDkifQ=="/>
  </w:docVars>
  <w:rsids>
    <w:rsidRoot w:val="1DF56F1D"/>
    <w:rsid w:val="0B8C18C2"/>
    <w:rsid w:val="1DF56F1D"/>
    <w:rsid w:val="2B035C23"/>
    <w:rsid w:val="308C0468"/>
    <w:rsid w:val="3B9F54F4"/>
    <w:rsid w:val="3D5B5A68"/>
    <w:rsid w:val="51736DAF"/>
    <w:rsid w:val="72B172DF"/>
    <w:rsid w:val="7C0D37D8"/>
    <w:rsid w:val="7C5807CC"/>
    <w:rsid w:val="7CD3245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iPriority="99"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99"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iPriority="99" w:name="Light Shading"/>
    <w:lsdException w:uiPriority="99" w:name="Light List"/>
    <w:lsdException w:uiPriority="99" w:name="Light Grid"/>
    <w:lsdException w:uiPriority="99" w:name="Medium Shading 1"/>
    <w:lsdException w:uiPriority="99" w:name="Medium Shading 2"/>
    <w:lsdException w:uiPriority="99" w:name="Medium List 1"/>
    <w:lsdException w:uiPriority="99" w:name="Medium List 2"/>
    <w:lsdException w:uiPriority="99" w:name="Medium Grid 1"/>
    <w:lsdException w:uiPriority="99" w:name="Medium Grid 2"/>
    <w:lsdException w:uiPriority="99" w:name="Medium Grid 3"/>
    <w:lsdException w:uiPriority="99" w:name="Dark List"/>
    <w:lsdException w:uiPriority="99" w:name="Colorful Shading"/>
    <w:lsdException w:uiPriority="99" w:name="Colorful List"/>
    <w:lsdException w:uiPriority="99" w:name="Colorful Grid"/>
    <w:lsdException w:uiPriority="99" w:name="Light Shading Accent 1"/>
    <w:lsdException w:uiPriority="99" w:name="Light List Accent 1"/>
    <w:lsdException w:uiPriority="99" w:name="Light Grid Accent 1"/>
    <w:lsdException w:uiPriority="99" w:name="Medium Shading 1 Accent 1"/>
    <w:lsdException w:uiPriority="99" w:name="Medium Shading 2 Accent 1"/>
    <w:lsdException w:uiPriority="99" w:name="Medium List 1 Accent 1"/>
    <w:lsdException w:uiPriority="99" w:name="Medium List 2 Accent 1"/>
    <w:lsdException w:uiPriority="99" w:name="Medium Grid 1 Accent 1"/>
    <w:lsdException w:uiPriority="99" w:name="Medium Grid 2 Accent 1"/>
    <w:lsdException w:uiPriority="99" w:name="Medium Grid 3 Accent 1"/>
    <w:lsdException w:uiPriority="99" w:name="Dark List Accent 1"/>
    <w:lsdException w:uiPriority="99" w:name="Colorful Shading Accent 1"/>
    <w:lsdException w:uiPriority="99" w:name="Colorful List Accent 1"/>
    <w:lsdException w:uiPriority="99" w:name="Colorful Grid Accent 1"/>
    <w:lsdException w:uiPriority="99" w:name="Light Shading Accent 2"/>
    <w:lsdException w:uiPriority="99" w:name="Light List Accent 2"/>
    <w:lsdException w:uiPriority="99" w:name="Light Grid Accent 2"/>
    <w:lsdException w:uiPriority="99" w:name="Medium Shading 1 Accent 2"/>
    <w:lsdException w:uiPriority="99" w:name="Medium Shading 2 Accent 2"/>
    <w:lsdException w:uiPriority="99" w:name="Medium List 1 Accent 2"/>
    <w:lsdException w:uiPriority="99" w:name="Medium List 2 Accent 2"/>
    <w:lsdException w:uiPriority="99" w:name="Medium Grid 1 Accent 2"/>
    <w:lsdException w:uiPriority="99" w:name="Medium Grid 2 Accent 2"/>
    <w:lsdException w:uiPriority="99" w:name="Medium Grid 3 Accent 2"/>
    <w:lsdException w:uiPriority="99" w:name="Dark List Accent 2"/>
    <w:lsdException w:uiPriority="99" w:name="Colorful Shading Accent 2"/>
    <w:lsdException w:uiPriority="99" w:name="Colorful List Accent 2"/>
    <w:lsdException w:uiPriority="99" w:name="Colorful Grid Accent 2"/>
    <w:lsdException w:uiPriority="99" w:name="Light Shading Accent 3"/>
    <w:lsdException w:uiPriority="99" w:name="Light List Accent 3"/>
    <w:lsdException w:uiPriority="99" w:name="Light Grid Accent 3"/>
    <w:lsdException w:uiPriority="99" w:name="Medium Shading 1 Accent 3"/>
    <w:lsdException w:uiPriority="99" w:name="Medium Shading 2 Accent 3"/>
    <w:lsdException w:uiPriority="99" w:name="Medium List 1 Accent 3"/>
    <w:lsdException w:uiPriority="99" w:name="Medium List 2 Accent 3"/>
    <w:lsdException w:uiPriority="99" w:name="Medium Grid 1 Accent 3"/>
    <w:lsdException w:uiPriority="99" w:name="Medium Grid 2 Accent 3"/>
    <w:lsdException w:uiPriority="99" w:name="Medium Grid 3 Accent 3"/>
    <w:lsdException w:uiPriority="99" w:name="Dark List Accent 3"/>
    <w:lsdException w:uiPriority="99" w:name="Colorful Shading Accent 3"/>
    <w:lsdException w:uiPriority="99" w:name="Colorful List Accent 3"/>
    <w:lsdException w:uiPriority="99" w:name="Colorful Grid Accent 3"/>
    <w:lsdException w:uiPriority="99" w:name="Light Shading Accent 4"/>
    <w:lsdException w:uiPriority="99" w:name="Light List Accent 4"/>
    <w:lsdException w:uiPriority="99" w:name="Light Grid Accent 4"/>
    <w:lsdException w:uiPriority="99" w:name="Medium Shading 1 Accent 4"/>
    <w:lsdException w:uiPriority="99" w:name="Medium Shading 2 Accent 4"/>
    <w:lsdException w:uiPriority="99" w:name="Medium List 1 Accent 4"/>
    <w:lsdException w:uiPriority="99" w:name="Medium List 2 Accent 4"/>
    <w:lsdException w:uiPriority="99" w:name="Medium Grid 1 Accent 4"/>
    <w:lsdException w:uiPriority="99" w:name="Medium Grid 2 Accent 4"/>
    <w:lsdException w:uiPriority="99" w:name="Medium Grid 3 Accent 4"/>
    <w:lsdException w:uiPriority="99" w:name="Dark List Accent 4"/>
    <w:lsdException w:uiPriority="99" w:name="Colorful Shading Accent 4"/>
    <w:lsdException w:uiPriority="99" w:name="Colorful List Accent 4"/>
    <w:lsdException w:uiPriority="99" w:name="Colorful Grid Accent 4"/>
    <w:lsdException w:uiPriority="99" w:name="Light Shading Accent 5"/>
    <w:lsdException w:uiPriority="99" w:name="Light List Accent 5"/>
    <w:lsdException w:uiPriority="99" w:name="Light Grid Accent 5"/>
    <w:lsdException w:uiPriority="99" w:name="Medium Shading 1 Accent 5"/>
    <w:lsdException w:uiPriority="99" w:name="Medium Shading 2 Accent 5"/>
    <w:lsdException w:uiPriority="99" w:name="Medium List 1 Accent 5"/>
    <w:lsdException w:uiPriority="99" w:name="Medium List 2 Accent 5"/>
    <w:lsdException w:uiPriority="99" w:name="Medium Grid 1 Accent 5"/>
    <w:lsdException w:uiPriority="99" w:name="Medium Grid 2 Accent 5"/>
    <w:lsdException w:uiPriority="99" w:name="Medium Grid 3 Accent 5"/>
    <w:lsdException w:uiPriority="99" w:name="Dark List Accent 5"/>
    <w:lsdException w:uiPriority="99" w:name="Colorful Shading Accent 5"/>
    <w:lsdException w:uiPriority="99" w:name="Colorful List Accent 5"/>
    <w:lsdException w:uiPriority="99" w:name="Colorful Grid Accent 5"/>
    <w:lsdException w:uiPriority="99" w:name="Light Shading Accent 6"/>
    <w:lsdException w:uiPriority="99" w:name="Light List Accent 6"/>
    <w:lsdException w:uiPriority="99" w:name="Light Grid Accent 6"/>
    <w:lsdException w:uiPriority="99" w:name="Medium Shading 1 Accent 6"/>
    <w:lsdException w:uiPriority="99" w:name="Medium Shading 2 Accent 6"/>
    <w:lsdException w:uiPriority="99" w:name="Medium List 1 Accent 6"/>
    <w:lsdException w:uiPriority="99" w:name="Medium List 2 Accent 6"/>
    <w:lsdException w:uiPriority="99" w:name="Medium Grid 1 Accent 6"/>
    <w:lsdException w:uiPriority="99" w:name="Medium Grid 2 Accent 6"/>
    <w:lsdException w:uiPriority="99" w:name="Medium Grid 3 Accent 6"/>
    <w:lsdException w:uiPriority="99" w:name="Dark List Accent 6"/>
    <w:lsdException w:uiPriority="99" w:name="Colorful Shading Accent 6"/>
    <w:lsdException w:uiPriority="99" w:name="Colorful List Accent 6"/>
    <w:lsdException w:uiPriority="99" w:name="Colorful Grid Accent 6"/>
  </w:latentStyles>
  <w:style w:type="paragraph" w:default="1" w:styleId="1">
    <w:name w:val="Normal"/>
    <w:unhideWhenUsed/>
    <w:uiPriority w:val="99"/>
    <w:pPr>
      <w:keepNext w:val="0"/>
      <w:keepLines w:val="0"/>
      <w:widowControl w:val="0"/>
      <w:suppressLineNumbers w:val="0"/>
      <w:spacing w:before="0" w:beforeAutospacing="0" w:after="0" w:afterAutospacing="0"/>
      <w:ind w:left="0" w:right="0"/>
      <w:jc w:val="both"/>
    </w:pPr>
    <w:rPr>
      <w:rFonts w:hint="default" w:ascii="等线" w:hAnsi="等线" w:eastAsia="等线" w:cs="Times New Roman"/>
      <w:kern w:val="2"/>
      <w:sz w:val="21"/>
      <w:szCs w:val="21"/>
      <w:lang w:val="en-US" w:eastAsia="zh-CN" w:bidi="ar"/>
    </w:rPr>
  </w:style>
  <w:style w:type="paragraph" w:styleId="2">
    <w:name w:val="heading 1"/>
    <w:basedOn w:val="1"/>
    <w:next w:val="1"/>
    <w:qFormat/>
    <w:uiPriority w:val="0"/>
    <w:pPr>
      <w:keepNext w:val="0"/>
      <w:keepLines w:val="0"/>
      <w:widowControl/>
      <w:suppressLineNumbers w:val="0"/>
      <w:spacing w:before="100" w:beforeAutospacing="1" w:after="100" w:afterAutospacing="1"/>
      <w:ind w:left="0" w:right="0"/>
      <w:jc w:val="left"/>
      <w:outlineLvl w:val="0"/>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val="0"/>
      <w:keepLines w:val="0"/>
      <w:widowControl/>
      <w:suppressLineNumbers w:val="0"/>
      <w:spacing w:before="100" w:beforeAutospacing="1" w:after="100" w:afterAutospacing="1"/>
      <w:ind w:left="0" w:right="0"/>
      <w:jc w:val="left"/>
      <w:outlineLvl w:val="1"/>
    </w:pPr>
    <w:rPr>
      <w:rFonts w:hint="eastAsia" w:ascii="宋体" w:hAnsi="宋体" w:eastAsia="宋体" w:cs="宋体"/>
      <w:b/>
      <w:bCs/>
      <w:kern w:val="0"/>
      <w:sz w:val="36"/>
      <w:szCs w:val="36"/>
      <w:lang w:val="en-US" w:eastAsia="zh-CN" w:bidi="ar"/>
    </w:rPr>
  </w:style>
  <w:style w:type="paragraph" w:styleId="4">
    <w:name w:val="heading 3"/>
    <w:basedOn w:val="1"/>
    <w:next w:val="1"/>
    <w:qFormat/>
    <w:uiPriority w:val="0"/>
    <w:pPr>
      <w:keepNext w:val="0"/>
      <w:keepLines w:val="0"/>
      <w:widowControl/>
      <w:suppressLineNumbers w:val="0"/>
      <w:spacing w:before="100" w:beforeAutospacing="1" w:after="100" w:afterAutospacing="1"/>
      <w:ind w:left="0" w:right="0"/>
      <w:jc w:val="left"/>
      <w:outlineLvl w:val="2"/>
    </w:pPr>
    <w:rPr>
      <w:rFonts w:hint="eastAsia" w:ascii="宋体" w:hAnsi="宋体" w:eastAsia="宋体" w:cs="宋体"/>
      <w:b/>
      <w:bCs/>
      <w:kern w:val="0"/>
      <w:sz w:val="27"/>
      <w:szCs w:val="27"/>
      <w:lang w:val="en-US" w:eastAsia="zh-CN" w:bidi="ar"/>
    </w:rPr>
  </w:style>
  <w:style w:type="paragraph" w:styleId="5">
    <w:name w:val="heading 4"/>
    <w:basedOn w:val="1"/>
    <w:next w:val="1"/>
    <w:qFormat/>
    <w:uiPriority w:val="0"/>
    <w:pPr>
      <w:keepNext w:val="0"/>
      <w:keepLines w:val="0"/>
      <w:widowControl/>
      <w:suppressLineNumbers w:val="0"/>
      <w:spacing w:before="100" w:beforeAutospacing="1" w:after="100" w:afterAutospacing="1"/>
      <w:ind w:left="0" w:right="0"/>
      <w:jc w:val="left"/>
      <w:outlineLvl w:val="3"/>
    </w:pPr>
    <w:rPr>
      <w:rFonts w:hint="eastAsia" w:ascii="宋体" w:hAnsi="宋体" w:eastAsia="宋体" w:cs="宋体"/>
      <w:b/>
      <w:bCs/>
      <w:kern w:val="0"/>
      <w:sz w:val="24"/>
      <w:szCs w:val="24"/>
      <w:lang w:val="en-US" w:eastAsia="zh-CN" w:bidi="ar"/>
    </w:rPr>
  </w:style>
  <w:style w:type="paragraph" w:styleId="6">
    <w:name w:val="heading 5"/>
    <w:basedOn w:val="1"/>
    <w:next w:val="1"/>
    <w:qFormat/>
    <w:uiPriority w:val="0"/>
    <w:pPr>
      <w:keepNext w:val="0"/>
      <w:keepLines w:val="0"/>
      <w:widowControl/>
      <w:suppressLineNumbers w:val="0"/>
      <w:spacing w:before="100" w:beforeAutospacing="1" w:after="100" w:afterAutospacing="1"/>
      <w:ind w:left="0" w:right="0"/>
      <w:jc w:val="left"/>
      <w:outlineLvl w:val="4"/>
    </w:pPr>
    <w:rPr>
      <w:rFonts w:hint="eastAsia" w:ascii="宋体" w:hAnsi="宋体" w:eastAsia="宋体" w:cs="宋体"/>
      <w:b/>
      <w:bCs/>
      <w:kern w:val="0"/>
      <w:sz w:val="20"/>
      <w:szCs w:val="20"/>
      <w:lang w:val="en-US" w:eastAsia="zh-CN" w:bidi="ar"/>
    </w:rPr>
  </w:style>
  <w:style w:type="paragraph" w:styleId="7">
    <w:name w:val="heading 6"/>
    <w:basedOn w:val="1"/>
    <w:next w:val="1"/>
    <w:qFormat/>
    <w:uiPriority w:val="0"/>
    <w:pPr>
      <w:keepNext w:val="0"/>
      <w:keepLines w:val="0"/>
      <w:widowControl/>
      <w:suppressLineNumbers w:val="0"/>
      <w:spacing w:before="100" w:beforeAutospacing="1" w:after="100" w:afterAutospacing="1"/>
      <w:ind w:left="0" w:right="0"/>
      <w:jc w:val="left"/>
      <w:outlineLvl w:val="5"/>
    </w:pPr>
    <w:rPr>
      <w:rFonts w:hint="eastAsia" w:ascii="宋体" w:hAnsi="宋体" w:eastAsia="宋体" w:cs="宋体"/>
      <w:b/>
      <w:bCs/>
      <w:kern w:val="0"/>
      <w:sz w:val="15"/>
      <w:szCs w:val="15"/>
      <w:lang w:val="en-US" w:eastAsia="zh-CN" w:bidi="ar"/>
    </w:rPr>
  </w:style>
  <w:style w:type="character" w:default="1" w:styleId="11">
    <w:name w:val="Default Paragraph Font"/>
    <w:unhideWhenUsed/>
    <w:uiPriority w:val="99"/>
  </w:style>
  <w:style w:type="table" w:default="1" w:styleId="10">
    <w:name w:val="Normal Table"/>
    <w:unhideWhenUsed/>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Style w:val="10"/>
      <w:tblCellMar>
        <w:top w:w="0" w:type="dxa"/>
        <w:left w:w="108" w:type="dxa"/>
        <w:bottom w:w="0" w:type="dxa"/>
        <w:right w:w="108" w:type="dxa"/>
      </w:tblCellMar>
    </w:tblPr>
  </w:style>
  <w:style w:type="paragraph" w:styleId="8">
    <w:name w:val="HTML Preformatted"/>
    <w:basedOn w:val="1"/>
    <w:uiPriority w:val="0"/>
    <w:pPr>
      <w:keepNext w:val="0"/>
      <w:keepLines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0" w:right="0"/>
      <w:jc w:val="left"/>
    </w:pPr>
    <w:rPr>
      <w:rFonts w:hint="eastAsia" w:ascii="宋体" w:hAnsi="宋体" w:eastAsia="宋体" w:cs="宋体"/>
      <w:kern w:val="0"/>
      <w:sz w:val="24"/>
      <w:szCs w:val="24"/>
      <w:lang w:val="en-US" w:eastAsia="zh-CN" w:bidi="ar"/>
    </w:rPr>
  </w:style>
  <w:style w:type="paragraph" w:styleId="9">
    <w:name w:val="Normal (Web)"/>
    <w:basedOn w:val="1"/>
    <w:uiPriority w:val="0"/>
    <w:pPr>
      <w:widowControl/>
      <w:spacing w:before="100" w:beforeAutospacing="1" w:after="100" w:afterAutospacing="1"/>
      <w:ind w:left="0" w:right="0"/>
      <w:jc w:val="left"/>
    </w:pPr>
    <w:rPr>
      <w:rFonts w:hint="eastAsia" w:ascii="宋体" w:hAnsi="宋体" w:eastAsia="宋体" w:cs="宋体"/>
      <w:kern w:val="0"/>
      <w:sz w:val="24"/>
      <w:szCs w:val="24"/>
      <w:lang w:val="en-US" w:eastAsia="zh-CN" w:bidi="ar"/>
    </w:rPr>
  </w:style>
  <w:style w:type="character" w:styleId="12">
    <w:name w:val="Hyperlink"/>
    <w:basedOn w:val="11"/>
    <w:uiPriority w:val="0"/>
    <w:rPr>
      <w:color w:val="0000FF"/>
      <w:u w:val="single"/>
    </w:rPr>
  </w:style>
  <w:style w:type="paragraph" w:customStyle="1" w:styleId="13">
    <w:name w:val="pre Char"/>
    <w:basedOn w:val="1"/>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character" w:customStyle="1" w:styleId="14">
    <w:name w:val="16"/>
    <w:basedOn w:val="11"/>
    <w:uiPriority w:val="0"/>
    <w:rPr>
      <w:rFonts w:hint="default" w:ascii="Times New Roman" w:hAnsi="Times New Roman" w:cs="Times New Roman"/>
      <w:color w:val="0000FF"/>
      <w:u w:val="single"/>
    </w:rPr>
  </w:style>
  <w:style w:type="character" w:customStyle="1" w:styleId="15">
    <w:name w:val="15"/>
    <w:basedOn w:val="11"/>
    <w:uiPriority w:val="0"/>
    <w:rPr>
      <w:rFonts w:hint="default" w:ascii="Times New Roman" w:hAnsi="Times New Roman" w:cs="Times New Roman"/>
      <w:b/>
    </w:rPr>
  </w:style>
  <w:style w:type="paragraph" w:customStyle="1" w:styleId="16">
    <w:name w:val="普通(网站) Char"/>
    <w:basedOn w:val="1"/>
    <w:uiPriority w:val="0"/>
    <w:pPr>
      <w:keepNext w:val="0"/>
      <w:keepLines w:val="0"/>
      <w:widowControl/>
      <w:suppressLineNumbers w:val="0"/>
      <w:spacing w:before="100" w:beforeAutospacing="1" w:after="100" w:afterAutospacing="1"/>
      <w:ind w:left="0" w:right="0"/>
      <w:jc w:val="left"/>
    </w:pPr>
    <w:rPr>
      <w:rFonts w:hint="eastAsia" w:ascii="宋体" w:hAnsi="宋体" w:eastAsia="宋体" w:cs="宋体"/>
      <w:kern w:val="0"/>
      <w:sz w:val="24"/>
      <w:szCs w:val="24"/>
      <w:lang w:val="en-US" w:eastAsia="zh-CN" w:bidi="ar"/>
    </w:rPr>
  </w:style>
  <w:style w:type="character" w:customStyle="1" w:styleId="17">
    <w:name w:val="10"/>
    <w:basedOn w:val="11"/>
    <w:uiPriority w:val="0"/>
    <w:rPr>
      <w:rFonts w:hint="default" w:ascii="Times New Roman" w:hAnsi="Times New Roman" w:cs="Times New Roman"/>
    </w:rPr>
  </w:style>
  <w:style w:type="paragraph" w:customStyle="1" w:styleId="18">
    <w:name w:val="18"/>
    <w:basedOn w:val="1"/>
    <w:uiPriority w:val="0"/>
    <w:pPr>
      <w:keepNext w:val="0"/>
      <w:keepLines w:val="0"/>
      <w:widowControl w:val="0"/>
      <w:suppressLineNumbers w:val="0"/>
      <w:spacing w:before="0" w:beforeAutospacing="0" w:after="0" w:afterAutospacing="0"/>
      <w:ind w:left="0" w:right="0"/>
      <w:jc w:val="both"/>
    </w:pPr>
    <w:rPr>
      <w:rFonts w:hint="default" w:ascii="等线" w:hAnsi="等线" w:eastAsia="等线" w:cs="Times New Roman"/>
      <w:kern w:val="2"/>
      <w:sz w:val="21"/>
      <w:szCs w:val="21"/>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D:\&#25105;&#30340;&#25991;&#26723;\WeChat%20Files\wxid_6511965427212\FileStorage\File\2023-09\2021&#24180;&#24230;&#20919;&#27700;&#28393;&#21306;&#21355;&#29983;&#35745;&#29983;&#32508;&#21512;&#30417;&#30563;&#25191;&#27861;&#23616;&#37096;&#38376;&#20915;&#31639;.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2021年度冷水滩区卫生计生综合监督执法局部门决算.dot</Template>
  <Pages>20</Pages>
  <Words>8829</Words>
  <Characters>10213</Characters>
  <Lines>1</Lines>
  <Paragraphs>1</Paragraphs>
  <TotalTime>2</TotalTime>
  <ScaleCrop>false</ScaleCrop>
  <LinksUpToDate>false</LinksUpToDate>
  <CharactersWithSpaces>11122</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2023-09-22T02:56:00Z</dcterms:created>
  <dc:creator>Administrator</dc:creator>
  <cp:lastModifiedBy>Administrator</cp:lastModifiedBy>
  <dcterms:modified xsi:type="dcterms:W3CDTF">2023-09-22T02:58:51Z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8BB2721DDD504DF3B184E0DD718D2CC7_11</vt:lpwstr>
  </property>
</Properties>
</file>