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bookmarkStart w:id="0" w:name="_GoBack"/>
      <w:bookmarkEnd w:id="0"/>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eastAsia="zh-CN"/>
        </w:rPr>
        <w:t>冷水滩区扶贫开发办公室202</w:t>
      </w:r>
      <w:r>
        <w:rPr>
          <w:rFonts w:hint="eastAsia" w:ascii="方正小标宋简体" w:eastAsia="方正小标宋简体"/>
          <w:color w:val="000000"/>
          <w:kern w:val="0"/>
          <w:sz w:val="36"/>
          <w:szCs w:val="36"/>
          <w:lang w:val="en-US" w:eastAsia="zh-CN"/>
        </w:rPr>
        <w:t>1</w:t>
      </w:r>
      <w:r>
        <w:rPr>
          <w:rFonts w:hint="eastAsia" w:ascii="方正小标宋简体" w:eastAsia="方正小标宋简体"/>
          <w:color w:val="000000"/>
          <w:kern w:val="0"/>
          <w:sz w:val="36"/>
          <w:szCs w:val="36"/>
        </w:rPr>
        <w:t>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Times New Roman"/>
          <w:kern w:val="2"/>
          <w:sz w:val="32"/>
          <w:szCs w:val="32"/>
          <w:lang w:val="en-US" w:eastAsia="zh-CN" w:bidi="ar-SA"/>
        </w:rPr>
        <w:t>贯彻执行扶贫开发法律、法规、规章和方针政策，负责全区扶贫开发工作的统筹协调、服务指导和监督管理工作，巩固拓展脱贫攻坚成果同乡村振兴有效衔接</w:t>
      </w:r>
      <w:r>
        <w:rPr>
          <w:rFonts w:hint="eastAsia" w:ascii="仿宋_GB2312" w:eastAsia="仿宋_GB2312" w:cs="Times New Roman"/>
          <w:kern w:val="2"/>
          <w:sz w:val="32"/>
          <w:szCs w:val="32"/>
          <w:lang w:val="en-US" w:eastAsia="zh-CN" w:bidi="ar-SA"/>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部门机构设置：我办内</w:t>
      </w:r>
      <w:r>
        <w:rPr>
          <w:rFonts w:hint="eastAsia" w:ascii="仿宋_GB2312" w:eastAsia="仿宋_GB2312" w:cs="Times New Roman"/>
          <w:kern w:val="2"/>
          <w:sz w:val="32"/>
          <w:szCs w:val="32"/>
          <w:lang w:val="en-US" w:eastAsia="zh-CN" w:bidi="ar-SA"/>
        </w:rPr>
        <w:t>综合股</w:t>
      </w:r>
      <w:r>
        <w:rPr>
          <w:rFonts w:hint="eastAsia" w:ascii="仿宋_GB2312" w:hAnsi="宋体"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督察考核</w:t>
      </w:r>
      <w:r>
        <w:rPr>
          <w:rFonts w:hint="eastAsia" w:ascii="仿宋_GB2312" w:hAnsi="宋体" w:eastAsia="仿宋_GB2312" w:cs="Times New Roman"/>
          <w:kern w:val="2"/>
          <w:sz w:val="32"/>
          <w:szCs w:val="32"/>
          <w:lang w:val="en-US" w:eastAsia="zh-CN" w:bidi="ar-SA"/>
        </w:rPr>
        <w:t>股、</w:t>
      </w:r>
      <w:r>
        <w:rPr>
          <w:rFonts w:hint="eastAsia" w:ascii="仿宋_GB2312" w:eastAsia="仿宋_GB2312" w:cs="Times New Roman"/>
          <w:kern w:val="2"/>
          <w:sz w:val="32"/>
          <w:szCs w:val="32"/>
          <w:lang w:val="en-US" w:eastAsia="zh-CN" w:bidi="ar-SA"/>
        </w:rPr>
        <w:t>开发指导</w:t>
      </w:r>
      <w:r>
        <w:rPr>
          <w:rFonts w:hint="eastAsia" w:ascii="仿宋_GB2312" w:hAnsi="宋体" w:eastAsia="仿宋_GB2312" w:cs="Times New Roman"/>
          <w:kern w:val="2"/>
          <w:sz w:val="32"/>
          <w:szCs w:val="32"/>
          <w:lang w:val="en-US" w:eastAsia="zh-CN" w:bidi="ar-SA"/>
        </w:rPr>
        <w:t>股</w:t>
      </w:r>
      <w:r>
        <w:rPr>
          <w:rFonts w:hint="eastAsia" w:ascii="仿宋_GB2312" w:eastAsia="仿宋_GB2312" w:cs="Times New Roman"/>
          <w:kern w:val="2"/>
          <w:sz w:val="32"/>
          <w:szCs w:val="32"/>
          <w:lang w:val="en-US" w:eastAsia="zh-CN" w:bidi="ar-SA"/>
        </w:rPr>
        <w:t>、政策协调股、规划财务股。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eastAsia="仿宋_GB2312"/>
          <w:color w:val="000000"/>
          <w:kern w:val="0"/>
          <w:sz w:val="32"/>
          <w:szCs w:val="32"/>
        </w:rPr>
      </w:pPr>
      <w:r>
        <w:rPr>
          <w:rFonts w:hint="eastAsia" w:ascii="仿宋_GB2312" w:hAnsi="仿宋" w:eastAsia="仿宋_GB2312"/>
          <w:sz w:val="32"/>
          <w:szCs w:val="32"/>
        </w:rPr>
        <w:t>3．</w:t>
      </w:r>
      <w:r>
        <w:rPr>
          <w:rFonts w:hint="eastAsia" w:ascii="仿宋_GB2312" w:hAnsi="宋体" w:eastAsia="仿宋_GB2312" w:cs="Times New Roman"/>
          <w:kern w:val="2"/>
          <w:sz w:val="32"/>
          <w:szCs w:val="32"/>
          <w:lang w:val="en-US" w:eastAsia="zh-CN" w:bidi="ar-SA"/>
        </w:rPr>
        <w:t>人员编制情况：区扶贫办实有编制</w:t>
      </w:r>
      <w:r>
        <w:rPr>
          <w:rFonts w:hint="eastAsia" w:ascii="仿宋_GB2312" w:eastAsia="仿宋_GB2312" w:cs="Times New Roman"/>
          <w:kern w:val="2"/>
          <w:sz w:val="32"/>
          <w:szCs w:val="32"/>
          <w:lang w:val="en-US" w:eastAsia="zh-CN" w:bidi="ar-SA"/>
        </w:rPr>
        <w:t>6</w:t>
      </w:r>
      <w:r>
        <w:rPr>
          <w:rFonts w:hint="eastAsia" w:ascii="仿宋_GB2312" w:hAnsi="宋体" w:eastAsia="仿宋_GB2312" w:cs="Times New Roman"/>
          <w:kern w:val="2"/>
          <w:sz w:val="32"/>
          <w:szCs w:val="32"/>
          <w:lang w:val="en-US" w:eastAsia="zh-CN" w:bidi="ar-SA"/>
        </w:rPr>
        <w:t>人</w:t>
      </w:r>
      <w:r>
        <w:rPr>
          <w:rFonts w:hint="eastAsia" w:ascii="仿宋_GB2312"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en-US" w:eastAsia="zh-CN" w:bidi="ar-SA"/>
        </w:rPr>
        <w:t>在职编制1</w:t>
      </w:r>
      <w:r>
        <w:rPr>
          <w:rFonts w:hint="eastAsia" w:ascii="仿宋_GB2312"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val="en-US" w:eastAsia="zh-CN" w:bidi="ar-SA"/>
        </w:rPr>
        <w:t>人（其中正科级编制</w:t>
      </w:r>
      <w:r>
        <w:rPr>
          <w:rFonts w:hint="eastAsia" w:ascii="仿宋_GB2312"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en-US" w:eastAsia="zh-CN" w:bidi="ar-SA"/>
        </w:rPr>
        <w:t>人，副科级编制</w:t>
      </w:r>
      <w:r>
        <w:rPr>
          <w:rFonts w:hint="eastAsia" w:ascii="仿宋_GB2312" w:eastAsia="仿宋_GB2312" w:cs="Times New Roman"/>
          <w:kern w:val="2"/>
          <w:sz w:val="32"/>
          <w:szCs w:val="32"/>
          <w:lang w:val="en-US" w:eastAsia="zh-CN" w:bidi="ar-SA"/>
        </w:rPr>
        <w:t>5</w:t>
      </w:r>
      <w:r>
        <w:rPr>
          <w:rFonts w:hint="eastAsia" w:ascii="仿宋_GB2312" w:hAnsi="宋体" w:eastAsia="仿宋_GB2312" w:cs="Times New Roman"/>
          <w:kern w:val="2"/>
          <w:sz w:val="32"/>
          <w:szCs w:val="32"/>
          <w:lang w:val="en-US" w:eastAsia="zh-CN" w:bidi="ar-SA"/>
        </w:rPr>
        <w:t>人，事业单位管理人员编制4人，工勤人员编制3人）。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eastAsia="仿宋_GB2312"/>
          <w:color w:val="000000"/>
          <w:kern w:val="0"/>
          <w:sz w:val="32"/>
          <w:szCs w:val="32"/>
        </w:rPr>
        <w:t>（二）</w:t>
      </w:r>
      <w:r>
        <w:rPr>
          <w:rFonts w:hint="eastAsia" w:ascii="仿宋_GB2312" w:hAnsi="仿宋_GB2312" w:eastAsia="仿宋_GB2312" w:cs="仿宋_GB2312"/>
          <w:b w:val="0"/>
          <w:bCs w:val="0"/>
          <w:sz w:val="32"/>
          <w:szCs w:val="32"/>
          <w:lang w:val="en-US" w:eastAsia="zh-CN"/>
        </w:rPr>
        <w:t>2021年项目预算支出金额为4450.52万元，绩效目标为坚决把防止返贫作为巩固拓展脱贫攻坚成果同乡村振兴有效衔接的首要任务。</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eastAsia="仿宋_GB2312"/>
          <w:color w:val="000000"/>
          <w:kern w:val="0"/>
          <w:sz w:val="32"/>
          <w:szCs w:val="32"/>
        </w:rPr>
        <w:t>（一）</w:t>
      </w:r>
      <w:r>
        <w:rPr>
          <w:rFonts w:hint="eastAsia" w:eastAsia="仿宋_GB2312"/>
          <w:b/>
          <w:bCs/>
          <w:color w:val="000000"/>
          <w:kern w:val="0"/>
          <w:sz w:val="32"/>
          <w:szCs w:val="32"/>
        </w:rPr>
        <w:t>项目组织情况分析</w:t>
      </w:r>
      <w:r>
        <w:rPr>
          <w:rFonts w:hint="eastAsia" w:eastAsia="仿宋_GB2312"/>
          <w:b/>
          <w:bCs/>
          <w:color w:val="000000"/>
          <w:kern w:val="0"/>
          <w:sz w:val="32"/>
          <w:szCs w:val="32"/>
          <w:lang w:eastAsia="zh-CN"/>
        </w:rPr>
        <w:t>。</w:t>
      </w:r>
      <w:r>
        <w:rPr>
          <w:rFonts w:hint="eastAsia" w:ascii="仿宋_GB2312" w:hAnsi="仿宋_GB2312" w:eastAsia="仿宋_GB2312" w:cs="仿宋_GB2312"/>
          <w:b w:val="0"/>
          <w:bCs w:val="0"/>
          <w:sz w:val="32"/>
          <w:szCs w:val="32"/>
          <w:lang w:val="en-US" w:eastAsia="zh-CN"/>
        </w:rPr>
        <w:t>2021年共实施</w:t>
      </w:r>
      <w:r>
        <w:rPr>
          <w:rFonts w:hint="eastAsia" w:ascii="仿宋_GB2312" w:hAnsi="仿宋_GB2312" w:eastAsia="仿宋_GB2312" w:cs="仿宋_GB2312"/>
          <w:b w:val="0"/>
          <w:bCs w:val="0"/>
          <w:color w:val="auto"/>
          <w:sz w:val="32"/>
          <w:szCs w:val="32"/>
          <w:lang w:val="en-US" w:eastAsia="zh-CN"/>
        </w:rPr>
        <w:t>205</w:t>
      </w:r>
      <w:r>
        <w:rPr>
          <w:rFonts w:hint="eastAsia" w:ascii="仿宋_GB2312" w:hAnsi="仿宋_GB2312" w:eastAsia="仿宋_GB2312" w:cs="仿宋_GB2312"/>
          <w:b w:val="0"/>
          <w:bCs w:val="0"/>
          <w:sz w:val="32"/>
          <w:szCs w:val="32"/>
          <w:lang w:val="en-US" w:eastAsia="zh-CN"/>
        </w:rPr>
        <w:t>个项目，主要为产业发展、基础设施、三保障项目、防贫综合保险和雨露计划等，根据冷水滩区《关于加强财政专项扶贫资金管理的通知》 的文件精神，项目竣工验收主要由乡镇组织实施，由于资金拨付至乡镇，单个项目金额在30万以下未组织招投标。</w:t>
      </w:r>
    </w:p>
    <w:p>
      <w:pPr>
        <w:spacing w:line="620" w:lineRule="exact"/>
        <w:ind w:firstLine="640" w:firstLineChars="200"/>
        <w:rPr>
          <w:rFonts w:eastAsia="仿宋_GB2312"/>
          <w:color w:val="000000"/>
          <w:kern w:val="0"/>
          <w:sz w:val="32"/>
          <w:szCs w:val="32"/>
        </w:rPr>
      </w:pPr>
    </w:p>
    <w:p>
      <w:pPr>
        <w:keepNext w:val="0"/>
        <w:keepLines w:val="0"/>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b w:val="0"/>
          <w:bCs w:val="0"/>
          <w:sz w:val="32"/>
          <w:szCs w:val="32"/>
          <w:lang w:val="en-US" w:eastAsia="zh-CN"/>
        </w:rPr>
      </w:pPr>
      <w:r>
        <w:rPr>
          <w:rFonts w:hint="eastAsia" w:eastAsia="仿宋_GB2312"/>
          <w:color w:val="000000"/>
          <w:kern w:val="0"/>
          <w:sz w:val="32"/>
          <w:szCs w:val="32"/>
        </w:rPr>
        <w:t>（二）</w:t>
      </w:r>
      <w:r>
        <w:rPr>
          <w:rFonts w:hint="eastAsia" w:eastAsia="仿宋_GB2312"/>
          <w:b/>
          <w:bCs/>
          <w:color w:val="000000"/>
          <w:kern w:val="0"/>
          <w:sz w:val="32"/>
          <w:szCs w:val="32"/>
        </w:rPr>
        <w:t>项目管理情况分析</w:t>
      </w:r>
      <w:r>
        <w:rPr>
          <w:rFonts w:hint="eastAsia" w:eastAsia="仿宋_GB2312"/>
          <w:b/>
          <w:bCs/>
          <w:color w:val="000000"/>
          <w:kern w:val="0"/>
          <w:sz w:val="32"/>
          <w:szCs w:val="32"/>
          <w:lang w:eastAsia="zh-CN"/>
        </w:rPr>
        <w:t>。</w:t>
      </w:r>
      <w:r>
        <w:rPr>
          <w:rFonts w:hint="eastAsia" w:ascii="仿宋_GB2312" w:hAnsi="仿宋_GB2312" w:eastAsia="仿宋_GB2312" w:cs="仿宋_GB2312"/>
          <w:b w:val="0"/>
          <w:bCs w:val="0"/>
          <w:sz w:val="32"/>
          <w:szCs w:val="32"/>
          <w:lang w:val="en-US" w:eastAsia="zh-CN"/>
        </w:rPr>
        <w:t>严格按照《关于进一步加强财政专项扶贫项目验收管理的通知》（冷扶财联【2019】3号）文件执行。</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eastAsia="仿宋_GB2312"/>
          <w:color w:val="000000"/>
          <w:kern w:val="0"/>
          <w:sz w:val="32"/>
          <w:szCs w:val="32"/>
          <w:lang w:val="en-US"/>
        </w:rPr>
      </w:pPr>
      <w:r>
        <w:rPr>
          <w:rFonts w:hint="eastAsia" w:eastAsia="仿宋_GB2312"/>
          <w:color w:val="000000"/>
          <w:kern w:val="0"/>
          <w:sz w:val="32"/>
          <w:szCs w:val="32"/>
        </w:rPr>
        <w:t>（一</w:t>
      </w:r>
      <w:r>
        <w:rPr>
          <w:rFonts w:hint="eastAsia" w:eastAsia="仿宋_GB2312"/>
          <w:b/>
          <w:bCs/>
          <w:color w:val="000000"/>
          <w:kern w:val="0"/>
          <w:sz w:val="32"/>
          <w:szCs w:val="32"/>
        </w:rPr>
        <w:t>）项目资金（包括财政资金、自筹资金等）安排落实、总投入等情况分析</w:t>
      </w:r>
      <w:r>
        <w:rPr>
          <w:rFonts w:hint="eastAsia" w:eastAsia="仿宋_GB2312"/>
          <w:color w:val="000000"/>
          <w:kern w:val="0"/>
          <w:sz w:val="32"/>
          <w:szCs w:val="32"/>
        </w:rPr>
        <w:t>。</w:t>
      </w:r>
      <w:r>
        <w:rPr>
          <w:rFonts w:hint="eastAsia" w:ascii="仿宋_GB2312" w:hAnsi="仿宋_GB2312" w:eastAsia="仿宋_GB2312" w:cs="仿宋_GB2312"/>
          <w:b w:val="0"/>
          <w:bCs w:val="0"/>
          <w:sz w:val="32"/>
          <w:szCs w:val="32"/>
          <w:lang w:val="en-US" w:eastAsia="zh-CN"/>
        </w:rPr>
        <w:t>2021年预算安排总收入4450.52万元，总支出4450.52万元。</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rPr>
        <w:t>（二）</w:t>
      </w:r>
      <w:r>
        <w:rPr>
          <w:rFonts w:hint="eastAsia" w:eastAsia="仿宋_GB2312"/>
          <w:b/>
          <w:bCs/>
          <w:color w:val="000000"/>
          <w:kern w:val="0"/>
          <w:sz w:val="32"/>
          <w:szCs w:val="32"/>
        </w:rPr>
        <w:t>项目资金（主要是指财政资金）实际使用情况分析</w:t>
      </w:r>
      <w:r>
        <w:rPr>
          <w:rFonts w:hint="eastAsia" w:eastAsia="仿宋_GB2312"/>
          <w:color w:val="000000"/>
          <w:kern w:val="0"/>
          <w:sz w:val="32"/>
          <w:szCs w:val="32"/>
        </w:rPr>
        <w:t>。</w:t>
      </w:r>
      <w:r>
        <w:rPr>
          <w:rFonts w:hint="eastAsia" w:eastAsia="仿宋_GB2312"/>
          <w:color w:val="000000"/>
          <w:kern w:val="0"/>
          <w:sz w:val="32"/>
          <w:szCs w:val="32"/>
          <w:lang w:val="en-US" w:eastAsia="zh-CN"/>
        </w:rPr>
        <w:t>2021年项目资金使用4450.52万元，</w:t>
      </w:r>
      <w:r>
        <w:rPr>
          <w:rFonts w:hint="eastAsia" w:eastAsia="仿宋_GB2312"/>
          <w:color w:val="000000"/>
          <w:kern w:val="0"/>
          <w:sz w:val="32"/>
          <w:szCs w:val="32"/>
          <w:lang w:eastAsia="zh-CN"/>
        </w:rPr>
        <w:t>主要用于其它扶贫基出</w:t>
      </w:r>
      <w:r>
        <w:rPr>
          <w:rFonts w:hint="eastAsia" w:eastAsia="仿宋_GB2312"/>
          <w:color w:val="000000"/>
          <w:kern w:val="0"/>
          <w:sz w:val="32"/>
          <w:szCs w:val="32"/>
          <w:lang w:val="en-US" w:eastAsia="zh-CN"/>
        </w:rPr>
        <w:t>3336.52万元，农村基础设施建设支出1114万元。</w:t>
      </w:r>
    </w:p>
    <w:p>
      <w:pPr>
        <w:keepNext w:val="0"/>
        <w:keepLines w:val="0"/>
        <w:pageBreakBefore w:val="0"/>
        <w:kinsoku/>
        <w:wordWrap/>
        <w:overflowPunct/>
        <w:topLinePunct w:val="0"/>
        <w:bidi w:val="0"/>
        <w:spacing w:line="560" w:lineRule="exact"/>
        <w:ind w:firstLine="640" w:firstLineChars="200"/>
        <w:jc w:val="both"/>
        <w:rPr>
          <w:rFonts w:eastAsia="仿宋_GB2312"/>
          <w:color w:val="000000"/>
          <w:kern w:val="0"/>
          <w:sz w:val="32"/>
          <w:szCs w:val="32"/>
        </w:rPr>
      </w:pPr>
      <w:r>
        <w:rPr>
          <w:rFonts w:hint="eastAsia" w:eastAsia="仿宋_GB2312"/>
          <w:color w:val="000000"/>
          <w:kern w:val="0"/>
          <w:sz w:val="32"/>
          <w:szCs w:val="32"/>
        </w:rPr>
        <w:t>（三）</w:t>
      </w:r>
      <w:r>
        <w:rPr>
          <w:rFonts w:hint="eastAsia" w:eastAsia="仿宋_GB2312"/>
          <w:b/>
          <w:bCs/>
          <w:color w:val="000000"/>
          <w:kern w:val="0"/>
          <w:sz w:val="32"/>
          <w:szCs w:val="32"/>
        </w:rPr>
        <w:t>项目资金管理情况分析</w:t>
      </w:r>
      <w:r>
        <w:rPr>
          <w:rFonts w:hint="eastAsia" w:eastAsia="仿宋_GB2312"/>
          <w:b/>
          <w:bCs/>
          <w:color w:val="000000"/>
          <w:kern w:val="0"/>
          <w:sz w:val="32"/>
          <w:szCs w:val="32"/>
          <w:lang w:eastAsia="zh-CN"/>
        </w:rPr>
        <w:t>。</w:t>
      </w:r>
      <w:r>
        <w:rPr>
          <w:rFonts w:hint="eastAsia" w:eastAsia="仿宋_GB2312"/>
          <w:color w:val="000000"/>
          <w:kern w:val="0"/>
          <w:sz w:val="32"/>
          <w:szCs w:val="32"/>
          <w:lang w:eastAsia="zh-CN"/>
        </w:rPr>
        <w:t>根据省市要求，</w:t>
      </w:r>
      <w:r>
        <w:rPr>
          <w:rFonts w:hint="eastAsia" w:ascii="仿宋_GB2312" w:hAnsi="仿宋_GB2312" w:eastAsia="仿宋_GB2312" w:cs="仿宋_GB2312"/>
          <w:sz w:val="32"/>
          <w:szCs w:val="32"/>
        </w:rPr>
        <w:t>出台《冷水滩区财政衔接推进乡村振兴补助资金管理办法》</w:t>
      </w:r>
      <w:r>
        <w:rPr>
          <w:rFonts w:hint="eastAsia" w:ascii="仿宋_GB2312" w:hAnsi="仿宋_GB2312" w:eastAsia="仿宋_GB2312" w:cs="仿宋_GB2312"/>
          <w:sz w:val="32"/>
          <w:szCs w:val="32"/>
          <w:lang w:eastAsia="zh-CN"/>
        </w:rPr>
        <w:t>的通知（冷财农【</w:t>
      </w:r>
      <w:r>
        <w:rPr>
          <w:rFonts w:hint="eastAsia" w:ascii="仿宋_GB2312" w:hAnsi="仿宋_GB2312" w:eastAsia="仿宋_GB2312" w:cs="仿宋_GB2312"/>
          <w:sz w:val="32"/>
          <w:szCs w:val="32"/>
          <w:lang w:val="en-US" w:eastAsia="zh-CN"/>
        </w:rPr>
        <w:t>2021】7号）</w:t>
      </w:r>
      <w:r>
        <w:rPr>
          <w:rFonts w:hint="eastAsia" w:ascii="仿宋_GB2312" w:hAnsi="仿宋_GB2312" w:eastAsia="仿宋_GB2312" w:cs="仿宋_GB2312"/>
          <w:sz w:val="32"/>
          <w:szCs w:val="32"/>
        </w:rPr>
        <w:t>，并加强监督检查。我区无挤占、挪用、套取等违规违纪问题</w:t>
      </w:r>
      <w:r>
        <w:rPr>
          <w:rFonts w:hint="eastAsia" w:eastAsia="仿宋_GB2312"/>
          <w:color w:val="000000"/>
          <w:kern w:val="0"/>
          <w:sz w:val="32"/>
          <w:szCs w:val="32"/>
        </w:rPr>
        <w:t>。</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ind w:firstLine="640" w:firstLineChars="200"/>
        <w:rPr>
          <w:rFonts w:hint="eastAsia" w:ascii="仿宋_GB2312" w:hAnsi="仿宋" w:eastAsia="仿宋_GB2312" w:cs="宋体"/>
          <w:kern w:val="0"/>
          <w:sz w:val="32"/>
          <w:szCs w:val="32"/>
          <w:lang w:val="en-US" w:eastAsia="zh-CN" w:bidi="ar-SA"/>
        </w:rPr>
      </w:pPr>
      <w:r>
        <w:rPr>
          <w:rFonts w:hint="eastAsia" w:ascii="仿宋_GB2312" w:eastAsia="仿宋_GB2312"/>
          <w:sz w:val="32"/>
          <w:szCs w:val="32"/>
        </w:rPr>
        <w:t>（一）</w:t>
      </w:r>
      <w:r>
        <w:rPr>
          <w:rFonts w:hint="eastAsia" w:ascii="仿宋_GB2312" w:eastAsia="仿宋_GB2312"/>
          <w:b/>
          <w:bCs/>
          <w:sz w:val="32"/>
          <w:szCs w:val="32"/>
        </w:rPr>
        <w:t>产出指标完成情况分析</w:t>
      </w:r>
      <w:r>
        <w:rPr>
          <w:rFonts w:hint="eastAsia" w:ascii="仿宋_GB2312" w:eastAsia="仿宋_GB2312"/>
          <w:sz w:val="32"/>
          <w:szCs w:val="32"/>
        </w:rPr>
        <w:t>。</w:t>
      </w:r>
      <w:r>
        <w:rPr>
          <w:rFonts w:hint="eastAsia" w:ascii="仿宋_GB2312" w:eastAsia="仿宋_GB2312"/>
          <w:sz w:val="32"/>
          <w:szCs w:val="32"/>
          <w:lang w:eastAsia="zh-CN"/>
        </w:rPr>
        <w:t>产业项目：</w:t>
      </w:r>
      <w:r>
        <w:rPr>
          <w:rFonts w:hint="eastAsia" w:ascii="仿宋_GB2312" w:hAnsi="仿宋_GB2312" w:eastAsia="仿宋_GB2312" w:cs="仿宋_GB2312"/>
          <w:sz w:val="32"/>
          <w:szCs w:val="32"/>
          <w:lang w:val="en-US" w:eastAsia="zh-CN"/>
        </w:rPr>
        <w:t>全区已完成小额贷款365户1679万元，全面完成省定计划。基础设施项目：</w:t>
      </w:r>
      <w:r>
        <w:rPr>
          <w:rFonts w:hint="eastAsia" w:ascii="仿宋_GB2312" w:hAnsi="仿宋_GB2312" w:eastAsia="仿宋_GB2312" w:cs="仿宋_GB2312"/>
          <w:b w:val="0"/>
          <w:bCs w:val="0"/>
          <w:color w:val="auto"/>
          <w:sz w:val="32"/>
          <w:szCs w:val="32"/>
          <w:lang w:val="en-US" w:eastAsia="zh-CN"/>
        </w:rPr>
        <w:t>全年完成2021年农村危房改造任务206户。</w:t>
      </w:r>
      <w:r>
        <w:rPr>
          <w:rFonts w:hint="eastAsia" w:ascii="仿宋_GB2312" w:hAnsi="仿宋_GB2312" w:eastAsia="仿宋_GB2312" w:cs="仿宋_GB2312"/>
          <w:sz w:val="32"/>
          <w:szCs w:val="32"/>
          <w:lang w:val="en-US" w:eastAsia="zh-CN"/>
        </w:rPr>
        <w:t>三保障项目：</w:t>
      </w:r>
      <w:r>
        <w:rPr>
          <w:rFonts w:hint="eastAsia" w:ascii="仿宋_GB2312" w:eastAsia="仿宋_GB2312"/>
          <w:sz w:val="32"/>
          <w:szCs w:val="32"/>
        </w:rPr>
        <w:t>建立了</w:t>
      </w:r>
      <w:r>
        <w:rPr>
          <w:rFonts w:hint="eastAsia" w:ascii="仿宋_GB2312" w:eastAsia="仿宋_GB2312"/>
          <w:sz w:val="32"/>
          <w:szCs w:val="32"/>
          <w:lang w:val="en-US" w:eastAsia="zh-CN"/>
        </w:rPr>
        <w:t>全</w:t>
      </w:r>
      <w:r>
        <w:rPr>
          <w:rFonts w:hint="eastAsia" w:ascii="仿宋_GB2312" w:eastAsia="仿宋_GB2312"/>
          <w:sz w:val="32"/>
          <w:szCs w:val="32"/>
        </w:rPr>
        <w:t>区农</w:t>
      </w:r>
      <w:r>
        <w:rPr>
          <w:rFonts w:hint="eastAsia" w:ascii="仿宋_GB2312" w:eastAsia="仿宋_GB2312"/>
          <w:sz w:val="32"/>
          <w:szCs w:val="32"/>
          <w:lang w:val="en-US" w:eastAsia="zh-CN"/>
        </w:rPr>
        <w:t>村</w:t>
      </w:r>
      <w:r>
        <w:rPr>
          <w:rFonts w:hint="eastAsia" w:ascii="仿宋_GB2312" w:eastAsia="仿宋_GB2312"/>
          <w:sz w:val="32"/>
          <w:szCs w:val="32"/>
        </w:rPr>
        <w:t>饮水安全动态监测机制，确保动态监测“零死角、全覆盖”，及时消除农村饮水不安全因素57处</w:t>
      </w:r>
      <w:r>
        <w:rPr>
          <w:rFonts w:hint="eastAsia" w:ascii="仿宋_GB2312" w:hAnsi="仿宋_GB2312" w:eastAsia="仿宋_GB2312" w:cs="仿宋_GB2312"/>
          <w:sz w:val="32"/>
          <w:szCs w:val="32"/>
          <w:lang w:val="en-US" w:eastAsia="zh-CN"/>
        </w:rPr>
        <w:t>。“防贫综合险”。为全区已脱贫户、已标识的边缘易致贫户等5类人员共13528人每人每年60元购买“防贫综合保险”。</w:t>
      </w:r>
      <w:r>
        <w:rPr>
          <w:rFonts w:hint="eastAsia" w:ascii="仿宋_GB2312" w:hAnsi="仿宋_GB2312" w:eastAsia="仿宋_GB2312" w:cs="仿宋_GB2312"/>
          <w:b w:val="0"/>
          <w:bCs w:val="0"/>
          <w:sz w:val="32"/>
          <w:szCs w:val="32"/>
          <w:lang w:val="en-US" w:eastAsia="zh-CN"/>
        </w:rPr>
        <w:t>2021年发放春季“雨露计划”2153人次。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bCs/>
          <w:sz w:val="32"/>
          <w:szCs w:val="32"/>
        </w:rPr>
        <w:t>效益指标完成情况分析</w:t>
      </w:r>
      <w:r>
        <w:rPr>
          <w:rFonts w:hint="eastAsia" w:ascii="仿宋_GB2312" w:eastAsia="仿宋_GB2312"/>
          <w:sz w:val="32"/>
          <w:szCs w:val="32"/>
        </w:rPr>
        <w:t>。加强低收入人口动态监测与常态化救助帮扶</w:t>
      </w:r>
      <w:r>
        <w:rPr>
          <w:rFonts w:hint="eastAsia" w:ascii="仿宋_GB2312" w:eastAsia="仿宋_GB2312"/>
          <w:sz w:val="32"/>
          <w:szCs w:val="32"/>
          <w:lang w:eastAsia="zh-CN"/>
        </w:rPr>
        <w:t>。</w:t>
      </w:r>
      <w:r>
        <w:rPr>
          <w:rFonts w:hint="eastAsia" w:ascii="仿宋_GB2312" w:eastAsia="仿宋_GB2312"/>
          <w:sz w:val="32"/>
          <w:szCs w:val="32"/>
          <w:lang w:val="en-US" w:eastAsia="zh-CN"/>
        </w:rPr>
        <w:t>全面提高城乡低保救助水平。从2021年1月起，分别将农村低保、农村特困标准提高至375、488元，分别提高了40元和48元，从2020年11月起，城市低保，城市特困标准提高至570元、741元，分别提高了70元、91元。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（三）</w:t>
      </w:r>
      <w:r>
        <w:rPr>
          <w:rFonts w:hint="eastAsia" w:ascii="仿宋_GB2312" w:eastAsia="仿宋_GB2312"/>
          <w:b/>
          <w:bCs/>
          <w:sz w:val="32"/>
          <w:szCs w:val="32"/>
        </w:rPr>
        <w:t>满意度指标完成情况分析</w:t>
      </w:r>
      <w:r>
        <w:rPr>
          <w:rFonts w:hint="eastAsia" w:ascii="仿宋_GB2312" w:eastAsia="仿宋_GB2312"/>
          <w:sz w:val="32"/>
          <w:szCs w:val="32"/>
        </w:rPr>
        <w:t>。</w:t>
      </w:r>
      <w:r>
        <w:rPr>
          <w:rFonts w:hint="eastAsia" w:ascii="仿宋_GB2312" w:hAnsi="仿宋_GB2312" w:eastAsia="仿宋_GB2312" w:cs="仿宋_GB2312"/>
          <w:b w:val="0"/>
          <w:bCs w:val="0"/>
          <w:sz w:val="32"/>
          <w:szCs w:val="32"/>
          <w:lang w:val="en-US" w:eastAsia="zh-CN"/>
        </w:rPr>
        <w:t>根据省市脱贫成效考核，脱贫户的满意度均达95%以上。</w:t>
      </w:r>
    </w:p>
    <w:p>
      <w:pPr>
        <w:numPr>
          <w:ilvl w:val="0"/>
          <w:numId w:val="1"/>
        </w:numPr>
        <w:spacing w:line="540" w:lineRule="exact"/>
        <w:ind w:left="407" w:leftChars="0" w:firstLine="643" w:firstLineChars="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lang w:eastAsia="zh-CN"/>
        </w:rPr>
        <w:t>无</w:t>
      </w:r>
    </w:p>
    <w:p>
      <w:pPr>
        <w:numPr>
          <w:ilvl w:val="0"/>
          <w:numId w:val="1"/>
        </w:numPr>
        <w:spacing w:line="540" w:lineRule="exact"/>
        <w:ind w:left="407" w:leftChars="0" w:firstLine="643" w:firstLineChars="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eastAsia="zh-CN"/>
        </w:rPr>
        <w:t>自评得分</w:t>
      </w:r>
      <w:r>
        <w:rPr>
          <w:rFonts w:hint="eastAsia" w:eastAsia="仿宋_GB2312"/>
          <w:color w:val="000000"/>
          <w:kern w:val="0"/>
          <w:sz w:val="32"/>
          <w:szCs w:val="32"/>
          <w:lang w:val="en-US" w:eastAsia="zh-CN"/>
        </w:rPr>
        <w:t>98分，等级为优，已在冷水滩区政府网公开。</w:t>
      </w:r>
    </w:p>
    <w:p>
      <w:pPr>
        <w:numPr>
          <w:ilvl w:val="0"/>
          <w:numId w:val="1"/>
        </w:numPr>
        <w:spacing w:line="620" w:lineRule="exact"/>
        <w:ind w:left="407" w:leftChars="0" w:firstLine="643" w:firstLineChars="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无</w:t>
      </w:r>
    </w:p>
    <w:p>
      <w:pPr>
        <w:numPr>
          <w:ilvl w:val="0"/>
          <w:numId w:val="1"/>
        </w:numPr>
        <w:spacing w:line="540" w:lineRule="exact"/>
        <w:ind w:left="407" w:leftChars="0" w:firstLine="643" w:firstLineChars="0"/>
        <w:rPr>
          <w:rFonts w:hint="eastAsia" w:ascii="黑体" w:hAnsi="黑体" w:eastAsia="黑体" w:cs="黑体"/>
          <w:b/>
          <w:bCs/>
          <w:sz w:val="32"/>
          <w:szCs w:val="32"/>
        </w:rPr>
      </w:pPr>
      <w:r>
        <w:rPr>
          <w:rFonts w:hint="eastAsia" w:ascii="黑体" w:hAnsi="黑体" w:eastAsia="黑体" w:cs="黑体"/>
          <w:b/>
          <w:bCs/>
          <w:sz w:val="32"/>
          <w:szCs w:val="32"/>
        </w:rPr>
        <w:t>其他需说明的问题。</w:t>
      </w:r>
    </w:p>
    <w:p>
      <w:pPr>
        <w:numPr>
          <w:ilvl w:val="0"/>
          <w:numId w:val="0"/>
        </w:numPr>
        <w:spacing w:line="540" w:lineRule="exact"/>
        <w:ind w:firstLine="640" w:firstLineChars="200"/>
        <w:rPr>
          <w:rFonts w:hint="eastAsia" w:ascii="黑体" w:hAnsi="黑体" w:eastAsia="黑体" w:cs="黑体"/>
          <w:b/>
          <w:bCs/>
          <w:sz w:val="32"/>
          <w:szCs w:val="32"/>
          <w:lang w:eastAsia="zh-CN"/>
        </w:rPr>
      </w:pPr>
      <w:r>
        <w:rPr>
          <w:rFonts w:hint="eastAsia" w:eastAsia="仿宋_GB2312"/>
          <w:color w:val="000000"/>
          <w:kern w:val="0"/>
          <w:sz w:val="32"/>
          <w:szCs w:val="32"/>
          <w:lang w:val="en-US" w:eastAsia="zh-CN"/>
        </w:rPr>
        <w:t>无</w:t>
      </w:r>
    </w:p>
    <w:p>
      <w:pPr>
        <w:spacing w:line="560" w:lineRule="exact"/>
        <w:rPr>
          <w:kern w:val="0"/>
        </w:rPr>
      </w:pPr>
    </w:p>
    <w:p>
      <w:pPr>
        <w:spacing w:line="560" w:lineRule="exact"/>
        <w:rPr>
          <w:kern w:val="0"/>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4"/>
        <w:tblW w:w="10608" w:type="dxa"/>
        <w:jc w:val="center"/>
        <w:tblLayout w:type="fixed"/>
        <w:tblCellMar>
          <w:top w:w="0" w:type="dxa"/>
          <w:left w:w="108" w:type="dxa"/>
          <w:bottom w:w="0" w:type="dxa"/>
          <w:right w:w="108" w:type="dxa"/>
        </w:tblCellMar>
      </w:tblPr>
      <w:tblGrid>
        <w:gridCol w:w="656"/>
        <w:gridCol w:w="710"/>
        <w:gridCol w:w="1275"/>
        <w:gridCol w:w="3080"/>
        <w:gridCol w:w="4427"/>
        <w:gridCol w:w="460"/>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42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460"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42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60"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460"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460"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460"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460"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460"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460"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460"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460"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460"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460" w:type="dxa"/>
            <w:tcBorders>
              <w:top w:val="nil"/>
              <w:left w:val="nil"/>
              <w:bottom w:val="single" w:color="auto" w:sz="4" w:space="0"/>
              <w:right w:val="single" w:color="auto" w:sz="4" w:space="0"/>
            </w:tcBorders>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460"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7"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7"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460"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460"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460"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460"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460"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460"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460"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460"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460"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460"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460"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460"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460"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460"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460"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0"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460"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7"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460"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42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460"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6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6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46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42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460"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1014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460"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98</w:t>
            </w:r>
          </w:p>
        </w:tc>
      </w:tr>
    </w:tbl>
    <w:p>
      <w:pPr>
        <w:spacing w:line="560" w:lineRule="exact"/>
        <w:rPr>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67CB8"/>
    <w:multiLevelType w:val="singleLevel"/>
    <w:tmpl w:val="26167CB8"/>
    <w:lvl w:ilvl="0" w:tentative="0">
      <w:start w:val="5"/>
      <w:numFmt w:val="chineseCounting"/>
      <w:suff w:val="nothing"/>
      <w:lvlText w:val="%1、"/>
      <w:lvlJc w:val="left"/>
      <w:pPr>
        <w:ind w:left="40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007D3504"/>
    <w:rsid w:val="05870021"/>
    <w:rsid w:val="07D63B91"/>
    <w:rsid w:val="08922B8B"/>
    <w:rsid w:val="0DE05343"/>
    <w:rsid w:val="0FD418D3"/>
    <w:rsid w:val="10D75D0B"/>
    <w:rsid w:val="144156E9"/>
    <w:rsid w:val="184E60CC"/>
    <w:rsid w:val="1FDE2C12"/>
    <w:rsid w:val="20DB1E55"/>
    <w:rsid w:val="239408EC"/>
    <w:rsid w:val="26D7485F"/>
    <w:rsid w:val="287C56BE"/>
    <w:rsid w:val="28BC24C1"/>
    <w:rsid w:val="2CEC020C"/>
    <w:rsid w:val="2D285E15"/>
    <w:rsid w:val="3184324E"/>
    <w:rsid w:val="31FC517A"/>
    <w:rsid w:val="346F389C"/>
    <w:rsid w:val="387939C8"/>
    <w:rsid w:val="397938AA"/>
    <w:rsid w:val="40A92971"/>
    <w:rsid w:val="45702D18"/>
    <w:rsid w:val="469E6E1E"/>
    <w:rsid w:val="4B221C9D"/>
    <w:rsid w:val="4F4E35A4"/>
    <w:rsid w:val="4F8B1BBF"/>
    <w:rsid w:val="572949C1"/>
    <w:rsid w:val="5C106150"/>
    <w:rsid w:val="5E652175"/>
    <w:rsid w:val="5F567714"/>
    <w:rsid w:val="619E701F"/>
    <w:rsid w:val="61A14737"/>
    <w:rsid w:val="6BE81B70"/>
    <w:rsid w:val="721E646B"/>
    <w:rsid w:val="749D3FBF"/>
    <w:rsid w:val="79146DDD"/>
    <w:rsid w:val="7A470DF5"/>
    <w:rsid w:val="7DAF1184"/>
    <w:rsid w:val="7E411007"/>
    <w:rsid w:val="7E9E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1"/>
    <w:qFormat/>
    <w:uiPriority w:val="0"/>
    <w:pPr>
      <w:widowControl/>
      <w:textAlignment w:val="baseline"/>
    </w:pPr>
    <w:rPr>
      <w:rFonts w:ascii="仿宋_GB2312" w:hAnsi="仿宋_GB2312"/>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3686</Words>
  <Characters>3820</Characters>
  <Lines>0</Lines>
  <Paragraphs>0</Paragraphs>
  <TotalTime>0</TotalTime>
  <ScaleCrop>false</ScaleCrop>
  <LinksUpToDate>false</LinksUpToDate>
  <CharactersWithSpaces>3825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2022-08-18T02:26:00Z</dcterms:created>
  <dc:creator>Administrator</dc:creator>
  <cp:lastModifiedBy>东来</cp:lastModifiedBy>
  <dcterms:modified xsi:type="dcterms:W3CDTF">2023-11-14T02:01:52Z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97BFA84643D144E3B7736A32C51943E0</vt:lpwstr>
  </property>
</Properties>
</file>