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bookmarkStart w:id="3" w:name="_GoBack"/>
      <w:bookmarkEnd w:id="3"/>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color w:val="000000"/>
          <w:sz w:val="36"/>
          <w:szCs w:val="36"/>
        </w:rPr>
        <w:t>冷水滩区扶贫开发办公室2021</w:t>
      </w:r>
      <w:r>
        <w:rPr>
          <w:rFonts w:eastAsia="方正小标宋简体"/>
          <w:sz w:val="36"/>
          <w:szCs w:val="36"/>
        </w:rPr>
        <w:t>年度部门整体支出绩效自评报告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snapToGrid w:val="0"/>
        <w:spacing w:line="520" w:lineRule="exact"/>
        <w:ind w:firstLine="600" w:firstLineChars="200"/>
        <w:rPr>
          <w:rFonts w:ascii="宋体" w:hAnsi="宋体"/>
          <w:sz w:val="30"/>
          <w:szCs w:val="30"/>
        </w:rPr>
      </w:pPr>
      <w:r>
        <w:rPr>
          <w:rFonts w:ascii="宋体" w:hAnsi="宋体"/>
          <w:sz w:val="30"/>
          <w:szCs w:val="30"/>
        </w:rPr>
        <w:t>（一）部门基本情况。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ascii="仿宋_GB2312" w:hAnsi="仿宋" w:eastAsia="仿宋_GB2312"/>
          <w:sz w:val="32"/>
          <w:szCs w:val="32"/>
        </w:rPr>
      </w:pPr>
      <w:r>
        <w:rPr>
          <w:rFonts w:hint="eastAsia" w:ascii="仿宋_GB2312" w:hAnsi="宋体" w:eastAsia="仿宋_GB2312" w:cs="Times New Roman"/>
          <w:sz w:val="32"/>
          <w:szCs w:val="32"/>
        </w:rPr>
        <w:t>贯彻执行扶贫开发法律、法规、规章和方针政策，负责全区扶贫开发工作的统筹协调、服务指导和监督管理工作，</w:t>
      </w:r>
      <w:r>
        <w:rPr>
          <w:rFonts w:hint="eastAsia" w:ascii="仿宋_GB2312" w:hAnsi="宋体" w:eastAsia="仿宋_GB2312" w:cs="Times New Roman"/>
          <w:sz w:val="32"/>
          <w:szCs w:val="32"/>
          <w:lang w:eastAsia="zh-CN"/>
        </w:rPr>
        <w:t>巩固拓展脱贫攻坚成果同乡村振兴有效衔接</w:t>
      </w:r>
      <w:r>
        <w:rPr>
          <w:rFonts w:hint="eastAsia" w:ascii="仿宋_GB2312" w:eastAsia="仿宋_GB2312" w:cs="Times New Roman"/>
          <w:sz w:val="32"/>
          <w:szCs w:val="32"/>
        </w:rPr>
        <w:t>。</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2．机构情况。</w:t>
      </w:r>
    </w:p>
    <w:p>
      <w:pPr>
        <w:pStyle w:val="4"/>
        <w:spacing w:before="0" w:beforeAutospacing="0" w:after="0" w:afterAutospacing="0" w:line="520" w:lineRule="exact"/>
        <w:ind w:firstLine="640" w:firstLineChars="200"/>
        <w:rPr>
          <w:rFonts w:ascii="仿宋_GB2312" w:eastAsia="仿宋_GB2312" w:cs="Times New Roman"/>
          <w:kern w:val="2"/>
          <w:sz w:val="32"/>
          <w:szCs w:val="32"/>
        </w:rPr>
      </w:pPr>
      <w:r>
        <w:rPr>
          <w:rFonts w:hint="eastAsia" w:ascii="仿宋_GB2312" w:eastAsia="仿宋_GB2312" w:cs="Times New Roman"/>
          <w:kern w:val="2"/>
          <w:sz w:val="32"/>
          <w:szCs w:val="32"/>
        </w:rPr>
        <w:t>部门机构设置：我办内综合股、督察考核股、开发指导股、政策协调股、规划财务股。</w:t>
      </w:r>
    </w:p>
    <w:p>
      <w:pPr>
        <w:pStyle w:val="4"/>
        <w:spacing w:before="0" w:beforeAutospacing="0" w:after="0" w:afterAutospacing="0" w:line="520" w:lineRule="exact"/>
        <w:ind w:firstLine="640" w:firstLineChars="200"/>
        <w:rPr>
          <w:sz w:val="30"/>
          <w:szCs w:val="30"/>
        </w:rPr>
      </w:pPr>
      <w:r>
        <w:rPr>
          <w:rFonts w:hint="eastAsia" w:ascii="仿宋_GB2312" w:hAnsi="仿宋" w:eastAsia="仿宋_GB2312"/>
          <w:sz w:val="32"/>
          <w:szCs w:val="32"/>
        </w:rPr>
        <w:t>3．</w:t>
      </w:r>
      <w:r>
        <w:rPr>
          <w:rFonts w:hint="eastAsia" w:ascii="仿宋_GB2312" w:eastAsia="仿宋_GB2312" w:cs="Times New Roman"/>
          <w:kern w:val="2"/>
          <w:sz w:val="32"/>
          <w:szCs w:val="32"/>
        </w:rPr>
        <w:t>人员编制情况：区扶贫办实有编制6人，在职编制14人（其中正科级编制2人，副科级编制5人，事业单位管理人员编制4人，工勤人员编制3人）。</w:t>
      </w:r>
    </w:p>
    <w:p>
      <w:pPr>
        <w:ind w:firstLine="600" w:firstLineChars="200"/>
        <w:rPr>
          <w:rFonts w:ascii="宋体" w:hAnsi="宋体"/>
          <w:sz w:val="30"/>
          <w:szCs w:val="30"/>
        </w:rPr>
      </w:pPr>
      <w:r>
        <w:rPr>
          <w:rFonts w:ascii="宋体" w:hAnsi="宋体"/>
          <w:sz w:val="30"/>
          <w:szCs w:val="30"/>
        </w:rPr>
        <w:t>（二）</w:t>
      </w:r>
      <w:r>
        <w:rPr>
          <w:rFonts w:hint="eastAsia" w:ascii="仿宋_GB2312" w:hAnsi="仿宋" w:eastAsia="仿宋_GB2312"/>
          <w:sz w:val="32"/>
          <w:szCs w:val="32"/>
        </w:rPr>
        <w:t>2021年的重点工作</w:t>
      </w:r>
    </w:p>
    <w:p>
      <w:pPr>
        <w:ind w:firstLine="640" w:firstLineChars="200"/>
        <w:rPr>
          <w:rFonts w:ascii="宋体" w:hAnsi="宋体"/>
          <w:sz w:val="30"/>
          <w:szCs w:val="30"/>
        </w:rPr>
      </w:pPr>
      <w:r>
        <w:rPr>
          <w:rFonts w:hint="eastAsia" w:ascii="仿宋_GB2312" w:eastAsia="仿宋_GB2312" w:cs="Times New Roman"/>
          <w:bCs/>
          <w:kern w:val="0"/>
          <w:sz w:val="32"/>
          <w:szCs w:val="32"/>
          <w:shd w:val="clear" w:color="auto" w:fill="FFFFFF"/>
        </w:rPr>
        <w:t>全区深入推动巩固拓展脱贫攻坚成果同乡村振兴有效衔接，严格落实“四个不摘”的要求，完善三种机制（建立防止返贫监测和帮扶机制、产业扶贫“四选准四保障”机制、公益性岗位管理机制），持续深化产业帮扶和就业帮扶，按照“应保尽保、应兜尽兜”确保不出现一户一人返贫，脱贫人口收入增幅不低于全省水平。同时，打造一批脱贫攻坚与乡村振兴的试点。</w:t>
      </w:r>
      <w:r>
        <w:rPr>
          <w:rFonts w:hint="eastAsia" w:ascii="仿宋_GB2312" w:hAnsi="仿宋_GB2312" w:eastAsia="仿宋_GB2312" w:cs="仿宋_GB2312"/>
          <w:sz w:val="32"/>
          <w:szCs w:val="32"/>
        </w:rPr>
        <w:t>2021年2月25日，冷水滩区麦子园村荣获全国脱贫攻坚先进集体</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rPr>
        <w:t>一般公共预算</w:t>
      </w:r>
      <w:r>
        <w:rPr>
          <w:rFonts w:ascii="宋体" w:hAnsi="宋体"/>
          <w:b/>
          <w:sz w:val="30"/>
          <w:szCs w:val="30"/>
        </w:rPr>
        <w:t>支出情况</w:t>
      </w:r>
    </w:p>
    <w:p>
      <w:pPr>
        <w:snapToGrid w:val="0"/>
        <w:spacing w:line="520" w:lineRule="exact"/>
        <w:ind w:firstLine="600" w:firstLineChars="200"/>
        <w:rPr>
          <w:rFonts w:ascii="宋体" w:hAnsi="宋体"/>
          <w:sz w:val="30"/>
          <w:szCs w:val="30"/>
        </w:rPr>
      </w:pPr>
      <w:r>
        <w:rPr>
          <w:rFonts w:ascii="宋体" w:hAnsi="宋体"/>
          <w:sz w:val="30"/>
          <w:szCs w:val="30"/>
        </w:rPr>
        <w:t>（一）基本支出情况。</w:t>
      </w:r>
      <w:r>
        <w:rPr>
          <w:rFonts w:hint="eastAsia" w:ascii="仿宋_GB2312" w:hAnsi="仿宋" w:eastAsia="仿宋_GB2312" w:cs="宋体"/>
          <w:kern w:val="0"/>
          <w:sz w:val="32"/>
          <w:szCs w:val="32"/>
        </w:rPr>
        <w:t>2021年预算安排总支出160.99万元，其中工资福利支出119.53万元，一般商品和服务支出41.46万元。</w:t>
      </w:r>
    </w:p>
    <w:p>
      <w:pPr>
        <w:ind w:firstLine="600" w:firstLineChars="200"/>
        <w:rPr>
          <w:rFonts w:ascii="宋体" w:hAnsi="宋体"/>
          <w:sz w:val="30"/>
          <w:szCs w:val="30"/>
        </w:rPr>
      </w:pPr>
      <w:r>
        <w:rPr>
          <w:rFonts w:ascii="宋体" w:hAnsi="宋体"/>
          <w:sz w:val="30"/>
          <w:szCs w:val="30"/>
        </w:rPr>
        <w:t>（二）项目支出情况。</w:t>
      </w:r>
      <w:r>
        <w:rPr>
          <w:rFonts w:hint="eastAsia" w:ascii="宋体" w:hAnsi="宋体"/>
          <w:sz w:val="30"/>
          <w:szCs w:val="30"/>
        </w:rPr>
        <w:t>2021年预算安排总支出4450.52万元。</w:t>
      </w:r>
    </w:p>
    <w:p>
      <w:pPr>
        <w:pStyle w:val="7"/>
        <w:numPr>
          <w:ilvl w:val="0"/>
          <w:numId w:val="1"/>
        </w:numPr>
        <w:tabs>
          <w:tab w:val="left" w:pos="1538"/>
        </w:tabs>
        <w:spacing w:line="614" w:lineRule="exact"/>
        <w:ind w:firstLine="900"/>
        <w:jc w:val="left"/>
        <w:rPr>
          <w:rFonts w:ascii="黑体" w:hAnsi="黑体" w:eastAsia="黑体" w:cs="黑体"/>
          <w:color w:val="000000"/>
          <w:sz w:val="32"/>
          <w:szCs w:val="32"/>
        </w:rPr>
      </w:pPr>
      <w:r>
        <w:rPr>
          <w:rFonts w:hint="eastAsia" w:ascii="黑体" w:hAnsi="黑体" w:eastAsia="黑体" w:cs="黑体"/>
          <w:color w:val="000000"/>
          <w:sz w:val="32"/>
          <w:szCs w:val="32"/>
        </w:rPr>
        <w:t>政府性基金预算支出情况</w:t>
      </w:r>
    </w:p>
    <w:p>
      <w:pPr>
        <w:pStyle w:val="7"/>
        <w:tabs>
          <w:tab w:val="left" w:pos="1538"/>
        </w:tabs>
        <w:spacing w:line="614" w:lineRule="exact"/>
        <w:ind w:firstLine="900"/>
        <w:jc w:val="left"/>
        <w:rPr>
          <w:rFonts w:ascii="仿宋" w:hAnsi="仿宋" w:eastAsia="仿宋" w:cs="仿宋"/>
          <w:color w:val="000000"/>
          <w:sz w:val="32"/>
          <w:szCs w:val="32"/>
          <w:lang w:val="en-US" w:eastAsia="zh-CN"/>
        </w:rPr>
      </w:pPr>
      <w:bookmarkStart w:id="0" w:name="bookmark82"/>
      <w:r>
        <w:rPr>
          <w:rFonts w:hint="eastAsia" w:ascii="仿宋" w:hAnsi="仿宋" w:eastAsia="仿宋" w:cs="仿宋"/>
          <w:color w:val="000000"/>
          <w:sz w:val="32"/>
          <w:szCs w:val="32"/>
          <w:lang w:eastAsia="zh-CN"/>
        </w:rPr>
        <w:t>无</w:t>
      </w:r>
    </w:p>
    <w:p>
      <w:pPr>
        <w:pStyle w:val="7"/>
        <w:tabs>
          <w:tab w:val="left" w:pos="1538"/>
        </w:tabs>
        <w:spacing w:line="614" w:lineRule="exact"/>
        <w:ind w:firstLine="900"/>
        <w:jc w:val="left"/>
        <w:rPr>
          <w:rFonts w:ascii="黑体" w:hAnsi="黑体" w:eastAsia="黑体" w:cs="黑体"/>
          <w:color w:val="000000"/>
          <w:sz w:val="32"/>
          <w:szCs w:val="32"/>
        </w:rPr>
      </w:pPr>
      <w:r>
        <w:rPr>
          <w:rFonts w:hint="eastAsia" w:ascii="黑体" w:hAnsi="黑体" w:eastAsia="黑体" w:cs="黑体"/>
          <w:color w:val="000000"/>
          <w:sz w:val="32"/>
          <w:szCs w:val="32"/>
        </w:rPr>
        <w:t>四</w:t>
      </w:r>
      <w:bookmarkEnd w:id="0"/>
      <w:r>
        <w:rPr>
          <w:rFonts w:hint="eastAsia" w:ascii="黑体" w:hAnsi="黑体" w:eastAsia="黑体" w:cs="黑体"/>
          <w:color w:val="000000"/>
          <w:sz w:val="32"/>
          <w:szCs w:val="32"/>
        </w:rPr>
        <w:t>、国有资本经营预算支出情况</w:t>
      </w:r>
    </w:p>
    <w:p>
      <w:pPr>
        <w:pStyle w:val="7"/>
        <w:spacing w:line="614" w:lineRule="exact"/>
        <w:ind w:left="280" w:firstLine="660"/>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无</w:t>
      </w:r>
    </w:p>
    <w:p>
      <w:pPr>
        <w:pStyle w:val="7"/>
        <w:tabs>
          <w:tab w:val="left" w:pos="1538"/>
        </w:tabs>
        <w:spacing w:line="614" w:lineRule="exact"/>
        <w:ind w:firstLine="900"/>
        <w:jc w:val="left"/>
        <w:rPr>
          <w:rFonts w:ascii="黑体" w:hAnsi="黑体" w:eastAsia="黑体" w:cs="黑体"/>
          <w:color w:val="000000"/>
          <w:sz w:val="32"/>
          <w:szCs w:val="32"/>
        </w:rPr>
      </w:pPr>
      <w:bookmarkStart w:id="1" w:name="bookmark83"/>
      <w:r>
        <w:rPr>
          <w:rFonts w:hint="eastAsia" w:ascii="黑体" w:hAnsi="黑体" w:eastAsia="黑体" w:cs="黑体"/>
          <w:color w:val="000000"/>
          <w:sz w:val="32"/>
          <w:szCs w:val="32"/>
        </w:rPr>
        <w:t>五</w:t>
      </w:r>
      <w:bookmarkEnd w:id="1"/>
      <w:r>
        <w:rPr>
          <w:rFonts w:hint="eastAsia" w:ascii="黑体" w:hAnsi="黑体" w:eastAsia="黑体" w:cs="黑体"/>
          <w:color w:val="000000"/>
          <w:sz w:val="32"/>
          <w:szCs w:val="32"/>
        </w:rPr>
        <w:t>、社会保险基金预算支出情况</w:t>
      </w:r>
    </w:p>
    <w:p>
      <w:pPr>
        <w:pStyle w:val="7"/>
        <w:spacing w:line="614" w:lineRule="exact"/>
        <w:ind w:left="280" w:firstLine="660"/>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无</w:t>
      </w:r>
    </w:p>
    <w:p>
      <w:pPr>
        <w:pStyle w:val="7"/>
        <w:tabs>
          <w:tab w:val="left" w:pos="1538"/>
        </w:tabs>
        <w:spacing w:line="614" w:lineRule="exact"/>
        <w:ind w:firstLine="900"/>
        <w:jc w:val="left"/>
        <w:rPr>
          <w:rFonts w:ascii="黑体" w:hAnsi="黑体" w:eastAsia="黑体" w:cs="黑体"/>
          <w:sz w:val="32"/>
          <w:szCs w:val="32"/>
        </w:rPr>
      </w:pPr>
      <w:bookmarkStart w:id="2" w:name="bookmark84"/>
      <w:r>
        <w:rPr>
          <w:rFonts w:hint="eastAsia" w:ascii="黑体" w:hAnsi="黑体" w:eastAsia="黑体" w:cs="黑体"/>
          <w:color w:val="000000"/>
          <w:sz w:val="32"/>
          <w:szCs w:val="32"/>
        </w:rPr>
        <w:t>六</w:t>
      </w:r>
      <w:bookmarkEnd w:id="2"/>
      <w:r>
        <w:rPr>
          <w:rFonts w:hint="eastAsia" w:ascii="黑体" w:hAnsi="黑体" w:eastAsia="黑体" w:cs="黑体"/>
          <w:color w:val="000000"/>
          <w:sz w:val="32"/>
          <w:szCs w:val="32"/>
        </w:rPr>
        <w:t>、部门整体支出绩效情况</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一）做到在预算安排内保障单位职工工资福利发放，做到政务、程序、预决算公开，厉行节约，提高固定资产利用效率，提高办事效率，办事程序公开，办事实际操作性增强，加强专业性技术指导，减少纠纷矛盾发生。</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（二）</w:t>
      </w:r>
      <w:r>
        <w:rPr>
          <w:rFonts w:hint="eastAsia" w:ascii="仿宋_GB2312" w:hAnsi="仿宋_GB2312" w:eastAsia="仿宋_GB2312" w:cs="仿宋_GB2312"/>
          <w:sz w:val="32"/>
          <w:szCs w:val="32"/>
        </w:rPr>
        <w:t>全区已完成小额贷款365户1679万元，全面完成省定计划。②“防贫综合险”。为全区已脱贫户、已标识的边缘易致贫户等5类人员共13528人每人每年60元购买“防贫综合保险”。</w:t>
      </w:r>
      <w:r>
        <w:rPr>
          <w:rFonts w:ascii="仿宋_GB2312" w:hAnsi="仿宋_GB2312" w:eastAsia="仿宋_GB2312" w:cs="仿宋_GB2312"/>
          <w:sz w:val="32"/>
          <w:szCs w:val="32"/>
        </w:rPr>
        <w:t>③</w:t>
      </w:r>
      <w:r>
        <w:rPr>
          <w:rFonts w:hint="eastAsia" w:ascii="仿宋_GB2312" w:hAnsi="仿宋_GB2312" w:eastAsia="仿宋_GB2312" w:cs="仿宋_GB2312"/>
          <w:sz w:val="32"/>
          <w:szCs w:val="32"/>
        </w:rPr>
        <w:t>2021年发放春季“雨露计划”2153人次。</w:t>
      </w:r>
    </w:p>
    <w:p>
      <w:pPr>
        <w:numPr>
          <w:ilvl w:val="0"/>
          <w:numId w:val="2"/>
        </w:numPr>
        <w:ind w:firstLine="602" w:firstLineChars="200"/>
        <w:rPr>
          <w:rFonts w:ascii="宋体" w:hAnsi="宋体"/>
          <w:b/>
          <w:sz w:val="30"/>
          <w:szCs w:val="30"/>
        </w:rPr>
      </w:pPr>
      <w:r>
        <w:rPr>
          <w:rFonts w:hint="eastAsia" w:ascii="宋体" w:hAnsi="宋体"/>
          <w:b/>
          <w:sz w:val="30"/>
          <w:szCs w:val="30"/>
        </w:rPr>
        <w:t>绩效自评得分情况及绩效等级。</w:t>
      </w:r>
    </w:p>
    <w:p>
      <w:pPr>
        <w:ind w:firstLine="600" w:firstLineChars="200"/>
        <w:rPr>
          <w:rFonts w:ascii="宋体" w:hAnsi="宋体"/>
          <w:b/>
          <w:sz w:val="30"/>
          <w:szCs w:val="30"/>
        </w:rPr>
      </w:pPr>
      <w:r>
        <w:rPr>
          <w:rFonts w:hint="eastAsia" w:ascii="宋体" w:hAnsi="宋体"/>
          <w:bCs/>
          <w:sz w:val="30"/>
          <w:szCs w:val="30"/>
        </w:rPr>
        <w:t>自评得分98分、绩效等级：优</w:t>
      </w:r>
    </w:p>
    <w:p>
      <w:pPr>
        <w:numPr>
          <w:ilvl w:val="0"/>
          <w:numId w:val="2"/>
        </w:numPr>
        <w:ind w:firstLine="602" w:firstLineChars="200"/>
        <w:rPr>
          <w:rFonts w:ascii="宋体" w:hAnsi="宋体"/>
          <w:b/>
          <w:sz w:val="30"/>
          <w:szCs w:val="30"/>
        </w:rPr>
      </w:pPr>
      <w:r>
        <w:rPr>
          <w:rFonts w:ascii="宋体" w:hAnsi="宋体"/>
          <w:b/>
          <w:sz w:val="30"/>
          <w:szCs w:val="30"/>
        </w:rPr>
        <w:t>存在的问题</w:t>
      </w:r>
      <w:r>
        <w:rPr>
          <w:rFonts w:hint="eastAsia" w:ascii="宋体" w:hAnsi="宋体"/>
          <w:b/>
          <w:sz w:val="30"/>
          <w:szCs w:val="30"/>
        </w:rPr>
        <w:t>及原因分析</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1.绩效管理基础薄弱 </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对绩效管理的重要性认识不足，没有经常研究绩效管理目标，执行工作时又由于缺乏压力，管理松懈，不能实现统一协调，这导致绩效管理工作职能通常流于形式，不能保证绩效考评的质量，工作的积级性、主动性发挥不够。</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2.绩效管理体系不完善 </w:t>
      </w:r>
    </w:p>
    <w:p>
      <w:pPr>
        <w:ind w:firstLine="640" w:firstLineChars="200"/>
        <w:rPr>
          <w:rFonts w:ascii="宋体" w:hAnsi="宋体"/>
          <w:b/>
          <w:sz w:val="30"/>
          <w:szCs w:val="30"/>
        </w:rPr>
      </w:pPr>
      <w:r>
        <w:rPr>
          <w:rFonts w:hint="eastAsia" w:ascii="仿宋_GB2312" w:hAnsi="仿宋" w:eastAsia="仿宋_GB2312" w:cs="宋体"/>
          <w:kern w:val="0"/>
          <w:sz w:val="32"/>
          <w:szCs w:val="32"/>
        </w:rPr>
        <w:t>绩效管理有效运行必须以完善的绩效管理体系为平台，但是目前单位绩效管理并没有形成完备的系统，可操作性不强，考核过程中公平公正性、客观性难以得到保证，无法达到“奖优罚劣”的绩效管理目标。 　</w:t>
      </w:r>
    </w:p>
    <w:p>
      <w:pPr>
        <w:ind w:firstLine="602" w:firstLineChars="200"/>
        <w:rPr>
          <w:rFonts w:ascii="宋体" w:hAnsi="宋体"/>
          <w:b/>
          <w:sz w:val="30"/>
          <w:szCs w:val="30"/>
        </w:rPr>
      </w:pPr>
      <w:r>
        <w:rPr>
          <w:rFonts w:hint="eastAsia" w:ascii="宋体" w:hAnsi="宋体"/>
          <w:b/>
          <w:sz w:val="30"/>
          <w:szCs w:val="30"/>
        </w:rPr>
        <w:t>九</w:t>
      </w:r>
      <w:r>
        <w:rPr>
          <w:rFonts w:ascii="宋体" w:hAnsi="宋体"/>
          <w:b/>
          <w:sz w:val="30"/>
          <w:szCs w:val="30"/>
        </w:rPr>
        <w:t>、改进措施和有关建议</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1.深化对绩效管理工作的认识 </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绩效管理在单位管理中具有很重要的作用，应在单位内部加强宣传。主要领导应该做好表率作用，加强自身建设，提高管理能力，将绩效管理工作提到日常议事日程中，通过检查和督促，推动绩效管理工作的顺利开展。强化员干部职工竞争与风险意识，不断发挥干部职工工作积极性、创造性与能动性。只有在单位内部形成互动参与的良好局面，才能令绩效管理发挥作用，推动单位自身的改革与发展。 </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2.完善与健全绩效管理体系 </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合理有效的绩效管理能够优化岗位配置，实现人岗优化配置，职责明确，关键岗位重点考核，另一方面能实现“奖优惩劣”，奖励优秀员工，鞭策落后员工，增强竞争意识，切实培养干部职工的工作能力，提高事业单位整体工作绩效。</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3.重视反馈工作 </w:t>
      </w:r>
    </w:p>
    <w:p>
      <w:pPr>
        <w:ind w:firstLine="640" w:firstLineChars="200"/>
        <w:rPr>
          <w:rFonts w:ascii="宋体" w:hAnsi="宋体"/>
          <w:b/>
          <w:sz w:val="30"/>
          <w:szCs w:val="30"/>
        </w:rPr>
      </w:pPr>
      <w:r>
        <w:rPr>
          <w:rFonts w:hint="eastAsia" w:ascii="仿宋_GB2312" w:hAnsi="仿宋" w:eastAsia="仿宋_GB2312" w:cs="宋体"/>
          <w:kern w:val="0"/>
          <w:sz w:val="32"/>
          <w:szCs w:val="32"/>
        </w:rPr>
        <w:t>绩效考核工作不应该止于得到考核结果，单位应该重视绩效考核结果的处理与反馈。要对考核结果进行分析，找出工作中的不足，提出建设性的综合意见，并加强反馈环节，以此来指导以后的工作。绩效考核的结果还应与有效的薪酬激励计划相联系，绩效结果应作为薪资调整、岗位调整的重要参考依据，这能让绩效管理真正具有动力与激励作用，提高干部职员和组织整体的效率与效益。 </w:t>
      </w:r>
    </w:p>
    <w:p>
      <w:pPr>
        <w:numPr>
          <w:ilvl w:val="0"/>
          <w:numId w:val="3"/>
        </w:numPr>
        <w:ind w:firstLine="602" w:firstLineChars="200"/>
        <w:rPr>
          <w:rFonts w:ascii="宋体" w:hAnsi="宋体"/>
          <w:b/>
          <w:sz w:val="30"/>
          <w:szCs w:val="30"/>
        </w:rPr>
      </w:pPr>
      <w:r>
        <w:rPr>
          <w:rFonts w:hint="eastAsia" w:ascii="宋体" w:hAnsi="宋体"/>
          <w:b/>
          <w:sz w:val="30"/>
          <w:szCs w:val="30"/>
        </w:rPr>
        <w:t>其他需要说明的情况</w:t>
      </w:r>
    </w:p>
    <w:p>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无。</w:t>
      </w:r>
    </w:p>
    <w:p>
      <w:pPr>
        <w:ind w:firstLine="640" w:firstLineChars="200"/>
        <w:rPr>
          <w:rFonts w:ascii="仿宋_GB2312" w:hAnsi="仿宋" w:eastAsia="仿宋_GB2312" w:cs="宋体"/>
          <w:kern w:val="0"/>
          <w:sz w:val="32"/>
          <w:szCs w:val="32"/>
        </w:rPr>
      </w:pPr>
    </w:p>
    <w:p>
      <w:pPr>
        <w:ind w:firstLine="640" w:firstLineChars="200"/>
        <w:rPr>
          <w:rFonts w:ascii="仿宋_GB2312" w:hAnsi="仿宋" w:eastAsia="仿宋_GB2312" w:cs="宋体"/>
          <w:kern w:val="0"/>
          <w:sz w:val="32"/>
          <w:szCs w:val="32"/>
        </w:rPr>
      </w:pPr>
    </w:p>
    <w:p>
      <w:pPr>
        <w:ind w:firstLine="640" w:firstLineChars="200"/>
        <w:rPr>
          <w:rFonts w:ascii="仿宋_GB2312" w:hAnsi="仿宋" w:eastAsia="仿宋_GB2312" w:cs="宋体"/>
          <w:kern w:val="0"/>
          <w:sz w:val="32"/>
          <w:szCs w:val="32"/>
        </w:rPr>
      </w:pPr>
    </w:p>
    <w:p>
      <w:pPr>
        <w:ind w:firstLine="640" w:firstLineChars="200"/>
        <w:rPr>
          <w:rFonts w:ascii="仿宋_GB2312" w:hAnsi="仿宋" w:eastAsia="仿宋_GB2312" w:cs="宋体"/>
          <w:kern w:val="0"/>
          <w:sz w:val="32"/>
          <w:szCs w:val="32"/>
        </w:rPr>
      </w:pPr>
    </w:p>
    <w:p>
      <w:pPr>
        <w:ind w:firstLine="640" w:firstLineChars="200"/>
        <w:rPr>
          <w:rFonts w:ascii="仿宋_GB2312" w:hAnsi="仿宋" w:eastAsia="仿宋_GB2312" w:cs="宋体"/>
          <w:kern w:val="0"/>
          <w:sz w:val="32"/>
          <w:szCs w:val="32"/>
        </w:rPr>
      </w:pP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91"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308"/>
        <w:gridCol w:w="659"/>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30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65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308"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10</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6　</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8</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307"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659"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307"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659" w:type="dxa"/>
            <w:tcBorders>
              <w:top w:val="nil"/>
              <w:left w:val="nil"/>
              <w:bottom w:val="nil"/>
              <w:right w:val="single" w:color="auto" w:sz="4" w:space="0"/>
            </w:tcBorders>
            <w:vAlign w:val="center"/>
          </w:tcPr>
          <w:p>
            <w:pPr>
              <w:widowControl/>
              <w:jc w:val="left"/>
              <w:rPr>
                <w:kern w:val="0"/>
                <w:sz w:val="24"/>
              </w:rPr>
            </w:pPr>
            <w:r>
              <w:rPr>
                <w:rFonts w:hint="eastAsia"/>
                <w:kern w:val="0"/>
                <w:sz w:val="24"/>
              </w:rPr>
              <w:t>10　</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308"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659"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eastAsia="仿宋_GB2312"/>
                <w:kern w:val="0"/>
                <w:sz w:val="20"/>
                <w:szCs w:val="20"/>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eastAsia="仿宋_GB2312"/>
                <w:kern w:val="0"/>
                <w:sz w:val="20"/>
                <w:szCs w:val="20"/>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308"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659"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4</w:t>
            </w:r>
          </w:p>
        </w:tc>
      </w:tr>
      <w:tr>
        <w:tblPrEx>
          <w:tblCellMar>
            <w:top w:w="0" w:type="dxa"/>
            <w:left w:w="108" w:type="dxa"/>
            <w:bottom w:w="0" w:type="dxa"/>
            <w:right w:w="108" w:type="dxa"/>
          </w:tblCellMar>
        </w:tblPrEx>
        <w:trPr>
          <w:trHeight w:val="450" w:hRule="atLeast"/>
          <w:jc w:val="center"/>
        </w:trPr>
        <w:tc>
          <w:tcPr>
            <w:tcW w:w="10032"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659"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98</w:t>
            </w:r>
          </w:p>
        </w:tc>
      </w:tr>
    </w:tbl>
    <w:p>
      <w:pPr>
        <w:rPr>
          <w:rFonts w:ascii="仿宋" w:hAnsi="仿宋" w:eastAsia="仿宋" w:cs="Times New Roman"/>
        </w:rPr>
      </w:pPr>
    </w:p>
    <w:p/>
    <w:p>
      <w:pPr>
        <w:ind w:firstLine="640" w:firstLineChars="200"/>
        <w:rPr>
          <w:rFonts w:ascii="仿宋_GB2312" w:hAnsi="仿宋" w:eastAsia="仿宋_GB2312"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
    <w:panose1 w:val="00000000000000000000"/>
    <w:charset w:val="86"/>
    <w:family w:val="auto"/>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09E26"/>
    <w:multiLevelType w:val="singleLevel"/>
    <w:tmpl w:val="C0909E26"/>
    <w:lvl w:ilvl="0" w:tentative="0">
      <w:start w:val="7"/>
      <w:numFmt w:val="chineseCounting"/>
      <w:suff w:val="nothing"/>
      <w:lvlText w:val="%1、"/>
      <w:lvlJc w:val="left"/>
      <w:rPr>
        <w:rFonts w:hint="eastAsia"/>
      </w:rPr>
    </w:lvl>
  </w:abstractNum>
  <w:abstractNum w:abstractNumId="1">
    <w:nsid w:val="31158185"/>
    <w:multiLevelType w:val="singleLevel"/>
    <w:tmpl w:val="31158185"/>
    <w:lvl w:ilvl="0" w:tentative="0">
      <w:start w:val="10"/>
      <w:numFmt w:val="chineseCounting"/>
      <w:suff w:val="nothing"/>
      <w:lvlText w:val="%1、"/>
      <w:lvlJc w:val="left"/>
      <w:rPr>
        <w:rFonts w:hint="eastAsia"/>
      </w:rPr>
    </w:lvl>
  </w:abstractNum>
  <w:abstractNum w:abstractNumId="2">
    <w:nsid w:val="5A6FB2B4"/>
    <w:multiLevelType w:val="singleLevel"/>
    <w:tmpl w:val="5A6FB2B4"/>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2121CD"/>
    <w:rsid w:val="002121CD"/>
    <w:rsid w:val="00637AE0"/>
    <w:rsid w:val="00905F5F"/>
    <w:rsid w:val="00944DCF"/>
    <w:rsid w:val="00972619"/>
    <w:rsid w:val="03E272F9"/>
    <w:rsid w:val="12CD3501"/>
    <w:rsid w:val="198C2899"/>
    <w:rsid w:val="1A311190"/>
    <w:rsid w:val="44645273"/>
    <w:rsid w:val="47CD451D"/>
    <w:rsid w:val="47D20AA7"/>
    <w:rsid w:val="4C2C47D8"/>
    <w:rsid w:val="5D2C0042"/>
    <w:rsid w:val="5DAB4715"/>
    <w:rsid w:val="5E127323"/>
    <w:rsid w:val="5E1D07CE"/>
    <w:rsid w:val="679F4555"/>
    <w:rsid w:val="72256C93"/>
    <w:rsid w:val="72EB7C79"/>
    <w:rsid w:val="73416DCB"/>
    <w:rsid w:val="735D7A75"/>
    <w:rsid w:val="76AF1D88"/>
    <w:rsid w:val="77C8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line="398"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3091</Words>
  <Characters>3273</Characters>
  <Lines>27</Lines>
  <Paragraphs>7</Paragraphs>
  <TotalTime>4</TotalTime>
  <ScaleCrop>false</ScaleCrop>
  <LinksUpToDate>false</LinksUpToDate>
  <CharactersWithSpaces>3576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2022-08-18T02:28:00Z</dcterms:created>
  <dc:creator>Administrator</dc:creator>
  <cp:lastModifiedBy>东来</cp:lastModifiedBy>
  <cp:lastPrinted>2022-08-23T01:36:00Z</cp:lastPrinted>
  <dcterms:modified xsi:type="dcterms:W3CDTF">2023-11-14T01:57:51Z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D1894CF44E794582BBF36BAD16FE4572</vt:lpwstr>
  </property>
</Properties>
</file>