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color w:val="000000"/>
          <w:kern w:val="0"/>
          <w:sz w:val="44"/>
          <w:szCs w:val="44"/>
        </w:rPr>
      </w:pPr>
      <w:bookmarkStart w:id="0" w:name="_GoBack"/>
      <w:bookmarkEnd w:id="0"/>
      <w:r>
        <w:rPr>
          <w:rFonts w:hint="eastAsia" w:ascii="方正小标宋简体" w:eastAsia="方正小标宋简体"/>
          <w:color w:val="000000"/>
          <w:kern w:val="0"/>
          <w:sz w:val="44"/>
          <w:szCs w:val="44"/>
        </w:rPr>
        <w:t>蔡市镇人民政府</w:t>
      </w:r>
    </w:p>
    <w:p>
      <w:pPr>
        <w:spacing w:line="62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2021年度专项（项目）资金绩效自评报告</w:t>
      </w:r>
    </w:p>
    <w:p>
      <w:pPr>
        <w:spacing w:line="600" w:lineRule="exact"/>
      </w:pPr>
    </w:p>
    <w:p>
      <w:pPr>
        <w:spacing w:line="560" w:lineRule="exact"/>
        <w:ind w:firstLine="643" w:firstLineChars="200"/>
        <w:rPr>
          <w:rFonts w:ascii="宋体" w:hAnsi="宋体"/>
          <w:b/>
          <w:color w:val="000000"/>
          <w:kern w:val="0"/>
          <w:sz w:val="32"/>
          <w:szCs w:val="32"/>
        </w:rPr>
      </w:pPr>
      <w:r>
        <w:rPr>
          <w:rFonts w:hint="eastAsia" w:ascii="宋体" w:hAnsi="宋体"/>
          <w:b/>
          <w:color w:val="000000"/>
          <w:kern w:val="0"/>
          <w:sz w:val="32"/>
          <w:szCs w:val="32"/>
        </w:rPr>
        <w:t>一、项目概况</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（一）项目单位主要职能</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1、贯彻执行党的路线方针政策和国家的法规法律落实向级党委政府的各项决议和决定。</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2、制定本镇行政区内的经济和社会发展规划、并组织实施。</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3、负责本镇党的组织、思想和作风建设，提高党组织的战斗力和凝聚力，充分发挥党员的先锋模范作用，负责做好管理权限范围内干部的日常管理工作。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4、负责强化本镇社会治安综合治理，加强信访和矛盾纠纷调处工作，建立和健全郡防群治网络，及时化解各类矛盾纠纷，维护街道和社会稳定。</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负责本镇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6、负责本镇退役军人事务，国防动员教育、民兵预备役等社会事务管理工作。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7、贯彻执行卫生健康和计划生育法律法规、政策，组织开展本镇卫生健康和计划生育工作。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8、充分发挥街道党工委的领导核心作用，保证和支持基层自治组织行使权职权，实行依法自治，充分发挥基层群众自治组织的自我教育，自我管理，自我建设，自我服务作用。</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9、负责本镇纪委监察、组织、人事、宣传、统战、人民武装、工会、共青团妇联、残联、科协等工作。承担人大和政协联络等相关工作。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10、完成区委、区人大、区政府、区政协交办的其他工作。</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（二）机构情况</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2021年本单位下设内设机构有：</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党政综合办公室（行政审批服务办公室，信访办公室），承担党工委、办事处日常事务，负责综合协调、督查考核、文秘信息、保密档案、重要会务及机关行政后勤管理等工作;负责工会、共青团、妇联等群众团体工作。负责行政审批制度改革，优化营商环境，政务公开和管理服务，电子政务、大数据管理，网格管理，信用体系建设等工作；负责接待来访群众，协调处理群众上访事项，办理群众来信，承办、督办、交办重要信访事项等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2、基层党建办公室。负责基层党的政治建设，组织建设，宣传工作，统战工作，党风廉政建设和反腐败工作。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经济发展办公室（农业农村和扶贫工作办公室），负责制定经济社会发展规划，负责产业发展，公共基础设施，商贸流通和农作物经济、水利建设与管理、扶贫开发、动物防疫等工作承担市场监管有关方面的指导协调职责。</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4、社会事务办公室（卫生健康办公室）。负责民政、社会保障、文化旅游、科技教育、卫生健康、民族宗教、退役军人、国防动员教育、民兵预备役等社会事务管理工作。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5、自然资源和生态环境办公室（农村房屋建设管理办公室）。指导实施国土资源、林政管理，造林绿化，生态环境保护等工作，组织协调环境污染事故与生态破坏事件查处。</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城市管理办公室（社会治安和应急管理办公室，社会治安综合治理中心）。负责本辖区内数学化城市管理、环境卫生、园林绿化等城市管理工作，配合有关部门开展市容市貌整治工作。负责社会治安综合治理、信访稳定等工作，指导协调民事纠纷调解处理和社区矫正工作;负责安全生产监管，防汛抗旱、减灾，抗震救灾，森林防火等工作。</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（三）人员情况</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2021年本单位年末行政编制数58名，其中领导班子职数9名，事业编制数33名。实有干部职工：在职人数58人，其中行政编25名，事业编33名。</w:t>
      </w:r>
    </w:p>
    <w:p>
      <w:pPr>
        <w:spacing w:line="560" w:lineRule="exact"/>
        <w:ind w:firstLine="640" w:firstLineChars="200"/>
        <w:rPr>
          <w:rFonts w:ascii="仿宋" w:hAnsi="仿宋" w:eastAsia="仿宋"/>
          <w:color w:val="000000"/>
          <w:kern w:val="0"/>
          <w:sz w:val="32"/>
          <w:szCs w:val="32"/>
        </w:rPr>
      </w:pPr>
      <w:r>
        <w:rPr>
          <w:rFonts w:hint="eastAsia" w:ascii="黑体" w:hAnsi="黑体" w:eastAsia="黑体"/>
          <w:color w:val="000000"/>
          <w:kern w:val="0"/>
          <w:sz w:val="32"/>
          <w:szCs w:val="32"/>
        </w:rPr>
        <w:t>（四）</w:t>
      </w:r>
      <w:r>
        <w:rPr>
          <w:rFonts w:hint="eastAsia" w:ascii="仿宋" w:hAnsi="仿宋" w:eastAsia="仿宋"/>
          <w:color w:val="000000"/>
          <w:kern w:val="0"/>
          <w:sz w:val="32"/>
          <w:szCs w:val="32"/>
        </w:rPr>
        <w:t>车辆编制及实有数为</w:t>
      </w:r>
      <w:r>
        <w:rPr>
          <w:rFonts w:ascii="仿宋" w:hAnsi="仿宋" w:eastAsia="仿宋"/>
          <w:color w:val="000000"/>
          <w:kern w:val="0"/>
          <w:sz w:val="32"/>
          <w:szCs w:val="32"/>
        </w:rPr>
        <w:t>1</w:t>
      </w:r>
      <w:r>
        <w:rPr>
          <w:rFonts w:hint="eastAsia" w:ascii="仿宋" w:hAnsi="仿宋" w:eastAsia="仿宋"/>
          <w:color w:val="000000"/>
          <w:kern w:val="0"/>
          <w:sz w:val="32"/>
          <w:szCs w:val="32"/>
        </w:rPr>
        <w:t>辆。</w:t>
      </w:r>
    </w:p>
    <w:p>
      <w:pPr>
        <w:spacing w:line="560" w:lineRule="exact"/>
        <w:ind w:firstLine="643" w:firstLineChars="200"/>
        <w:rPr>
          <w:rFonts w:ascii="宋体" w:hAnsi="宋体"/>
          <w:b/>
          <w:color w:val="000000"/>
          <w:kern w:val="0"/>
          <w:sz w:val="32"/>
          <w:szCs w:val="32"/>
        </w:rPr>
      </w:pPr>
      <w:r>
        <w:rPr>
          <w:rFonts w:hint="eastAsia" w:ascii="宋体" w:hAnsi="宋体"/>
          <w:b/>
          <w:color w:val="000000"/>
          <w:kern w:val="0"/>
          <w:sz w:val="32"/>
          <w:szCs w:val="32"/>
        </w:rPr>
        <w:t>二、项目组织实施情况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我镇严格按照财务制度，规范各项经费的开支，根据项目支出的性质、范围、用途，坚持专款专用，严禁挤占挪用；严格按照建设项目管理制度和日常检查监督管理施行招投标、调整、竣工验收等工作，并于2021年底前完成年度绩效目标。</w:t>
      </w:r>
    </w:p>
    <w:p>
      <w:pPr>
        <w:spacing w:line="560" w:lineRule="exact"/>
        <w:ind w:firstLine="643" w:firstLineChars="200"/>
        <w:rPr>
          <w:rFonts w:ascii="宋体" w:hAnsi="宋体"/>
          <w:b/>
          <w:color w:val="000000"/>
          <w:kern w:val="0"/>
          <w:sz w:val="32"/>
          <w:szCs w:val="32"/>
        </w:rPr>
      </w:pPr>
      <w:r>
        <w:rPr>
          <w:rFonts w:hint="eastAsia" w:ascii="宋体" w:hAnsi="宋体"/>
          <w:b/>
          <w:color w:val="000000"/>
          <w:kern w:val="0"/>
          <w:sz w:val="32"/>
          <w:szCs w:val="32"/>
        </w:rPr>
        <w:t>三、项目资金使用及管理情况</w:t>
      </w:r>
    </w:p>
    <w:p>
      <w:pPr>
        <w:spacing w:line="560" w:lineRule="exact"/>
        <w:ind w:firstLine="640" w:firstLineChars="200"/>
        <w:rPr>
          <w:rFonts w:ascii="宋体" w:hAnsi="宋体"/>
          <w:sz w:val="30"/>
          <w:szCs w:val="30"/>
        </w:rPr>
      </w:pPr>
      <w:r>
        <w:rPr>
          <w:rFonts w:hint="eastAsia" w:ascii="黑体" w:hAnsi="黑体" w:eastAsia="黑体"/>
          <w:color w:val="000000"/>
          <w:kern w:val="0"/>
          <w:sz w:val="32"/>
          <w:szCs w:val="32"/>
        </w:rPr>
        <w:t>（一）</w:t>
      </w:r>
      <w:r>
        <w:rPr>
          <w:rFonts w:hint="eastAsia" w:ascii="仿宋" w:hAnsi="仿宋" w:eastAsia="仿宋"/>
          <w:color w:val="000000"/>
          <w:kern w:val="0"/>
          <w:sz w:val="32"/>
          <w:szCs w:val="32"/>
        </w:rPr>
        <w:t>项目资金分步逐项落实，做到专款专用，项目支出总投入为286.67万元。</w:t>
      </w:r>
    </w:p>
    <w:p>
      <w:pPr>
        <w:spacing w:line="560" w:lineRule="exact"/>
        <w:ind w:firstLine="640" w:firstLineChars="200"/>
        <w:rPr>
          <w:rFonts w:ascii="仿宋" w:hAnsi="仿宋" w:eastAsia="仿宋"/>
          <w:color w:val="000000"/>
          <w:kern w:val="0"/>
          <w:sz w:val="32"/>
          <w:szCs w:val="32"/>
        </w:rPr>
      </w:pPr>
      <w:r>
        <w:rPr>
          <w:rFonts w:hint="eastAsia" w:ascii="黑体" w:hAnsi="黑体" w:eastAsia="黑体"/>
          <w:color w:val="000000"/>
          <w:kern w:val="0"/>
          <w:sz w:val="32"/>
          <w:szCs w:val="32"/>
        </w:rPr>
        <w:t>（二）</w:t>
      </w:r>
      <w:r>
        <w:rPr>
          <w:rFonts w:hint="eastAsia" w:ascii="仿宋" w:hAnsi="仿宋" w:eastAsia="仿宋"/>
          <w:color w:val="000000"/>
          <w:kern w:val="0"/>
          <w:sz w:val="32"/>
          <w:szCs w:val="32"/>
        </w:rPr>
        <w:t>项目资金按年度工作目标做好各专项资金使用计划，已全部执行到位，其实际使用情况为一般公共服务支出3.32万元（冷水滩区第七次全国人口普查“两员”补贴1.32万元，统计基层基础建设工作经费2万元）；教育支出6万元（乡镇&lt;街道&gt;学生防溺水工作经费6万元）；卫生健康支出0.6万元（新冠病毒疫苗工作开支经费0.6万元）；城乡社区支出10.4万元（人居环境卫生整治10.4万元）；农林水支出263.96万元（河长制管护经费15.2万元，扶贫工作队经费5.76万元，村级组织运转经费243万元）；灾害防治及应急管理支出2.39万元（县乡应急指挥综合平台建设经费2.39万元）。</w:t>
      </w:r>
    </w:p>
    <w:p>
      <w:pPr>
        <w:spacing w:line="560" w:lineRule="exact"/>
        <w:ind w:firstLine="640" w:firstLineChars="200"/>
        <w:rPr>
          <w:rFonts w:ascii="仿宋" w:hAnsi="仿宋" w:eastAsia="仿宋"/>
          <w:color w:val="000000"/>
          <w:kern w:val="0"/>
          <w:sz w:val="32"/>
          <w:szCs w:val="32"/>
        </w:rPr>
      </w:pPr>
      <w:r>
        <w:rPr>
          <w:rFonts w:hint="eastAsia" w:ascii="黑体" w:hAnsi="黑体" w:eastAsia="黑体"/>
          <w:color w:val="000000"/>
          <w:kern w:val="0"/>
          <w:sz w:val="32"/>
          <w:szCs w:val="32"/>
        </w:rPr>
        <w:t>（三）</w:t>
      </w:r>
      <w:r>
        <w:rPr>
          <w:rFonts w:hint="eastAsia" w:ascii="仿宋" w:hAnsi="仿宋" w:eastAsia="仿宋"/>
          <w:color w:val="000000"/>
          <w:kern w:val="0"/>
          <w:sz w:val="32"/>
          <w:szCs w:val="32"/>
        </w:rPr>
        <w:t>项目资金管理严格遵守相关管理制度、严格按照项目管理办法执行，以发挥项目（专项）资金的最大效益。</w:t>
      </w:r>
    </w:p>
    <w:p>
      <w:pPr>
        <w:spacing w:line="560" w:lineRule="exact"/>
        <w:ind w:firstLine="643" w:firstLineChars="200"/>
        <w:rPr>
          <w:rFonts w:ascii="宋体" w:hAnsi="宋体"/>
          <w:b/>
          <w:color w:val="000000"/>
          <w:kern w:val="0"/>
          <w:sz w:val="32"/>
          <w:szCs w:val="32"/>
        </w:rPr>
      </w:pPr>
      <w:r>
        <w:rPr>
          <w:rFonts w:hint="eastAsia" w:ascii="宋体" w:hAnsi="宋体"/>
          <w:b/>
          <w:color w:val="000000"/>
          <w:kern w:val="0"/>
          <w:sz w:val="32"/>
          <w:szCs w:val="32"/>
        </w:rPr>
        <w:t>四、项目绩效指标完成情况</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（一）项目经济性分析</w:t>
      </w:r>
    </w:p>
    <w:p>
      <w:pPr>
        <w:spacing w:line="560" w:lineRule="exact"/>
        <w:ind w:firstLine="640" w:firstLineChars="200"/>
        <w:rPr>
          <w:rFonts w:ascii="华文楷体" w:hAnsi="华文楷体" w:eastAsia="华文楷体"/>
          <w:color w:val="000000"/>
          <w:kern w:val="0"/>
          <w:sz w:val="32"/>
          <w:szCs w:val="32"/>
        </w:rPr>
      </w:pPr>
      <w:r>
        <w:rPr>
          <w:rFonts w:hint="eastAsia" w:ascii="华文楷体" w:hAnsi="华文楷体" w:eastAsia="华文楷体"/>
          <w:color w:val="000000"/>
          <w:kern w:val="0"/>
          <w:sz w:val="32"/>
          <w:szCs w:val="32"/>
        </w:rPr>
        <w:t>1、项目成本（预算）控制情况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本项目预算申报金额</w:t>
      </w:r>
      <w:r>
        <w:rPr>
          <w:rFonts w:ascii="仿宋" w:hAnsi="仿宋" w:eastAsia="仿宋"/>
          <w:color w:val="000000"/>
          <w:kern w:val="0"/>
          <w:sz w:val="32"/>
          <w:szCs w:val="32"/>
        </w:rPr>
        <w:t>2</w:t>
      </w:r>
      <w:r>
        <w:rPr>
          <w:rFonts w:hint="eastAsia" w:ascii="仿宋" w:hAnsi="仿宋" w:eastAsia="仿宋"/>
          <w:color w:val="000000"/>
          <w:kern w:val="0"/>
          <w:sz w:val="32"/>
          <w:szCs w:val="32"/>
        </w:rPr>
        <w:t>44万元，实际总投入为286.67万元，主要原因是重点项目增加，项目支出增加。</w:t>
      </w:r>
    </w:p>
    <w:p>
      <w:pPr>
        <w:spacing w:line="560" w:lineRule="exact"/>
        <w:ind w:firstLine="640" w:firstLineChars="200"/>
        <w:rPr>
          <w:rFonts w:ascii="华文楷体" w:hAnsi="华文楷体" w:eastAsia="华文楷体"/>
          <w:color w:val="000000"/>
          <w:kern w:val="0"/>
          <w:sz w:val="32"/>
          <w:szCs w:val="32"/>
        </w:rPr>
      </w:pPr>
      <w:r>
        <w:rPr>
          <w:rFonts w:hint="eastAsia" w:ascii="华文楷体" w:hAnsi="华文楷体" w:eastAsia="华文楷体"/>
          <w:color w:val="000000"/>
          <w:kern w:val="0"/>
          <w:sz w:val="32"/>
          <w:szCs w:val="32"/>
        </w:rPr>
        <w:t>2、项目成本（预算）节约情况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本项目本着节约的原则，除纪委经费、运转经费、村级运转经费外，没有增加其他经费。</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（二）项目的效率性分析</w:t>
      </w:r>
    </w:p>
    <w:p>
      <w:pPr>
        <w:spacing w:line="560" w:lineRule="exact"/>
        <w:ind w:firstLine="640" w:firstLineChars="200"/>
        <w:rPr>
          <w:rFonts w:ascii="华文楷体" w:hAnsi="华文楷体" w:eastAsia="华文楷体"/>
          <w:color w:val="000000"/>
          <w:kern w:val="0"/>
          <w:sz w:val="32"/>
          <w:szCs w:val="32"/>
        </w:rPr>
      </w:pPr>
      <w:r>
        <w:rPr>
          <w:rFonts w:hint="eastAsia" w:ascii="华文楷体" w:hAnsi="华文楷体" w:eastAsia="华文楷体"/>
          <w:color w:val="000000"/>
          <w:kern w:val="0"/>
          <w:sz w:val="32"/>
          <w:szCs w:val="32"/>
        </w:rPr>
        <w:t>（</w:t>
      </w:r>
      <w:r>
        <w:rPr>
          <w:rFonts w:ascii="华文楷体" w:hAnsi="华文楷体" w:eastAsia="华文楷体"/>
          <w:color w:val="000000"/>
          <w:kern w:val="0"/>
          <w:sz w:val="32"/>
          <w:szCs w:val="32"/>
        </w:rPr>
        <w:t>1</w:t>
      </w:r>
      <w:r>
        <w:rPr>
          <w:rFonts w:hint="eastAsia" w:ascii="华文楷体" w:hAnsi="华文楷体" w:eastAsia="华文楷体"/>
          <w:color w:val="000000"/>
          <w:kern w:val="0"/>
          <w:sz w:val="32"/>
          <w:szCs w:val="32"/>
        </w:rPr>
        <w:t>）项目的实施进度按照计划进行。</w:t>
      </w:r>
    </w:p>
    <w:p>
      <w:pPr>
        <w:spacing w:line="560" w:lineRule="exact"/>
        <w:ind w:firstLine="640" w:firstLineChars="200"/>
        <w:rPr>
          <w:rFonts w:ascii="华文楷体" w:hAnsi="华文楷体" w:eastAsia="华文楷体"/>
          <w:color w:val="000000"/>
          <w:kern w:val="0"/>
          <w:sz w:val="32"/>
          <w:szCs w:val="32"/>
        </w:rPr>
      </w:pPr>
      <w:r>
        <w:rPr>
          <w:rFonts w:hint="eastAsia" w:ascii="华文楷体" w:hAnsi="华文楷体" w:eastAsia="华文楷体"/>
          <w:color w:val="000000"/>
          <w:kern w:val="0"/>
          <w:sz w:val="32"/>
          <w:szCs w:val="32"/>
        </w:rPr>
        <w:t>（</w:t>
      </w:r>
      <w:r>
        <w:rPr>
          <w:rFonts w:ascii="华文楷体" w:hAnsi="华文楷体" w:eastAsia="华文楷体"/>
          <w:color w:val="000000"/>
          <w:kern w:val="0"/>
          <w:sz w:val="32"/>
          <w:szCs w:val="32"/>
        </w:rPr>
        <w:t>2</w:t>
      </w:r>
      <w:r>
        <w:rPr>
          <w:rFonts w:hint="eastAsia" w:ascii="华文楷体" w:hAnsi="华文楷体" w:eastAsia="华文楷体"/>
          <w:color w:val="000000"/>
          <w:kern w:val="0"/>
          <w:sz w:val="32"/>
          <w:szCs w:val="32"/>
        </w:rPr>
        <w:t>）项目的完成质量达到预期。</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（三）项目的有效性分析</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专项（项目）组织主要用于加强镇管理，改善镇面貌，提升镇品味，推进镇管理工作规范化、科学化、精细化、制度化。</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（四）项目的可持续性分析</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按年度工作目标做好各专项资金使用计划，分步逐项落实，做到专款专用，厉行节约，按时支付，发挥专项资金的最大效益。</w:t>
      </w:r>
    </w:p>
    <w:p>
      <w:pPr>
        <w:spacing w:line="560" w:lineRule="exact"/>
        <w:ind w:firstLine="643" w:firstLineChars="200"/>
        <w:rPr>
          <w:rFonts w:ascii="宋体" w:hAnsi="宋体" w:cs="黑体"/>
          <w:b/>
          <w:bCs/>
          <w:color w:val="000000"/>
          <w:kern w:val="0"/>
          <w:sz w:val="32"/>
          <w:szCs w:val="32"/>
        </w:rPr>
      </w:pPr>
      <w:r>
        <w:rPr>
          <w:rFonts w:hint="eastAsia" w:ascii="宋体" w:hAnsi="宋体" w:cs="黑体"/>
          <w:b/>
          <w:bCs/>
          <w:color w:val="000000"/>
          <w:kern w:val="0"/>
          <w:sz w:val="32"/>
          <w:szCs w:val="32"/>
        </w:rPr>
        <w:t>五、绩效目标未完成原因和下一步改进措施</w:t>
      </w:r>
    </w:p>
    <w:p>
      <w:pPr>
        <w:spacing w:line="560" w:lineRule="exact"/>
        <w:rPr>
          <w:rFonts w:ascii="黑体" w:hAnsi="黑体" w:eastAsia="黑体" w:cs="黑体"/>
          <w:b/>
          <w:bCs/>
          <w:sz w:val="32"/>
          <w:szCs w:val="32"/>
        </w:rPr>
      </w:pPr>
      <w:r>
        <w:rPr>
          <w:rFonts w:hint="eastAsia" w:ascii="仿宋" w:hAnsi="仿宋" w:eastAsia="仿宋" w:cs="黑体"/>
          <w:bCs/>
          <w:sz w:val="32"/>
          <w:szCs w:val="32"/>
        </w:rPr>
        <w:t xml:space="preserve">    无。</w:t>
      </w:r>
    </w:p>
    <w:p>
      <w:pPr>
        <w:spacing w:line="560" w:lineRule="exact"/>
        <w:ind w:firstLine="643" w:firstLineChars="200"/>
        <w:rPr>
          <w:rFonts w:ascii="宋体" w:hAnsi="宋体" w:cs="黑体"/>
          <w:b/>
          <w:bCs/>
          <w:color w:val="000000"/>
          <w:kern w:val="0"/>
          <w:sz w:val="32"/>
          <w:szCs w:val="32"/>
        </w:rPr>
      </w:pPr>
      <w:r>
        <w:rPr>
          <w:rFonts w:hint="eastAsia" w:ascii="宋体" w:hAnsi="宋体" w:cs="黑体"/>
          <w:b/>
          <w:bCs/>
          <w:color w:val="000000"/>
          <w:kern w:val="0"/>
          <w:sz w:val="32"/>
          <w:szCs w:val="32"/>
        </w:rPr>
        <w:t>六、绩效自评得分等级结果及拟应用和公开情况</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项目资金严格按照财务管理规定执行，大部分下拨及时，使用科目合理，程序合法，确保了项目的顺利完成。本项目综合考评得分为92分，评价等级确定为优。通过绩效自评结果，一是对指标完成好的工作在下一年度继续巩固和加强，对未完成好的指标深入剖析原因，找出症结，在以后工作中完善和改进；二是促进部门单位增强责任和效益观念，提高财政资金支出决策水平和管理水平。</w:t>
      </w:r>
    </w:p>
    <w:p>
      <w:pPr>
        <w:spacing w:line="560" w:lineRule="exact"/>
        <w:ind w:firstLine="643" w:firstLineChars="200"/>
        <w:rPr>
          <w:rFonts w:ascii="宋体" w:hAnsi="宋体" w:cs="黑体"/>
          <w:b/>
          <w:bCs/>
          <w:sz w:val="32"/>
          <w:szCs w:val="32"/>
        </w:rPr>
      </w:pPr>
      <w:r>
        <w:rPr>
          <w:rFonts w:hint="eastAsia" w:ascii="宋体" w:hAnsi="宋体" w:cs="黑体"/>
          <w:b/>
          <w:bCs/>
          <w:sz w:val="32"/>
          <w:szCs w:val="32"/>
        </w:rPr>
        <w:t>七、绩效自评工作的经验、问题和建议</w:t>
      </w:r>
    </w:p>
    <w:p>
      <w:pPr>
        <w:spacing w:line="560" w:lineRule="exact"/>
        <w:ind w:firstLine="640" w:firstLineChars="200"/>
        <w:rPr>
          <w:rFonts w:ascii="宋体" w:cs="黑体"/>
          <w:bCs/>
          <w:sz w:val="32"/>
          <w:szCs w:val="32"/>
        </w:rPr>
      </w:pPr>
      <w:r>
        <w:rPr>
          <w:rFonts w:hint="eastAsia" w:ascii="黑体" w:hAnsi="黑体" w:eastAsia="黑体" w:cs="黑体"/>
          <w:bCs/>
          <w:sz w:val="32"/>
          <w:szCs w:val="32"/>
        </w:rPr>
        <w:t>（一）项目实施的经验。</w:t>
      </w:r>
      <w:r>
        <w:rPr>
          <w:rFonts w:hint="eastAsia" w:ascii="仿宋" w:hAnsi="仿宋" w:eastAsia="仿宋" w:cs="黑体"/>
          <w:bCs/>
          <w:sz w:val="32"/>
          <w:szCs w:val="32"/>
        </w:rPr>
        <w:t>明确项目发展的方向，紧密结合区政府的中心工作及我镇的实际情况，资金专款专用，项目成果要能惠及民众，造福百姓；加强监督，整合各方资源，形成合力优势，提升项目实施的技术水平；对不能按要求组织实施，预期绩效目标较差的项目，及时进行协调和提出整改措施，确保项目实施工作正常运行。要不断加强学习和交流。</w:t>
      </w:r>
    </w:p>
    <w:p>
      <w:pPr>
        <w:spacing w:line="560" w:lineRule="exact"/>
        <w:ind w:firstLine="640" w:firstLineChars="200"/>
        <w:rPr>
          <w:rFonts w:ascii="宋体" w:cs="黑体"/>
          <w:bCs/>
          <w:sz w:val="32"/>
          <w:szCs w:val="32"/>
        </w:rPr>
      </w:pPr>
      <w:r>
        <w:rPr>
          <w:rFonts w:hint="eastAsia" w:ascii="黑体" w:hAnsi="黑体" w:eastAsia="黑体" w:cs="黑体"/>
          <w:bCs/>
          <w:sz w:val="32"/>
          <w:szCs w:val="32"/>
        </w:rPr>
        <w:t>（二）存在的问题。</w:t>
      </w:r>
      <w:r>
        <w:rPr>
          <w:rFonts w:hint="eastAsia" w:ascii="仿宋" w:hAnsi="仿宋" w:eastAsia="仿宋" w:cs="黑体"/>
          <w:bCs/>
          <w:sz w:val="32"/>
          <w:szCs w:val="32"/>
        </w:rPr>
        <w:t>专项资金来源渠道少，使得专项项目进展缓慢，不适应现代化城镇建设的新需求；资金压力大。另外，随着财务工作的不断细化，对单位财务人员的要求也不断提高，财务人员的业务水平需要更进一步的提高。</w:t>
      </w:r>
    </w:p>
    <w:p>
      <w:pPr>
        <w:spacing w:line="560" w:lineRule="exact"/>
        <w:ind w:firstLine="640" w:firstLineChars="200"/>
        <w:rPr>
          <w:rFonts w:ascii="黑体" w:hAnsi="黑体" w:eastAsia="黑体" w:cs="黑体"/>
          <w:b/>
          <w:bCs/>
          <w:sz w:val="32"/>
          <w:szCs w:val="32"/>
        </w:rPr>
      </w:pPr>
      <w:r>
        <w:rPr>
          <w:rFonts w:hint="eastAsia" w:ascii="黑体" w:hAnsi="黑体" w:eastAsia="黑体" w:cs="黑体"/>
          <w:bCs/>
          <w:sz w:val="32"/>
          <w:szCs w:val="32"/>
        </w:rPr>
        <w:t>（三）建议。</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1、拓宽资金来源渠道，增加基础设施建设投入。</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2、完善管理机制、提高责任意识，在财政资金的使用过程中，相关人员应做到及时发现风险隐患并予以纠正，确保资金支出实现预期目标，不造成资金浪费，进一步保障财政资金使用的规范化和效益化。</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3、人员变动频繁，对预算、决算理解不透彻，建议上级财政部门多加以指导，适当地组织学习培训。</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无。</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tbl>
      <w:tblPr>
        <w:tblStyle w:val="2"/>
        <w:tblW w:w="10874" w:type="dxa"/>
        <w:jc w:val="center"/>
        <w:tblLayout w:type="fixed"/>
        <w:tblCellMar>
          <w:top w:w="0" w:type="dxa"/>
          <w:left w:w="108" w:type="dxa"/>
          <w:bottom w:w="0" w:type="dxa"/>
          <w:right w:w="108" w:type="dxa"/>
        </w:tblCellMar>
      </w:tblPr>
      <w:tblGrid>
        <w:gridCol w:w="667"/>
        <w:gridCol w:w="710"/>
        <w:gridCol w:w="1275"/>
        <w:gridCol w:w="3119"/>
        <w:gridCol w:w="4536"/>
        <w:gridCol w:w="567"/>
      </w:tblGrid>
      <w:tr>
        <w:tblPrEx>
          <w:tblCellMar>
            <w:top w:w="0" w:type="dxa"/>
            <w:left w:w="108" w:type="dxa"/>
            <w:bottom w:w="0" w:type="dxa"/>
            <w:right w:w="108" w:type="dxa"/>
          </w:tblCellMar>
        </w:tblPrEx>
        <w:trPr>
          <w:tblHeader/>
          <w:jc w:val="center"/>
        </w:trPr>
        <w:tc>
          <w:tcPr>
            <w:tcW w:w="667"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11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3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67"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67"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1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3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67"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795"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trHeight w:val="77"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963"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trHeight w:val="811"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1236"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1262"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633" w:hRule="atLeast"/>
          <w:jc w:val="center"/>
        </w:trPr>
        <w:tc>
          <w:tcPr>
            <w:tcW w:w="667"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36" w:type="dxa"/>
            <w:vMerge w:val="restart"/>
            <w:tcBorders>
              <w:top w:val="nil"/>
              <w:left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p>
            <w:pPr>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36" w:type="dxa"/>
            <w:vMerge w:val="continue"/>
            <w:tcBorders>
              <w:left w:val="nil"/>
              <w:right w:val="single" w:color="auto" w:sz="4" w:space="0"/>
            </w:tcBorders>
            <w:vAlign w:val="center"/>
          </w:tcPr>
          <w:p>
            <w:pPr>
              <w:spacing w:line="280" w:lineRule="exact"/>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trHeight w:val="1079" w:hRule="atLeast"/>
          <w:jc w:val="center"/>
        </w:trPr>
        <w:tc>
          <w:tcPr>
            <w:tcW w:w="667"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36" w:type="dxa"/>
            <w:vMerge w:val="continue"/>
            <w:tcBorders>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36" w:type="dxa"/>
            <w:vMerge w:val="restart"/>
            <w:tcBorders>
              <w:top w:val="nil"/>
              <w:left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876" w:hRule="atLeast"/>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36" w:type="dxa"/>
            <w:vMerge w:val="restart"/>
            <w:tcBorders>
              <w:top w:val="nil"/>
              <w:left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5</w:t>
            </w:r>
          </w:p>
        </w:tc>
      </w:tr>
      <w:tr>
        <w:tblPrEx>
          <w:tblCellMar>
            <w:top w:w="0" w:type="dxa"/>
            <w:left w:w="108" w:type="dxa"/>
            <w:bottom w:w="0" w:type="dxa"/>
            <w:right w:w="108" w:type="dxa"/>
          </w:tblCellMar>
        </w:tblPrEx>
        <w:trPr>
          <w:trHeight w:val="757" w:hRule="atLeast"/>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36" w:type="dxa"/>
            <w:vMerge w:val="restart"/>
            <w:tcBorders>
              <w:top w:val="nil"/>
              <w:left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trHeight w:val="905" w:hRule="atLeast"/>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36" w:type="dxa"/>
            <w:vMerge w:val="restart"/>
            <w:tcBorders>
              <w:top w:val="nil"/>
              <w:left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trHeight w:val="970" w:hRule="atLeast"/>
          <w:jc w:val="center"/>
        </w:trPr>
        <w:tc>
          <w:tcPr>
            <w:tcW w:w="667"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36" w:type="dxa"/>
            <w:vMerge w:val="restart"/>
            <w:tcBorders>
              <w:top w:val="nil"/>
              <w:left w:val="nil"/>
              <w:right w:val="single" w:color="auto" w:sz="4" w:space="0"/>
            </w:tcBorders>
            <w:vAlign w:val="center"/>
          </w:tcPr>
          <w:p>
            <w:pPr>
              <w:widowControl/>
              <w:spacing w:line="240" w:lineRule="exact"/>
              <w:jc w:val="left"/>
              <w:rPr>
                <w:rFonts w:ascii="仿宋_GB2312" w:hAnsi="宋体" w:eastAsia="仿宋_GB2312"/>
                <w:color w:val="000000"/>
                <w:kern w:val="0"/>
                <w:sz w:val="20"/>
                <w:szCs w:val="20"/>
              </w:rPr>
            </w:pP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1493"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36" w:type="dxa"/>
            <w:vMerge w:val="restart"/>
            <w:tcBorders>
              <w:top w:val="nil"/>
              <w:left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1441" w:hRule="atLeas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36" w:type="dxa"/>
            <w:vMerge w:val="restart"/>
            <w:tcBorders>
              <w:top w:val="nil"/>
              <w:left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trHeight w:val="1901" w:hRule="exact"/>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119"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36" w:type="dxa"/>
            <w:vMerge w:val="restart"/>
            <w:tcBorders>
              <w:top w:val="nil"/>
              <w:left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p>
            <w:pP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right w:val="single" w:color="auto" w:sz="4" w:space="0"/>
            </w:tcBorders>
            <w:vAlign w:val="center"/>
          </w:tcPr>
          <w:p>
            <w:pPr>
              <w:rPr>
                <w:rFonts w:ascii="仿宋_GB2312" w:hAnsi="宋体" w:eastAsia="仿宋_GB2312"/>
                <w:color w:val="000000"/>
                <w:kern w:val="0"/>
                <w:sz w:val="20"/>
                <w:szCs w:val="20"/>
              </w:rPr>
            </w:pPr>
          </w:p>
        </w:tc>
        <w:tc>
          <w:tcPr>
            <w:tcW w:w="567" w:type="dxa"/>
            <w:tcBorders>
              <w:top w:val="nil"/>
              <w:left w:val="nil"/>
              <w:bottom w:val="nil"/>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1</w:t>
            </w:r>
          </w:p>
        </w:tc>
      </w:tr>
      <w:tr>
        <w:tblPrEx>
          <w:tblCellMar>
            <w:top w:w="0" w:type="dxa"/>
            <w:left w:w="108" w:type="dxa"/>
            <w:bottom w:w="0" w:type="dxa"/>
            <w:right w:w="108" w:type="dxa"/>
          </w:tblCellMar>
        </w:tblPrEx>
        <w:trPr>
          <w:trHeight w:val="14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1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36" w:type="dxa"/>
            <w:vMerge w:val="continue"/>
            <w:tcBorders>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center"/>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604"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755"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596"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916" w:hRule="atLeas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6</w:t>
            </w:r>
          </w:p>
        </w:tc>
      </w:tr>
      <w:tr>
        <w:tblPrEx>
          <w:tblCellMar>
            <w:top w:w="0" w:type="dxa"/>
            <w:left w:w="108" w:type="dxa"/>
            <w:bottom w:w="0" w:type="dxa"/>
            <w:right w:w="108" w:type="dxa"/>
          </w:tblCellMar>
        </w:tblPrEx>
        <w:trPr>
          <w:trHeight w:val="916" w:hRule="atLeast"/>
          <w:jc w:val="center"/>
        </w:trPr>
        <w:tc>
          <w:tcPr>
            <w:tcW w:w="1030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4"/>
              </w:rPr>
            </w:pPr>
            <w:r>
              <w:rPr>
                <w:rFonts w:hint="eastAsia" w:ascii="宋体"/>
                <w:color w:val="000000"/>
                <w:kern w:val="0"/>
                <w:sz w:val="24"/>
              </w:rPr>
              <w:t>92</w:t>
            </w:r>
          </w:p>
        </w:tc>
      </w:tr>
    </w:tbl>
    <w:p>
      <w:pPr>
        <w:rPr>
          <w:rFonts w:ascii="仿宋_GB2312" w:eastAsia="仿宋_GB2312"/>
          <w:color w:val="000000"/>
          <w:sz w:val="32"/>
        </w:rPr>
      </w:pPr>
    </w:p>
    <w:sectPr>
      <w:pgSz w:w="11906" w:h="16838"/>
      <w:pgMar w:top="2098" w:right="1474" w:bottom="1985" w:left="1588" w:header="851" w:footer="1021"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B0"/>
    <w:rsid w:val="00323B43"/>
    <w:rsid w:val="003D37D8"/>
    <w:rsid w:val="004358AB"/>
    <w:rsid w:val="008B7726"/>
    <w:rsid w:val="00B6792E"/>
    <w:rsid w:val="00C07BE3"/>
    <w:rsid w:val="00C95FB0"/>
    <w:rsid w:val="025D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Calibr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886</Words>
  <Characters>5055</Characters>
  <Lines>42</Lines>
  <Paragraphs>11</Paragraphs>
  <TotalTime>5</TotalTime>
  <ScaleCrop>false</ScaleCrop>
  <LinksUpToDate>false</LinksUpToDate>
  <CharactersWithSpaces>5930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2022-11-11T03:11:00Z</dcterms:created>
  <dc:creator>My</dc:creator>
  <cp:lastModifiedBy>东来</cp:lastModifiedBy>
  <dcterms:modified xsi:type="dcterms:W3CDTF">2023-09-22T11:45:31Z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CB59A988007B48D0BAA41329AF492677_13</vt:lpwstr>
  </property>
</Properties>
</file>