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hint="eastAsia" w:ascii="仿宋_GB2312" w:hAnsi="仿宋_GB2312" w:eastAsia="仿宋_GB2312" w:cs="仿宋_GB2312"/>
          <w:sz w:val="32"/>
          <w:szCs w:val="32"/>
        </w:rPr>
        <w:t>附件3</w:t>
      </w:r>
      <w:r>
        <w:rPr>
          <w:rFonts w:hint="eastAsia" w:eastAsia="仿宋_GB2312"/>
          <w:sz w:val="32"/>
          <w:szCs w:val="32"/>
        </w:rPr>
        <w:t>：</w:t>
      </w:r>
    </w:p>
    <w:p>
      <w:pPr>
        <w:jc w:val="center"/>
        <w:rPr>
          <w:rFonts w:eastAsia="方正小标宋简体"/>
          <w:sz w:val="36"/>
          <w:szCs w:val="36"/>
        </w:rPr>
      </w:pPr>
      <w:r>
        <w:rPr>
          <w:rFonts w:hint="eastAsia" w:ascii="方正小标宋简体" w:eastAsia="方正小标宋简体"/>
          <w:color w:val="000000"/>
          <w:sz w:val="36"/>
          <w:szCs w:val="36"/>
        </w:rPr>
        <w:t>2021</w:t>
      </w:r>
      <w:r>
        <w:rPr>
          <w:rFonts w:eastAsia="方正小标宋简体"/>
          <w:sz w:val="36"/>
          <w:szCs w:val="36"/>
        </w:rPr>
        <w:t>年度部门整体支出绩效自评报告</w:t>
      </w:r>
    </w:p>
    <w:p>
      <w:pPr>
        <w:ind w:firstLine="420" w:firstLineChars="200"/>
        <w:jc w:val="center"/>
      </w:pPr>
    </w:p>
    <w:p>
      <w:pPr>
        <w:ind w:firstLine="602" w:firstLineChars="200"/>
        <w:rPr>
          <w:rFonts w:ascii="宋体" w:hAnsi="宋体"/>
          <w:b/>
          <w:sz w:val="30"/>
          <w:szCs w:val="30"/>
        </w:rPr>
      </w:pPr>
      <w:r>
        <w:rPr>
          <w:rFonts w:ascii="宋体" w:hAnsi="宋体"/>
          <w:b/>
          <w:sz w:val="30"/>
          <w:szCs w:val="30"/>
        </w:rPr>
        <w:t>一、部门概况</w:t>
      </w:r>
    </w:p>
    <w:p>
      <w:pPr>
        <w:ind w:firstLine="600" w:firstLineChars="200"/>
        <w:rPr>
          <w:rFonts w:ascii="宋体" w:hAnsi="宋体"/>
          <w:sz w:val="30"/>
          <w:szCs w:val="30"/>
        </w:rPr>
      </w:pPr>
      <w:r>
        <w:rPr>
          <w:rFonts w:ascii="宋体" w:hAnsi="宋体"/>
          <w:sz w:val="30"/>
          <w:szCs w:val="30"/>
        </w:rPr>
        <w:t>（一）部门基本情况。</w:t>
      </w:r>
    </w:p>
    <w:p>
      <w:pPr>
        <w:ind w:firstLine="600" w:firstLineChars="200"/>
        <w:rPr>
          <w:rFonts w:hint="eastAsia" w:ascii="宋体" w:hAnsi="宋体"/>
          <w:sz w:val="30"/>
          <w:szCs w:val="30"/>
          <w:lang w:val="en-US" w:eastAsia="zh-CN"/>
        </w:rPr>
      </w:pPr>
      <w:r>
        <w:rPr>
          <w:rFonts w:hint="eastAsia" w:ascii="宋体" w:hAnsi="宋体"/>
          <w:sz w:val="30"/>
          <w:szCs w:val="30"/>
        </w:rPr>
        <w:t>1、机构设置：</w:t>
      </w:r>
      <w:r>
        <w:rPr>
          <w:rFonts w:hint="eastAsia" w:ascii="宋体" w:hAnsi="宋体"/>
          <w:sz w:val="30"/>
          <w:szCs w:val="30"/>
          <w:lang w:val="en-US" w:eastAsia="zh-CN"/>
        </w:rPr>
        <w:t>办公室、研究室、干部室、公务员一室、公务员二室、干部信息室、干部教育监督室、人才工作办公室、区委基层党建工作领导小组办公室、党员管理室、老干部工作室、区直机关党建工作室、区委非公有制经济组织和社会组织工作委员会办公室</w:t>
      </w:r>
      <w:r>
        <w:rPr>
          <w:rFonts w:hint="eastAsia" w:ascii="宋体" w:hAnsi="宋体"/>
          <w:sz w:val="30"/>
          <w:szCs w:val="30"/>
          <w:lang w:eastAsia="zh-Hans"/>
        </w:rPr>
        <w:t>。下设</w:t>
      </w:r>
      <w:r>
        <w:rPr>
          <w:rFonts w:hint="eastAsia" w:ascii="宋体" w:hAnsi="宋体"/>
          <w:sz w:val="30"/>
          <w:szCs w:val="30"/>
          <w:lang w:val="en-US" w:eastAsia="zh-CN"/>
        </w:rPr>
        <w:t>3</w:t>
      </w:r>
      <w:r>
        <w:rPr>
          <w:rFonts w:hint="eastAsia" w:ascii="宋体" w:hAnsi="宋体"/>
          <w:sz w:val="30"/>
          <w:szCs w:val="30"/>
        </w:rPr>
        <w:t>个直属</w:t>
      </w:r>
      <w:r>
        <w:rPr>
          <w:rFonts w:hint="eastAsia" w:ascii="宋体" w:hAnsi="宋体"/>
          <w:sz w:val="30"/>
          <w:szCs w:val="30"/>
          <w:lang w:eastAsia="zh-Hans"/>
        </w:rPr>
        <w:t>事业单位：</w:t>
      </w:r>
      <w:r>
        <w:rPr>
          <w:rFonts w:hint="eastAsia" w:ascii="宋体" w:hAnsi="宋体"/>
          <w:sz w:val="30"/>
          <w:szCs w:val="30"/>
        </w:rPr>
        <w:t>区</w:t>
      </w:r>
      <w:r>
        <w:rPr>
          <w:rFonts w:hint="eastAsia" w:ascii="宋体" w:hAnsi="宋体"/>
          <w:sz w:val="30"/>
          <w:szCs w:val="30"/>
          <w:lang w:eastAsia="zh-CN"/>
        </w:rPr>
        <w:t>党员教育</w:t>
      </w:r>
      <w:r>
        <w:rPr>
          <w:rFonts w:hint="eastAsia" w:ascii="宋体" w:hAnsi="宋体"/>
          <w:sz w:val="30"/>
          <w:szCs w:val="30"/>
        </w:rPr>
        <w:t>中心</w:t>
      </w:r>
      <w:r>
        <w:rPr>
          <w:rFonts w:hint="eastAsia" w:ascii="宋体" w:hAnsi="宋体"/>
          <w:sz w:val="30"/>
          <w:szCs w:val="30"/>
          <w:lang w:eastAsia="zh-CN"/>
        </w:rPr>
        <w:t>、区人才发展服务中心</w:t>
      </w:r>
      <w:r>
        <w:rPr>
          <w:rFonts w:hint="eastAsia" w:ascii="宋体" w:hAnsi="宋体"/>
          <w:sz w:val="30"/>
          <w:szCs w:val="30"/>
          <w:lang w:eastAsia="zh-Hans"/>
        </w:rPr>
        <w:t>和区</w:t>
      </w:r>
      <w:r>
        <w:rPr>
          <w:rFonts w:hint="eastAsia" w:ascii="宋体" w:hAnsi="宋体"/>
          <w:sz w:val="30"/>
          <w:szCs w:val="30"/>
          <w:lang w:eastAsia="zh-CN"/>
        </w:rPr>
        <w:t>老干部</w:t>
      </w:r>
      <w:r>
        <w:rPr>
          <w:rFonts w:hint="eastAsia" w:ascii="宋体" w:hAnsi="宋体"/>
          <w:sz w:val="30"/>
          <w:szCs w:val="30"/>
          <w:lang w:eastAsia="zh-Hans"/>
        </w:rPr>
        <w:t>服务中心</w:t>
      </w:r>
      <w:r>
        <w:rPr>
          <w:rFonts w:hint="eastAsia" w:ascii="宋体" w:hAnsi="宋体"/>
          <w:sz w:val="30"/>
          <w:szCs w:val="30"/>
          <w:lang w:val="en-US" w:eastAsia="zh-CN"/>
        </w:rPr>
        <w:t>。</w:t>
      </w:r>
    </w:p>
    <w:p>
      <w:pPr>
        <w:ind w:firstLine="600" w:firstLineChars="200"/>
        <w:rPr>
          <w:rFonts w:ascii="宋体" w:hAnsi="宋体"/>
          <w:sz w:val="30"/>
          <w:szCs w:val="30"/>
        </w:rPr>
      </w:pPr>
      <w:r>
        <w:rPr>
          <w:rFonts w:hint="eastAsia" w:ascii="宋体" w:hAnsi="宋体"/>
          <w:sz w:val="30"/>
          <w:szCs w:val="30"/>
        </w:rPr>
        <w:t>2、人员编制情况：行政编制</w:t>
      </w:r>
      <w:r>
        <w:rPr>
          <w:rFonts w:hint="eastAsia" w:ascii="宋体" w:hAnsi="宋体"/>
          <w:sz w:val="30"/>
          <w:szCs w:val="30"/>
          <w:lang w:val="en-US" w:eastAsia="zh-CN"/>
        </w:rPr>
        <w:t>26</w:t>
      </w:r>
      <w:r>
        <w:rPr>
          <w:rFonts w:hint="eastAsia" w:ascii="宋体" w:hAnsi="宋体"/>
          <w:sz w:val="30"/>
          <w:szCs w:val="30"/>
        </w:rPr>
        <w:t>名。</w:t>
      </w:r>
      <w:r>
        <w:rPr>
          <w:rFonts w:hint="eastAsia" w:ascii="宋体" w:hAnsi="宋体"/>
          <w:sz w:val="30"/>
          <w:szCs w:val="30"/>
          <w:lang w:val="en-US"/>
        </w:rPr>
        <w:t>年未实有人数3</w:t>
      </w:r>
      <w:r>
        <w:rPr>
          <w:rFonts w:hint="eastAsia" w:ascii="宋体" w:hAnsi="宋体"/>
          <w:sz w:val="30"/>
          <w:szCs w:val="30"/>
          <w:lang w:val="en-US" w:eastAsia="zh-CN"/>
        </w:rPr>
        <w:t>8</w:t>
      </w:r>
      <w:r>
        <w:rPr>
          <w:rFonts w:hint="eastAsia" w:ascii="宋体" w:hAnsi="宋体"/>
          <w:sz w:val="30"/>
          <w:szCs w:val="30"/>
          <w:lang w:val="en-US"/>
        </w:rPr>
        <w:t>人</w:t>
      </w:r>
      <w:r>
        <w:rPr>
          <w:rFonts w:hint="eastAsia" w:ascii="宋体" w:hAnsi="宋体"/>
          <w:sz w:val="30"/>
          <w:szCs w:val="30"/>
        </w:rPr>
        <w:t>领导职数：部长1名，副部长</w:t>
      </w:r>
      <w:r>
        <w:rPr>
          <w:rFonts w:hint="eastAsia" w:ascii="宋体" w:hAnsi="宋体"/>
          <w:sz w:val="30"/>
          <w:szCs w:val="30"/>
          <w:lang w:val="en-US" w:eastAsia="zh-CN"/>
        </w:rPr>
        <w:t>4</w:t>
      </w:r>
      <w:r>
        <w:rPr>
          <w:rFonts w:hint="eastAsia" w:ascii="宋体" w:hAnsi="宋体"/>
          <w:sz w:val="30"/>
          <w:szCs w:val="30"/>
        </w:rPr>
        <w:t>名，晋升副处级干部</w:t>
      </w:r>
      <w:r>
        <w:rPr>
          <w:rFonts w:hint="eastAsia" w:ascii="宋体" w:hAnsi="宋体"/>
          <w:sz w:val="30"/>
          <w:szCs w:val="30"/>
          <w:lang w:val="en-US" w:eastAsia="zh-CN"/>
        </w:rPr>
        <w:t>1</w:t>
      </w:r>
      <w:r>
        <w:rPr>
          <w:rFonts w:hint="eastAsia" w:ascii="宋体" w:hAnsi="宋体"/>
          <w:sz w:val="30"/>
          <w:szCs w:val="30"/>
        </w:rPr>
        <w:t>人，其他正副科级干部</w:t>
      </w:r>
      <w:r>
        <w:rPr>
          <w:rFonts w:hint="eastAsia" w:ascii="宋体" w:hAnsi="宋体"/>
          <w:sz w:val="30"/>
          <w:szCs w:val="30"/>
          <w:lang w:val="en-US" w:eastAsia="zh-CN"/>
        </w:rPr>
        <w:t>20</w:t>
      </w:r>
      <w:r>
        <w:rPr>
          <w:rFonts w:hint="eastAsia" w:ascii="宋体" w:hAnsi="宋体"/>
          <w:sz w:val="30"/>
          <w:szCs w:val="30"/>
        </w:rPr>
        <w:t>名，科员</w:t>
      </w:r>
      <w:r>
        <w:rPr>
          <w:rFonts w:hint="eastAsia" w:ascii="宋体" w:hAnsi="宋体"/>
          <w:sz w:val="30"/>
          <w:szCs w:val="30"/>
          <w:lang w:val="en-US" w:eastAsia="zh-CN"/>
        </w:rPr>
        <w:t>7</w:t>
      </w:r>
      <w:r>
        <w:rPr>
          <w:rFonts w:hint="eastAsia" w:ascii="宋体" w:hAnsi="宋体"/>
          <w:sz w:val="30"/>
          <w:szCs w:val="30"/>
        </w:rPr>
        <w:t>人</w:t>
      </w:r>
      <w:r>
        <w:rPr>
          <w:rFonts w:hint="eastAsia" w:ascii="宋体" w:hAnsi="宋体"/>
          <w:sz w:val="30"/>
          <w:szCs w:val="30"/>
          <w:lang w:eastAsia="zh-CN"/>
        </w:rPr>
        <w:t>，</w:t>
      </w:r>
      <w:r>
        <w:rPr>
          <w:rFonts w:hint="eastAsia" w:ascii="宋体" w:hAnsi="宋体"/>
          <w:sz w:val="30"/>
          <w:szCs w:val="30"/>
        </w:rPr>
        <w:t>机关后勤工作人员</w:t>
      </w:r>
      <w:r>
        <w:rPr>
          <w:rFonts w:hint="eastAsia" w:ascii="宋体" w:hAnsi="宋体"/>
          <w:sz w:val="30"/>
          <w:szCs w:val="30"/>
          <w:lang w:val="en-US" w:eastAsia="zh-CN"/>
        </w:rPr>
        <w:t>5</w:t>
      </w:r>
      <w:r>
        <w:rPr>
          <w:rFonts w:hint="eastAsia" w:ascii="宋体" w:hAnsi="宋体"/>
          <w:sz w:val="30"/>
          <w:szCs w:val="30"/>
        </w:rPr>
        <w:t>名</w:t>
      </w:r>
      <w:r>
        <w:rPr>
          <w:rFonts w:hint="eastAsia" w:ascii="宋体" w:hAnsi="宋体"/>
          <w:sz w:val="30"/>
          <w:szCs w:val="30"/>
          <w:lang w:eastAsia="zh-CN"/>
        </w:rPr>
        <w:t>，</w:t>
      </w:r>
      <w:r>
        <w:rPr>
          <w:rFonts w:hint="eastAsia" w:ascii="宋体" w:hAnsi="宋体"/>
          <w:sz w:val="30"/>
          <w:szCs w:val="30"/>
        </w:rPr>
        <w:t>退休人员</w:t>
      </w:r>
      <w:r>
        <w:rPr>
          <w:rFonts w:hint="eastAsia" w:ascii="宋体" w:hAnsi="宋体"/>
          <w:sz w:val="30"/>
          <w:szCs w:val="30"/>
          <w:lang w:val="en-US" w:eastAsia="zh-CN"/>
        </w:rPr>
        <w:t>13</w:t>
      </w:r>
      <w:r>
        <w:rPr>
          <w:rFonts w:hint="eastAsia" w:ascii="宋体" w:hAnsi="宋体"/>
          <w:sz w:val="30"/>
          <w:szCs w:val="30"/>
        </w:rPr>
        <w:t>人。</w:t>
      </w:r>
      <w:r>
        <w:rPr>
          <w:rFonts w:hint="eastAsia" w:ascii="宋体" w:hAnsi="宋体"/>
          <w:sz w:val="30"/>
          <w:szCs w:val="30"/>
          <w:lang w:val="en-US" w:eastAsia="zh-CN"/>
        </w:rPr>
        <w:t xml:space="preserve">           </w:t>
      </w:r>
    </w:p>
    <w:p>
      <w:pPr>
        <w:ind w:firstLine="600" w:firstLineChars="200"/>
        <w:rPr>
          <w:rFonts w:ascii="宋体" w:hAnsi="宋体"/>
          <w:sz w:val="30"/>
          <w:szCs w:val="30"/>
        </w:rPr>
      </w:pPr>
      <w:r>
        <w:rPr>
          <w:rFonts w:ascii="宋体" w:hAnsi="宋体"/>
          <w:sz w:val="30"/>
          <w:szCs w:val="30"/>
        </w:rPr>
        <w:t>（二）</w:t>
      </w:r>
      <w:r>
        <w:rPr>
          <w:rFonts w:hint="eastAsia" w:ascii="宋体" w:hAnsi="宋体"/>
          <w:color w:val="000000"/>
          <w:sz w:val="30"/>
          <w:szCs w:val="30"/>
        </w:rPr>
        <w:t>2021</w:t>
      </w:r>
      <w:r>
        <w:rPr>
          <w:rFonts w:ascii="宋体" w:hAnsi="宋体"/>
          <w:sz w:val="30"/>
          <w:szCs w:val="30"/>
        </w:rPr>
        <w:t>年的重点工作</w:t>
      </w:r>
    </w:p>
    <w:p>
      <w:pPr>
        <w:ind w:firstLine="600" w:firstLineChars="200"/>
        <w:rPr>
          <w:rFonts w:hint="eastAsia" w:ascii="宋体" w:hAnsi="宋体"/>
          <w:sz w:val="30"/>
          <w:szCs w:val="30"/>
          <w:lang w:val="en-US"/>
        </w:rPr>
      </w:pPr>
      <w:r>
        <w:rPr>
          <w:rFonts w:hint="eastAsia" w:ascii="宋体" w:hAnsi="宋体"/>
          <w:sz w:val="30"/>
          <w:szCs w:val="30"/>
          <w:lang w:val="en-US" w:eastAsia="zh-CN"/>
        </w:rPr>
        <w:t>1、</w:t>
      </w:r>
      <w:r>
        <w:rPr>
          <w:rFonts w:hint="eastAsia" w:ascii="宋体" w:hAnsi="宋体"/>
          <w:sz w:val="30"/>
          <w:szCs w:val="30"/>
        </w:rPr>
        <w:t>从严抓实基层党组织体系建设，不断强化政治功能和服务功能。一是扎实开展党支部“五化”建设</w:t>
      </w:r>
      <w:r>
        <w:rPr>
          <w:rFonts w:hint="eastAsia" w:ascii="宋体" w:hAnsi="宋体"/>
          <w:sz w:val="30"/>
          <w:szCs w:val="30"/>
          <w:lang w:eastAsia="zh-CN"/>
        </w:rPr>
        <w:t>；</w:t>
      </w:r>
      <w:r>
        <w:rPr>
          <w:rFonts w:hint="eastAsia" w:ascii="宋体" w:hAnsi="宋体"/>
          <w:sz w:val="30"/>
          <w:szCs w:val="30"/>
        </w:rPr>
        <w:t>二是纵深推进扫黑除恶斗争</w:t>
      </w:r>
      <w:r>
        <w:rPr>
          <w:rFonts w:hint="eastAsia" w:ascii="宋体" w:hAnsi="宋体"/>
          <w:sz w:val="30"/>
          <w:szCs w:val="30"/>
          <w:lang w:eastAsia="zh-CN"/>
        </w:rPr>
        <w:t>；</w:t>
      </w:r>
      <w:r>
        <w:rPr>
          <w:rFonts w:hint="eastAsia" w:ascii="宋体" w:hAnsi="宋体"/>
          <w:sz w:val="30"/>
          <w:szCs w:val="30"/>
        </w:rPr>
        <w:t>三是全面落实省委基层建设“1+5”文件</w:t>
      </w:r>
      <w:r>
        <w:rPr>
          <w:rFonts w:hint="eastAsia" w:ascii="宋体" w:hAnsi="宋体"/>
          <w:sz w:val="30"/>
          <w:szCs w:val="30"/>
          <w:lang w:eastAsia="zh-CN"/>
        </w:rPr>
        <w:t>；</w:t>
      </w:r>
      <w:r>
        <w:rPr>
          <w:rFonts w:hint="eastAsia" w:ascii="宋体" w:hAnsi="宋体"/>
          <w:sz w:val="30"/>
          <w:szCs w:val="30"/>
        </w:rPr>
        <w:t>四是积极打造基层党建品牌。</w:t>
      </w:r>
    </w:p>
    <w:p>
      <w:pPr>
        <w:ind w:firstLine="600" w:firstLineChars="200"/>
        <w:rPr>
          <w:rFonts w:hint="eastAsia" w:ascii="宋体" w:hAnsi="宋体"/>
          <w:sz w:val="30"/>
          <w:szCs w:val="30"/>
          <w:lang w:val="en-US"/>
        </w:rPr>
      </w:pPr>
      <w:r>
        <w:rPr>
          <w:rFonts w:hint="eastAsia" w:ascii="宋体" w:hAnsi="宋体"/>
          <w:sz w:val="30"/>
          <w:szCs w:val="30"/>
          <w:lang w:val="en-US" w:eastAsia="zh-CN"/>
        </w:rPr>
        <w:t>2、</w:t>
      </w:r>
      <w:r>
        <w:rPr>
          <w:rFonts w:hint="eastAsia" w:ascii="宋体" w:hAnsi="宋体"/>
          <w:sz w:val="30"/>
          <w:szCs w:val="30"/>
        </w:rPr>
        <w:t>坚持用好的导向、好的机制、好的作风把好干部用出来、管出来、带出来。一是注重人岗相适，选优配强领导班子</w:t>
      </w:r>
      <w:r>
        <w:rPr>
          <w:rFonts w:hint="eastAsia" w:ascii="宋体" w:hAnsi="宋体"/>
          <w:sz w:val="30"/>
          <w:szCs w:val="30"/>
          <w:lang w:eastAsia="zh-CN"/>
        </w:rPr>
        <w:t>；</w:t>
      </w:r>
      <w:r>
        <w:rPr>
          <w:rFonts w:hint="eastAsia" w:ascii="宋体" w:hAnsi="宋体"/>
          <w:sz w:val="30"/>
          <w:szCs w:val="30"/>
        </w:rPr>
        <w:t>二是注重知事识人，做好干部进退流转</w:t>
      </w:r>
      <w:r>
        <w:rPr>
          <w:rFonts w:hint="eastAsia" w:ascii="宋体" w:hAnsi="宋体"/>
          <w:sz w:val="30"/>
          <w:szCs w:val="30"/>
          <w:lang w:eastAsia="zh-CN"/>
        </w:rPr>
        <w:t>；</w:t>
      </w:r>
      <w:r>
        <w:rPr>
          <w:rFonts w:hint="eastAsia" w:ascii="宋体" w:hAnsi="宋体"/>
          <w:sz w:val="30"/>
          <w:szCs w:val="30"/>
        </w:rPr>
        <w:t>三是注重考任分离，精准考察识别干部</w:t>
      </w:r>
      <w:r>
        <w:rPr>
          <w:rFonts w:hint="eastAsia" w:ascii="宋体" w:hAnsi="宋体"/>
          <w:sz w:val="30"/>
          <w:szCs w:val="30"/>
          <w:lang w:eastAsia="zh-CN"/>
        </w:rPr>
        <w:t>；</w:t>
      </w:r>
      <w:r>
        <w:rPr>
          <w:rFonts w:hint="eastAsia" w:ascii="宋体" w:hAnsi="宋体"/>
          <w:sz w:val="30"/>
          <w:szCs w:val="30"/>
        </w:rPr>
        <w:t>四是注重日常管理，定期开展常态调研</w:t>
      </w:r>
      <w:r>
        <w:rPr>
          <w:rFonts w:hint="eastAsia" w:ascii="宋体" w:hAnsi="宋体"/>
          <w:sz w:val="30"/>
          <w:szCs w:val="30"/>
          <w:lang w:eastAsia="zh-CN"/>
        </w:rPr>
        <w:t>；</w:t>
      </w:r>
      <w:r>
        <w:rPr>
          <w:rFonts w:hint="eastAsia" w:ascii="宋体" w:hAnsi="宋体"/>
          <w:sz w:val="30"/>
          <w:szCs w:val="30"/>
        </w:rPr>
        <w:t>五是注重教育监督，不断改进干部作风。</w:t>
      </w:r>
    </w:p>
    <w:p>
      <w:pPr>
        <w:ind w:firstLine="600" w:firstLineChars="200"/>
        <w:rPr>
          <w:rFonts w:ascii="宋体" w:hAnsi="宋体"/>
          <w:sz w:val="30"/>
          <w:szCs w:val="30"/>
        </w:rPr>
      </w:pPr>
      <w:r>
        <w:rPr>
          <w:rFonts w:hint="eastAsia" w:ascii="宋体" w:hAnsi="宋体"/>
          <w:sz w:val="30"/>
          <w:szCs w:val="30"/>
          <w:lang w:val="en-US" w:eastAsia="zh-CN"/>
        </w:rPr>
        <w:t>3、</w:t>
      </w:r>
      <w:r>
        <w:rPr>
          <w:rFonts w:hint="eastAsia" w:ascii="宋体" w:hAnsi="宋体"/>
          <w:sz w:val="30"/>
          <w:szCs w:val="30"/>
        </w:rPr>
        <w:t>对标市人才工作“1+8”文件要求，建立和营造更加生动灵活的工作机制和工作氛围。一是大力创新人才引进机制</w:t>
      </w:r>
      <w:r>
        <w:rPr>
          <w:rFonts w:hint="eastAsia" w:ascii="宋体" w:hAnsi="宋体"/>
          <w:sz w:val="30"/>
          <w:szCs w:val="30"/>
          <w:lang w:eastAsia="zh-CN"/>
        </w:rPr>
        <w:t>；</w:t>
      </w:r>
      <w:r>
        <w:rPr>
          <w:rFonts w:hint="eastAsia" w:ascii="宋体" w:hAnsi="宋体"/>
          <w:sz w:val="30"/>
          <w:szCs w:val="30"/>
        </w:rPr>
        <w:t>二是招才引智考试工作圆满收官</w:t>
      </w:r>
      <w:r>
        <w:rPr>
          <w:rFonts w:hint="eastAsia" w:ascii="宋体" w:hAnsi="宋体"/>
          <w:sz w:val="30"/>
          <w:szCs w:val="30"/>
          <w:lang w:eastAsia="zh-CN"/>
        </w:rPr>
        <w:t>；</w:t>
      </w:r>
      <w:r>
        <w:rPr>
          <w:rFonts w:hint="eastAsia" w:ascii="宋体" w:hAnsi="宋体"/>
          <w:sz w:val="30"/>
          <w:szCs w:val="30"/>
        </w:rPr>
        <w:t>三是紧密跟进人才项目落地</w:t>
      </w:r>
      <w:r>
        <w:rPr>
          <w:rFonts w:hint="eastAsia" w:ascii="宋体" w:hAnsi="宋体"/>
          <w:sz w:val="30"/>
          <w:szCs w:val="30"/>
          <w:lang w:eastAsia="zh-CN"/>
        </w:rPr>
        <w:t>；</w:t>
      </w:r>
      <w:r>
        <w:rPr>
          <w:rFonts w:hint="eastAsia" w:ascii="宋体" w:hAnsi="宋体"/>
          <w:sz w:val="30"/>
          <w:szCs w:val="30"/>
        </w:rPr>
        <w:t>四是不断优化人才优惠政策</w:t>
      </w:r>
      <w:r>
        <w:rPr>
          <w:rFonts w:hint="eastAsia" w:ascii="宋体" w:hAnsi="宋体"/>
          <w:sz w:val="30"/>
          <w:szCs w:val="30"/>
          <w:lang w:eastAsia="zh-CN"/>
        </w:rPr>
        <w:t>；</w:t>
      </w:r>
      <w:r>
        <w:rPr>
          <w:rFonts w:hint="eastAsia" w:ascii="宋体" w:hAnsi="宋体"/>
          <w:sz w:val="30"/>
          <w:szCs w:val="30"/>
        </w:rPr>
        <w:t>五是积极探索人才挂职制度。</w:t>
      </w:r>
    </w:p>
    <w:p>
      <w:pPr>
        <w:ind w:firstLine="602" w:firstLineChars="200"/>
        <w:rPr>
          <w:rFonts w:ascii="宋体" w:hAnsi="宋体"/>
          <w:b/>
          <w:sz w:val="30"/>
          <w:szCs w:val="30"/>
        </w:rPr>
      </w:pPr>
      <w:r>
        <w:rPr>
          <w:rFonts w:ascii="宋体" w:hAnsi="宋体"/>
          <w:b/>
          <w:sz w:val="30"/>
          <w:szCs w:val="30"/>
        </w:rPr>
        <w:t>二、</w:t>
      </w:r>
      <w:r>
        <w:rPr>
          <w:rFonts w:hint="eastAsia" w:ascii="宋体" w:hAnsi="宋体"/>
          <w:b/>
          <w:sz w:val="30"/>
          <w:szCs w:val="30"/>
          <w:lang w:val="en-US" w:eastAsia="zh-CN"/>
        </w:rPr>
        <w:t>一般公共预算</w:t>
      </w:r>
      <w:r>
        <w:rPr>
          <w:rFonts w:ascii="宋体" w:hAnsi="宋体"/>
          <w:b/>
          <w:sz w:val="30"/>
          <w:szCs w:val="30"/>
        </w:rPr>
        <w:t>支出情况</w:t>
      </w:r>
    </w:p>
    <w:p>
      <w:pPr>
        <w:ind w:firstLine="600" w:firstLineChars="200"/>
        <w:rPr>
          <w:rFonts w:ascii="宋体" w:hAnsi="宋体"/>
          <w:sz w:val="30"/>
          <w:szCs w:val="30"/>
        </w:rPr>
      </w:pPr>
      <w:r>
        <w:rPr>
          <w:rFonts w:ascii="宋体" w:hAnsi="宋体"/>
          <w:sz w:val="30"/>
          <w:szCs w:val="30"/>
        </w:rPr>
        <w:t>（一）基本支出情况。</w:t>
      </w:r>
    </w:p>
    <w:p>
      <w:pPr>
        <w:ind w:firstLine="600" w:firstLineChars="200"/>
        <w:rPr>
          <w:rFonts w:ascii="宋体" w:hAnsi="宋体"/>
          <w:sz w:val="30"/>
          <w:szCs w:val="30"/>
        </w:rPr>
      </w:pPr>
      <w:r>
        <w:rPr>
          <w:rFonts w:hint="eastAsia" w:ascii="宋体" w:hAnsi="宋体"/>
          <w:sz w:val="30"/>
          <w:szCs w:val="30"/>
        </w:rPr>
        <w:t>20</w:t>
      </w:r>
      <w:r>
        <w:rPr>
          <w:rFonts w:hint="eastAsia" w:ascii="宋体" w:hAnsi="宋体"/>
          <w:sz w:val="30"/>
          <w:szCs w:val="30"/>
          <w:lang w:val="en-US" w:eastAsia="zh-CN"/>
        </w:rPr>
        <w:t>21</w:t>
      </w:r>
      <w:r>
        <w:rPr>
          <w:rFonts w:hint="eastAsia" w:ascii="宋体" w:hAnsi="宋体"/>
          <w:sz w:val="30"/>
          <w:szCs w:val="30"/>
        </w:rPr>
        <w:t>年</w:t>
      </w:r>
      <w:r>
        <w:rPr>
          <w:rFonts w:hint="eastAsia" w:ascii="宋体" w:hAnsi="宋体"/>
          <w:sz w:val="30"/>
          <w:szCs w:val="30"/>
          <w:lang w:eastAsia="zh-CN"/>
        </w:rPr>
        <w:t>组织</w:t>
      </w:r>
      <w:r>
        <w:rPr>
          <w:rFonts w:hint="eastAsia" w:ascii="宋体" w:hAnsi="宋体"/>
          <w:sz w:val="30"/>
          <w:szCs w:val="30"/>
        </w:rPr>
        <w:t>部整体支出情况：总支出</w:t>
      </w:r>
      <w:r>
        <w:rPr>
          <w:rFonts w:hint="eastAsia" w:ascii="宋体" w:hAnsi="宋体"/>
          <w:sz w:val="30"/>
          <w:szCs w:val="30"/>
          <w:lang w:val="en-US" w:eastAsia="zh-CN"/>
        </w:rPr>
        <w:t>1398.37</w:t>
      </w:r>
      <w:r>
        <w:rPr>
          <w:rFonts w:hint="eastAsia" w:ascii="宋体" w:hAnsi="宋体"/>
          <w:sz w:val="30"/>
          <w:szCs w:val="30"/>
        </w:rPr>
        <w:t>万元，基本支出</w:t>
      </w:r>
      <w:r>
        <w:rPr>
          <w:rFonts w:hint="eastAsia" w:ascii="宋体" w:hAnsi="宋体"/>
          <w:sz w:val="30"/>
          <w:szCs w:val="30"/>
          <w:lang w:val="en-US" w:eastAsia="zh-CN"/>
        </w:rPr>
        <w:t>1191.30</w:t>
      </w:r>
      <w:r>
        <w:rPr>
          <w:rFonts w:hint="eastAsia" w:ascii="宋体" w:hAnsi="宋体"/>
          <w:sz w:val="30"/>
          <w:szCs w:val="30"/>
        </w:rPr>
        <w:t>万元；专项经费支出（含其他专项支出）：</w:t>
      </w:r>
      <w:r>
        <w:rPr>
          <w:rFonts w:hint="eastAsia" w:ascii="宋体" w:hAnsi="宋体"/>
          <w:sz w:val="30"/>
          <w:szCs w:val="30"/>
          <w:lang w:val="en-US" w:eastAsia="zh-CN"/>
        </w:rPr>
        <w:t>207.07万</w:t>
      </w:r>
      <w:r>
        <w:rPr>
          <w:rFonts w:hint="eastAsia" w:ascii="宋体" w:hAnsi="宋体"/>
          <w:sz w:val="30"/>
          <w:szCs w:val="30"/>
        </w:rPr>
        <w:t>元。</w:t>
      </w:r>
    </w:p>
    <w:p>
      <w:pPr>
        <w:ind w:firstLine="600" w:firstLineChars="200"/>
        <w:rPr>
          <w:rFonts w:ascii="宋体" w:hAnsi="宋体"/>
          <w:sz w:val="30"/>
          <w:szCs w:val="30"/>
        </w:rPr>
      </w:pPr>
      <w:r>
        <w:rPr>
          <w:rFonts w:ascii="宋体" w:hAnsi="宋体"/>
          <w:sz w:val="30"/>
          <w:szCs w:val="30"/>
        </w:rPr>
        <w:t>（二）项目支出情况。</w:t>
      </w:r>
    </w:p>
    <w:p>
      <w:pPr>
        <w:pStyle w:val="6"/>
        <w:keepNext w:val="0"/>
        <w:keepLines w:val="0"/>
        <w:widowControl w:val="0"/>
        <w:shd w:val="clear" w:color="auto" w:fill="auto"/>
        <w:bidi w:val="0"/>
        <w:spacing w:before="0" w:after="0" w:line="614" w:lineRule="exact"/>
        <w:ind w:left="280" w:right="0" w:firstLine="660"/>
        <w:jc w:val="both"/>
        <w:rPr>
          <w:rFonts w:hint="default" w:ascii="宋体" w:hAnsi="宋体" w:eastAsia="宋体" w:cs="Calibri"/>
          <w:kern w:val="2"/>
          <w:sz w:val="30"/>
          <w:szCs w:val="30"/>
          <w:u w:val="none"/>
          <w:shd w:val="clear"/>
          <w:lang w:val="en-US" w:eastAsia="zh-CN" w:bidi="ar-SA"/>
        </w:rPr>
      </w:pPr>
      <w:r>
        <w:rPr>
          <w:rFonts w:hint="eastAsia" w:ascii="宋体" w:hAnsi="宋体" w:eastAsia="宋体" w:cs="Calibri"/>
          <w:kern w:val="2"/>
          <w:sz w:val="30"/>
          <w:szCs w:val="30"/>
          <w:u w:val="none"/>
          <w:shd w:val="clear"/>
          <w:lang w:val="en-US" w:eastAsia="zh-CN" w:bidi="ar-SA"/>
        </w:rPr>
        <w:t>两方面：一是2021年度专项资金安排和使用管理情况，有2 个及以上专项资金的要分别总结基本情况。二是除专项资金以外的其他项目支出情况。区委组织部全年项目支出207.07万元，其中老干部、关协等工作经费协调落实老干部的政治待遇和生活待遇,指导全区各单位的老干部工作。按照有关规定,做好冷水滩老干部的接待服务工作;协助做好区关心下一代工作委员会的日常工作;党员教育培训经费研究和指导全区党员队伍建设，指导发展党员和党员管理工作，搞好全区党员教育的组织协调工作;党代表活动经费用于全区党代表活动经费；党员教学课件制作、农村远程教育站点运行维护费用于负责全</w:t>
      </w:r>
      <w:bookmarkStart w:id="1" w:name="_GoBack"/>
      <w:bookmarkEnd w:id="1"/>
      <w:r>
        <w:rPr>
          <w:rFonts w:hint="eastAsia" w:ascii="宋体" w:hAnsi="宋体" w:eastAsia="宋体" w:cs="Calibri"/>
          <w:kern w:val="2"/>
          <w:sz w:val="30"/>
          <w:szCs w:val="30"/>
          <w:u w:val="none"/>
          <w:shd w:val="clear"/>
          <w:lang w:val="en-US" w:eastAsia="zh-CN" w:bidi="ar-SA"/>
        </w:rPr>
        <w:t>区所有行政村及社区的远教设备的正常运转、并完成远教任务。教学课件制作及远程教育工作；“两新”工作经费及党组织书记和党建指导员补贴及工作经费用于研究和指导“两新”组织党员队伍建设，指导“两新”组织发展党员和党员管理工作，搞好全区“两新”组织党员教育的组织协调工作。　</w:t>
      </w:r>
    </w:p>
    <w:p>
      <w:pPr>
        <w:pStyle w:val="6"/>
        <w:keepNext w:val="0"/>
        <w:keepLines w:val="0"/>
        <w:widowControl w:val="0"/>
        <w:numPr>
          <w:ilvl w:val="0"/>
          <w:numId w:val="1"/>
        </w:numPr>
        <w:shd w:val="clear" w:color="auto" w:fill="auto"/>
        <w:tabs>
          <w:tab w:val="left" w:pos="1538"/>
        </w:tabs>
        <w:bidi w:val="0"/>
        <w:spacing w:before="0" w:after="0" w:line="614" w:lineRule="exact"/>
        <w:ind w:left="0" w:right="0" w:firstLine="90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政府性基金预算支出情况</w:t>
      </w:r>
    </w:p>
    <w:p>
      <w:pPr>
        <w:pStyle w:val="6"/>
        <w:keepNext w:val="0"/>
        <w:keepLines w:val="0"/>
        <w:widowControl w:val="0"/>
        <w:shd w:val="clear" w:color="auto" w:fill="auto"/>
        <w:bidi w:val="0"/>
        <w:spacing w:before="0" w:after="0" w:line="614" w:lineRule="exact"/>
        <w:ind w:left="280" w:right="0" w:firstLine="660"/>
        <w:jc w:val="both"/>
        <w:rPr>
          <w:rFonts w:hint="eastAsia" w:ascii="宋体" w:hAnsi="宋体" w:eastAsia="宋体" w:cs="Calibri"/>
          <w:kern w:val="2"/>
          <w:sz w:val="30"/>
          <w:szCs w:val="30"/>
          <w:u w:val="none"/>
          <w:shd w:val="clear"/>
          <w:lang w:val="en-US" w:eastAsia="zh-CN" w:bidi="ar-SA"/>
        </w:rPr>
      </w:pPr>
      <w:r>
        <w:rPr>
          <w:rFonts w:hint="eastAsia" w:ascii="宋体" w:hAnsi="宋体" w:eastAsia="宋体" w:cs="Calibri"/>
          <w:kern w:val="2"/>
          <w:sz w:val="30"/>
          <w:szCs w:val="30"/>
          <w:u w:val="none"/>
          <w:shd w:val="clear"/>
          <w:lang w:val="en-US" w:eastAsia="zh-CN" w:bidi="ar-SA"/>
        </w:rPr>
        <w:t>无</w:t>
      </w:r>
    </w:p>
    <w:p>
      <w:pPr>
        <w:pStyle w:val="6"/>
        <w:keepNext w:val="0"/>
        <w:keepLines w:val="0"/>
        <w:widowControl w:val="0"/>
        <w:numPr>
          <w:ilvl w:val="0"/>
          <w:numId w:val="1"/>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国有资本经营预算支出情况</w:t>
      </w:r>
    </w:p>
    <w:p>
      <w:pPr>
        <w:pStyle w:val="6"/>
        <w:keepNext w:val="0"/>
        <w:keepLines w:val="0"/>
        <w:widowControl w:val="0"/>
        <w:shd w:val="clear" w:color="auto" w:fill="auto"/>
        <w:bidi w:val="0"/>
        <w:spacing w:before="0" w:after="0" w:line="614" w:lineRule="exact"/>
        <w:ind w:left="280" w:right="0" w:firstLine="660"/>
        <w:jc w:val="both"/>
        <w:rPr>
          <w:rFonts w:hint="eastAsia" w:ascii="宋体" w:hAnsi="宋体" w:eastAsia="宋体" w:cs="Calibri"/>
          <w:kern w:val="2"/>
          <w:sz w:val="30"/>
          <w:szCs w:val="30"/>
          <w:u w:val="none"/>
          <w:shd w:val="clear"/>
          <w:lang w:val="en-US" w:eastAsia="zh-CN" w:bidi="ar-SA"/>
        </w:rPr>
      </w:pPr>
      <w:r>
        <w:rPr>
          <w:rFonts w:hint="eastAsia" w:ascii="宋体" w:hAnsi="宋体" w:eastAsia="宋体" w:cs="Calibri"/>
          <w:kern w:val="2"/>
          <w:sz w:val="30"/>
          <w:szCs w:val="30"/>
          <w:u w:val="none"/>
          <w:shd w:val="clear"/>
          <w:lang w:val="en-US" w:eastAsia="zh-CN" w:bidi="ar-SA"/>
        </w:rPr>
        <w:t>无</w:t>
      </w:r>
    </w:p>
    <w:p>
      <w:pPr>
        <w:pStyle w:val="6"/>
        <w:keepNext w:val="0"/>
        <w:keepLines w:val="0"/>
        <w:widowControl w:val="0"/>
        <w:numPr>
          <w:ilvl w:val="0"/>
          <w:numId w:val="1"/>
        </w:numPr>
        <w:shd w:val="clear" w:color="auto" w:fill="auto"/>
        <w:tabs>
          <w:tab w:val="left" w:pos="1538"/>
        </w:tabs>
        <w:bidi w:val="0"/>
        <w:spacing w:before="0" w:after="0" w:line="614" w:lineRule="exact"/>
        <w:ind w:left="0" w:leftChars="0" w:right="0" w:firstLine="900" w:firstLineChars="0"/>
        <w:jc w:val="left"/>
        <w:rPr>
          <w:rFonts w:hint="eastAsia" w:ascii="黑体" w:hAnsi="黑体" w:eastAsia="黑体" w:cs="黑体"/>
          <w:color w:val="000000"/>
          <w:spacing w:val="0"/>
          <w:w w:val="100"/>
          <w:position w:val="0"/>
          <w:sz w:val="32"/>
          <w:szCs w:val="32"/>
        </w:rPr>
      </w:pPr>
      <w:r>
        <w:rPr>
          <w:rFonts w:hint="eastAsia" w:ascii="黑体" w:hAnsi="黑体" w:eastAsia="黑体" w:cs="黑体"/>
          <w:color w:val="000000"/>
          <w:spacing w:val="0"/>
          <w:w w:val="100"/>
          <w:position w:val="0"/>
          <w:sz w:val="32"/>
          <w:szCs w:val="32"/>
        </w:rPr>
        <w:t>社会保险基金预算支出情况</w:t>
      </w:r>
    </w:p>
    <w:p>
      <w:pPr>
        <w:pStyle w:val="6"/>
        <w:keepNext w:val="0"/>
        <w:keepLines w:val="0"/>
        <w:widowControl w:val="0"/>
        <w:shd w:val="clear" w:color="auto" w:fill="auto"/>
        <w:bidi w:val="0"/>
        <w:spacing w:before="0" w:after="0" w:line="614" w:lineRule="exact"/>
        <w:ind w:left="280" w:right="0" w:firstLine="660"/>
        <w:jc w:val="both"/>
        <w:rPr>
          <w:rFonts w:hint="eastAsia" w:ascii="宋体" w:hAnsi="宋体" w:eastAsia="宋体" w:cs="Calibri"/>
          <w:kern w:val="2"/>
          <w:sz w:val="30"/>
          <w:szCs w:val="30"/>
          <w:u w:val="none"/>
          <w:shd w:val="clear"/>
          <w:lang w:val="en-US" w:eastAsia="zh-CN" w:bidi="ar-SA"/>
        </w:rPr>
      </w:pPr>
      <w:r>
        <w:rPr>
          <w:rFonts w:hint="eastAsia" w:ascii="宋体" w:hAnsi="宋体" w:eastAsia="宋体" w:cs="Calibri"/>
          <w:kern w:val="2"/>
          <w:sz w:val="30"/>
          <w:szCs w:val="30"/>
          <w:u w:val="none"/>
          <w:shd w:val="clear"/>
          <w:lang w:val="en-US" w:eastAsia="zh-CN" w:bidi="ar-SA"/>
        </w:rPr>
        <w:t>无</w:t>
      </w:r>
    </w:p>
    <w:p>
      <w:pPr>
        <w:pStyle w:val="6"/>
        <w:keepNext w:val="0"/>
        <w:keepLines w:val="0"/>
        <w:widowControl w:val="0"/>
        <w:shd w:val="clear" w:color="auto" w:fill="auto"/>
        <w:tabs>
          <w:tab w:val="left" w:pos="1538"/>
        </w:tabs>
        <w:bidi w:val="0"/>
        <w:spacing w:before="0" w:after="0" w:line="614" w:lineRule="exact"/>
        <w:ind w:left="0" w:right="0" w:firstLine="900"/>
        <w:jc w:val="left"/>
        <w:rPr>
          <w:rFonts w:hint="eastAsia" w:ascii="黑体" w:hAnsi="黑体" w:eastAsia="黑体" w:cs="黑体"/>
          <w:sz w:val="32"/>
          <w:szCs w:val="32"/>
        </w:rPr>
      </w:pPr>
      <w:bookmarkStart w:id="0" w:name="bookmark84"/>
      <w:r>
        <w:rPr>
          <w:rFonts w:hint="eastAsia" w:ascii="黑体" w:hAnsi="黑体" w:eastAsia="黑体" w:cs="黑体"/>
          <w:color w:val="000000"/>
          <w:spacing w:val="0"/>
          <w:w w:val="100"/>
          <w:position w:val="0"/>
          <w:sz w:val="32"/>
          <w:szCs w:val="32"/>
        </w:rPr>
        <w:t>六</w:t>
      </w:r>
      <w:bookmarkEnd w:id="0"/>
      <w:r>
        <w:rPr>
          <w:rFonts w:hint="eastAsia" w:ascii="黑体" w:hAnsi="黑体" w:eastAsia="黑体" w:cs="黑体"/>
          <w:color w:val="000000"/>
          <w:spacing w:val="0"/>
          <w:w w:val="100"/>
          <w:position w:val="0"/>
          <w:sz w:val="32"/>
          <w:szCs w:val="32"/>
        </w:rPr>
        <w:t>、部门整体支出绩效情况</w:t>
      </w:r>
    </w:p>
    <w:p>
      <w:pPr>
        <w:pStyle w:val="6"/>
        <w:keepNext w:val="0"/>
        <w:keepLines w:val="0"/>
        <w:widowControl w:val="0"/>
        <w:shd w:val="clear" w:color="auto" w:fill="auto"/>
        <w:bidi w:val="0"/>
        <w:spacing w:before="0" w:after="0" w:line="614" w:lineRule="exact"/>
        <w:ind w:left="280" w:right="0" w:firstLine="660"/>
        <w:jc w:val="both"/>
        <w:rPr>
          <w:rFonts w:hint="eastAsia" w:ascii="宋体" w:hAnsi="宋体" w:eastAsia="宋体" w:cs="Calibri"/>
          <w:kern w:val="2"/>
          <w:sz w:val="30"/>
          <w:szCs w:val="30"/>
          <w:u w:val="none"/>
          <w:shd w:val="clear"/>
          <w:lang w:val="zh-TW" w:eastAsia="zh-CN" w:bidi="ar-SA"/>
        </w:rPr>
      </w:pPr>
      <w:r>
        <w:rPr>
          <w:rFonts w:hint="eastAsia" w:ascii="宋体" w:hAnsi="宋体" w:eastAsia="宋体" w:cs="Calibri"/>
          <w:kern w:val="2"/>
          <w:sz w:val="30"/>
          <w:szCs w:val="30"/>
          <w:u w:val="none"/>
          <w:shd w:val="clear"/>
          <w:lang w:val="zh-TW" w:eastAsia="zh-CN" w:bidi="ar-SA"/>
        </w:rPr>
        <w:t>202</w:t>
      </w:r>
      <w:r>
        <w:rPr>
          <w:rFonts w:hint="eastAsia" w:ascii="宋体" w:hAnsi="宋体" w:eastAsia="宋体" w:cs="Calibri"/>
          <w:kern w:val="2"/>
          <w:sz w:val="30"/>
          <w:szCs w:val="30"/>
          <w:u w:val="none"/>
          <w:shd w:val="clear"/>
          <w:lang w:val="en-US" w:eastAsia="zh-CN" w:bidi="ar-SA"/>
        </w:rPr>
        <w:t>1</w:t>
      </w:r>
      <w:r>
        <w:rPr>
          <w:rFonts w:hint="eastAsia" w:ascii="宋体" w:hAnsi="宋体" w:eastAsia="宋体" w:cs="Calibri"/>
          <w:kern w:val="2"/>
          <w:sz w:val="30"/>
          <w:szCs w:val="30"/>
          <w:u w:val="none"/>
          <w:shd w:val="clear"/>
          <w:lang w:val="zh-TW" w:eastAsia="zh-CN" w:bidi="ar-SA"/>
        </w:rPr>
        <w:t>年度区委组织部整体支出主要在基本支出和专项项目支出，一年以来，在区委、区政府的领导下，严格按照区财政局的相关文件的要求，遵循客观、公平、公正的原则，运用了目标比较法、定性与定量相结合的方法，组织完成部门单位绩效评价工作。主要绩效情况如下:</w:t>
      </w:r>
      <w:r>
        <w:rPr>
          <w:rFonts w:hint="eastAsia" w:ascii="宋体" w:hAnsi="宋体" w:eastAsia="宋体" w:cs="Calibri"/>
          <w:kern w:val="2"/>
          <w:sz w:val="30"/>
          <w:szCs w:val="30"/>
          <w:u w:val="none"/>
          <w:shd w:val="clear"/>
          <w:lang w:val="en-US" w:eastAsia="zh-CN" w:bidi="ar-SA"/>
        </w:rPr>
        <w:t>运行成本控制得当、管理效率较高、履职效能较好、服务对象满意度较高。党员教育培训经费未完成目标的原因是在疫情防控的影响下，线下减少举办党员培训班。</w:t>
      </w:r>
    </w:p>
    <w:p>
      <w:pPr>
        <w:ind w:firstLine="640" w:firstLineChars="200"/>
        <w:rPr>
          <w:rFonts w:hint="eastAsia" w:ascii="仿宋" w:hAnsi="仿宋" w:eastAsia="仿宋" w:cs="仿宋"/>
          <w:color w:val="000000"/>
          <w:spacing w:val="0"/>
          <w:w w:val="100"/>
          <w:position w:val="0"/>
          <w:sz w:val="32"/>
          <w:szCs w:val="32"/>
        </w:rPr>
      </w:pPr>
    </w:p>
    <w:p>
      <w:pPr>
        <w:ind w:firstLine="602" w:firstLineChars="200"/>
        <w:rPr>
          <w:rFonts w:hint="eastAsia" w:ascii="宋体" w:hAnsi="宋体"/>
          <w:b/>
          <w:sz w:val="30"/>
          <w:szCs w:val="30"/>
        </w:rPr>
      </w:pPr>
      <w:r>
        <w:rPr>
          <w:rFonts w:hint="eastAsia" w:ascii="宋体" w:hAnsi="宋体"/>
          <w:b/>
          <w:sz w:val="30"/>
          <w:szCs w:val="30"/>
          <w:lang w:eastAsia="zh-CN"/>
        </w:rPr>
        <w:t>七</w:t>
      </w:r>
      <w:r>
        <w:rPr>
          <w:rFonts w:hint="eastAsia" w:ascii="宋体" w:hAnsi="宋体"/>
          <w:b/>
          <w:sz w:val="30"/>
          <w:szCs w:val="30"/>
        </w:rPr>
        <w:t>、绩效自评得分情况及绩效等级。</w:t>
      </w:r>
    </w:p>
    <w:p>
      <w:pPr>
        <w:pStyle w:val="6"/>
        <w:keepNext w:val="0"/>
        <w:keepLines w:val="0"/>
        <w:widowControl w:val="0"/>
        <w:shd w:val="clear" w:color="auto" w:fill="auto"/>
        <w:bidi w:val="0"/>
        <w:spacing w:before="0" w:after="0" w:line="614" w:lineRule="exact"/>
        <w:ind w:left="280" w:right="0" w:firstLine="660"/>
        <w:jc w:val="both"/>
        <w:rPr>
          <w:rFonts w:hint="eastAsia" w:ascii="宋体" w:hAnsi="宋体" w:eastAsia="宋体" w:cs="Calibri"/>
          <w:kern w:val="2"/>
          <w:sz w:val="30"/>
          <w:szCs w:val="30"/>
          <w:u w:val="none"/>
          <w:shd w:val="clear"/>
          <w:lang w:val="en-US" w:eastAsia="zh-CN" w:bidi="ar-SA"/>
        </w:rPr>
      </w:pPr>
      <w:r>
        <w:rPr>
          <w:rFonts w:hint="eastAsia" w:ascii="宋体" w:hAnsi="宋体" w:eastAsia="宋体" w:cs="Calibri"/>
          <w:kern w:val="2"/>
          <w:sz w:val="30"/>
          <w:szCs w:val="30"/>
          <w:u w:val="none"/>
          <w:shd w:val="clear"/>
          <w:lang w:val="en-US" w:eastAsia="zh-CN" w:bidi="ar-SA"/>
        </w:rPr>
        <w:t>2021年度绩效自评得分为：95分。绩效等级：优秀。</w:t>
      </w:r>
    </w:p>
    <w:p>
      <w:pPr>
        <w:numPr>
          <w:ilvl w:val="0"/>
          <w:numId w:val="2"/>
        </w:numPr>
        <w:ind w:firstLine="602" w:firstLineChars="200"/>
        <w:rPr>
          <w:rFonts w:hint="eastAsia" w:ascii="宋体" w:hAnsi="宋体"/>
          <w:b/>
          <w:sz w:val="30"/>
          <w:szCs w:val="30"/>
          <w:lang w:eastAsia="zh-CN"/>
        </w:rPr>
      </w:pPr>
      <w:r>
        <w:rPr>
          <w:rFonts w:ascii="宋体" w:hAnsi="宋体"/>
          <w:b/>
          <w:sz w:val="30"/>
          <w:szCs w:val="30"/>
        </w:rPr>
        <w:t>存在的问题</w:t>
      </w:r>
      <w:r>
        <w:rPr>
          <w:rFonts w:hint="eastAsia" w:ascii="宋体" w:hAnsi="宋体"/>
          <w:b/>
          <w:sz w:val="30"/>
          <w:szCs w:val="30"/>
          <w:lang w:eastAsia="zh-CN"/>
        </w:rPr>
        <w:t>及原因分析</w:t>
      </w:r>
    </w:p>
    <w:p>
      <w:pPr>
        <w:pStyle w:val="6"/>
        <w:keepNext w:val="0"/>
        <w:keepLines w:val="0"/>
        <w:widowControl w:val="0"/>
        <w:shd w:val="clear" w:color="auto" w:fill="auto"/>
        <w:bidi w:val="0"/>
        <w:spacing w:before="0" w:after="0" w:line="614" w:lineRule="exact"/>
        <w:ind w:left="280" w:right="0" w:firstLine="660"/>
        <w:jc w:val="both"/>
        <w:rPr>
          <w:rFonts w:hint="eastAsia" w:ascii="宋体" w:hAnsi="宋体" w:eastAsia="宋体" w:cs="Calibri"/>
          <w:kern w:val="2"/>
          <w:sz w:val="30"/>
          <w:szCs w:val="30"/>
          <w:u w:val="none"/>
          <w:shd w:val="clear"/>
          <w:lang w:val="en-US" w:eastAsia="zh-CN" w:bidi="ar-SA"/>
        </w:rPr>
      </w:pPr>
      <w:r>
        <w:rPr>
          <w:rFonts w:hint="eastAsia" w:ascii="宋体" w:hAnsi="宋体" w:eastAsia="宋体" w:cs="Calibri"/>
          <w:kern w:val="2"/>
          <w:sz w:val="30"/>
          <w:szCs w:val="30"/>
          <w:u w:val="none"/>
          <w:shd w:val="clear"/>
          <w:lang w:val="en-US" w:eastAsia="zh-CN" w:bidi="ar-SA"/>
        </w:rPr>
        <w:t>2021年主要存在的问题有：1、部分绩效指标及目标值有待进一步细化和量化。2、尚未针对绩效考评制定比较明确的实施细则，有待进一步完善。</w:t>
      </w:r>
    </w:p>
    <w:p>
      <w:pPr>
        <w:numPr>
          <w:ilvl w:val="0"/>
          <w:numId w:val="2"/>
        </w:numPr>
        <w:ind w:left="0" w:leftChars="0" w:firstLine="602" w:firstLineChars="200"/>
        <w:rPr>
          <w:rFonts w:ascii="宋体" w:hAnsi="宋体"/>
          <w:b/>
          <w:sz w:val="30"/>
          <w:szCs w:val="30"/>
        </w:rPr>
      </w:pPr>
      <w:r>
        <w:rPr>
          <w:rFonts w:ascii="宋体" w:hAnsi="宋体"/>
          <w:b/>
          <w:sz w:val="30"/>
          <w:szCs w:val="30"/>
        </w:rPr>
        <w:t>改进措施和有关建议</w:t>
      </w:r>
    </w:p>
    <w:p>
      <w:pPr>
        <w:pStyle w:val="6"/>
        <w:keepNext w:val="0"/>
        <w:keepLines w:val="0"/>
        <w:widowControl w:val="0"/>
        <w:shd w:val="clear" w:color="auto" w:fill="auto"/>
        <w:bidi w:val="0"/>
        <w:spacing w:before="0" w:after="0" w:line="614" w:lineRule="exact"/>
        <w:ind w:left="280" w:right="0" w:firstLine="660"/>
        <w:jc w:val="both"/>
        <w:rPr>
          <w:rFonts w:hint="eastAsia" w:ascii="宋体" w:hAnsi="宋体" w:eastAsia="宋体" w:cs="Calibri"/>
          <w:kern w:val="2"/>
          <w:sz w:val="30"/>
          <w:szCs w:val="30"/>
          <w:u w:val="none"/>
          <w:shd w:val="clear"/>
          <w:lang w:val="en-US" w:eastAsia="zh-CN" w:bidi="ar-SA"/>
        </w:rPr>
      </w:pPr>
      <w:r>
        <w:rPr>
          <w:rFonts w:hint="eastAsia" w:ascii="宋体" w:hAnsi="宋体" w:eastAsia="宋体" w:cs="Calibri"/>
          <w:kern w:val="2"/>
          <w:sz w:val="30"/>
          <w:szCs w:val="30"/>
          <w:u w:val="none"/>
          <w:shd w:val="clear"/>
          <w:lang w:val="en-US" w:eastAsia="zh-CN" w:bidi="ar-SA"/>
        </w:rPr>
        <w:t>2021年改进措施：1、加强财务人员的业务能力学习，积极与财政局各科室领导汇报、学习，进一步完善财务制度；2、科学合理地设置绩效指标，提高预算绩效指标的针对性和可测性，充分发挥预算绩效目标管理的导向作用；3、将预算编制与部门工作有机结合，进一步强化预算执行，提升财政资金使用效益；4、做好基础信息的收集和分析工作，建立相关数据库，为绩效指标值的设置提高有益参考。</w:t>
      </w:r>
    </w:p>
    <w:p>
      <w:pPr>
        <w:ind w:firstLine="602" w:firstLineChars="200"/>
        <w:rPr>
          <w:rFonts w:hint="eastAsia" w:ascii="宋体" w:hAnsi="宋体" w:eastAsia="宋体"/>
          <w:b/>
          <w:sz w:val="30"/>
          <w:szCs w:val="30"/>
          <w:lang w:eastAsia="zh-CN"/>
        </w:rPr>
      </w:pPr>
      <w:r>
        <w:rPr>
          <w:rFonts w:hint="eastAsia" w:ascii="宋体" w:hAnsi="宋体"/>
          <w:b/>
          <w:sz w:val="30"/>
          <w:szCs w:val="30"/>
          <w:lang w:eastAsia="zh-CN"/>
        </w:rPr>
        <w:t>十、其他需要说明的情况</w:t>
      </w:r>
    </w:p>
    <w:p>
      <w:pPr>
        <w:pStyle w:val="6"/>
        <w:keepNext w:val="0"/>
        <w:keepLines w:val="0"/>
        <w:widowControl w:val="0"/>
        <w:shd w:val="clear" w:color="auto" w:fill="auto"/>
        <w:bidi w:val="0"/>
        <w:spacing w:before="0" w:after="0" w:line="614" w:lineRule="exact"/>
        <w:ind w:left="280" w:right="0" w:firstLine="660"/>
        <w:jc w:val="both"/>
        <w:rPr>
          <w:rFonts w:hint="eastAsia" w:ascii="宋体" w:hAnsi="宋体" w:eastAsia="宋体" w:cs="Calibri"/>
          <w:kern w:val="2"/>
          <w:sz w:val="30"/>
          <w:szCs w:val="30"/>
          <w:u w:val="none"/>
          <w:shd w:val="clear"/>
          <w:lang w:val="en-US" w:eastAsia="zh-CN" w:bidi="ar-SA"/>
        </w:rPr>
      </w:pPr>
      <w:r>
        <w:rPr>
          <w:rFonts w:hint="eastAsia" w:ascii="宋体" w:hAnsi="宋体" w:eastAsia="宋体" w:cs="Calibri"/>
          <w:kern w:val="2"/>
          <w:sz w:val="30"/>
          <w:szCs w:val="30"/>
          <w:u w:val="none"/>
          <w:shd w:val="clear"/>
          <w:lang w:val="en-US" w:eastAsia="zh-CN" w:bidi="ar-SA"/>
        </w:rPr>
        <w:t>无</w:t>
      </w:r>
    </w:p>
    <w:p>
      <w:pPr>
        <w:ind w:firstLine="602" w:firstLineChars="200"/>
        <w:rPr>
          <w:rFonts w:ascii="宋体" w:hAnsi="宋体"/>
          <w:b/>
          <w:sz w:val="30"/>
          <w:szCs w:val="30"/>
        </w:rPr>
      </w:pPr>
    </w:p>
    <w:p>
      <w:pPr>
        <w:ind w:firstLine="602" w:firstLineChars="200"/>
        <w:rPr>
          <w:rFonts w:ascii="宋体" w:hAnsi="宋体"/>
          <w:b/>
          <w:sz w:val="30"/>
          <w:szCs w:val="30"/>
        </w:rPr>
      </w:pPr>
    </w:p>
    <w:p>
      <w:pPr>
        <w:spacing w:line="560" w:lineRule="exact"/>
        <w:rPr>
          <w:rFonts w:ascii="仿宋_GB2312" w:eastAsia="仿宋_GB2312"/>
          <w:color w:val="000000"/>
          <w:sz w:val="32"/>
        </w:rPr>
      </w:pPr>
    </w:p>
    <w:p>
      <w:pPr>
        <w:widowControl/>
        <w:rPr>
          <w:rFonts w:hint="eastAsia" w:ascii="黑体" w:hAnsi="宋体" w:eastAsia="黑体" w:cs="宋体"/>
          <w:bCs/>
          <w:kern w:val="0"/>
          <w:sz w:val="32"/>
          <w:szCs w:val="32"/>
        </w:rPr>
      </w:pPr>
    </w:p>
    <w:p>
      <w:pPr>
        <w:widowControl/>
        <w:rPr>
          <w:rFonts w:hint="eastAsia" w:ascii="黑体" w:hAnsi="宋体" w:eastAsia="黑体" w:cs="宋体"/>
          <w:bCs/>
          <w:kern w:val="0"/>
          <w:sz w:val="32"/>
          <w:szCs w:val="32"/>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8FDF4A-5EB9-47CE-B17C-3DAB2FD13B6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6CEFE5B-E7E0-4999-A4E1-5E4677C280B8}"/>
  </w:font>
  <w:font w:name="仿宋_GB2312">
    <w:altName w:val="仿宋"/>
    <w:panose1 w:val="02010609030101010101"/>
    <w:charset w:val="86"/>
    <w:family w:val="modern"/>
    <w:pitch w:val="default"/>
    <w:sig w:usb0="00000000" w:usb1="00000000" w:usb2="00000010" w:usb3="00000000" w:csb0="00040000" w:csb1="00000000"/>
    <w:embedRegular r:id="rId3" w:fontKey="{EB343A76-2FD6-4986-AF1F-EB8EC2226FB4}"/>
  </w:font>
  <w:font w:name="仿宋">
    <w:panose1 w:val="02010609060101010101"/>
    <w:charset w:val="86"/>
    <w:family w:val="auto"/>
    <w:pitch w:val="default"/>
    <w:sig w:usb0="800002BF" w:usb1="38CF7CFA" w:usb2="00000016" w:usb3="00000000" w:csb0="00040001" w:csb1="00000000"/>
    <w:embedRegular r:id="rId4" w:fontKey="{9BA37394-B15C-4192-A9B1-E7F57F13DC3D}"/>
  </w:font>
  <w:font w:name="方正小标宋简体">
    <w:panose1 w:val="02000000000000000000"/>
    <w:charset w:val="86"/>
    <w:family w:val="script"/>
    <w:pitch w:val="default"/>
    <w:sig w:usb0="00000001" w:usb1="08000000" w:usb2="00000000" w:usb3="00000000" w:csb0="00040000" w:csb1="00000000"/>
    <w:embedRegular r:id="rId5" w:fontKey="{7892EF98-C84F-4A4D-A9CC-11F555B87C7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A706C9"/>
    <w:multiLevelType w:val="singleLevel"/>
    <w:tmpl w:val="0EA706C9"/>
    <w:lvl w:ilvl="0" w:tentative="0">
      <w:start w:val="8"/>
      <w:numFmt w:val="chineseCounting"/>
      <w:suff w:val="nothing"/>
      <w:lvlText w:val="%1、"/>
      <w:lvlJc w:val="left"/>
      <w:rPr>
        <w:rFonts w:hint="eastAsia"/>
      </w:rPr>
    </w:lvl>
  </w:abstractNum>
  <w:abstractNum w:abstractNumId="1">
    <w:nsid w:val="10DD4A16"/>
    <w:multiLevelType w:val="singleLevel"/>
    <w:tmpl w:val="10DD4A16"/>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Yjc1Mzg3NzU2MmRmNTdjYmU2Y2RiYTc2NzdiMzYifQ=="/>
  </w:docVars>
  <w:rsids>
    <w:rsidRoot w:val="75841848"/>
    <w:rsid w:val="020F078B"/>
    <w:rsid w:val="18712F4C"/>
    <w:rsid w:val="425C3B0D"/>
    <w:rsid w:val="43B363C9"/>
    <w:rsid w:val="5C182673"/>
    <w:rsid w:val="75841848"/>
    <w:rsid w:val="7DB12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1632</Words>
  <Characters>1687</Characters>
  <Lines>0</Lines>
  <Paragraphs>0</Paragraphs>
  <TotalTime>2</TotalTime>
  <ScaleCrop>false</ScaleCrop>
  <LinksUpToDate>false</LinksUpToDate>
  <CharactersWithSpaces>1700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2022-08-22T01:19:00Z</dcterms:created>
  <dc:creator>留痕税月</dc:creator>
  <cp:lastModifiedBy>留痕税月</cp:lastModifiedBy>
  <cp:lastPrinted>2022-08-26T00:59:58Z</cp:lastPrinted>
  <dcterms:modified xsi:type="dcterms:W3CDTF">2022-08-26T01:08:33Z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73E47B1A71954A51B0A89DCB4B8ACE18</vt:lpwstr>
  </property>
</Properties>
</file>