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2021年度永州市冷水滩区民政局部门决算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永州市冷水滩区民政局概况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永州市冷水滩区民政局概况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（一）贯彻执行民政工作的法律法规。拟订有关民政工作的政策，制定全区民政事业发展规划并组织实施。</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（二）负责社会组织的登记和监督管理。</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牵头拟订全区社会救助规划、政策和标准。统筹社会救助体系建设，指导和监督实施全区特困人员供养、城乡居民最低生活保障、临时救助、生活无着流浪乞讨人员救助工作。指导全区社会救助家庭经济状况核对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（四）指导城乡基层政权和基层群众自治组织建设工作。指导社区服务管理和村务公开民主管理工作，推进城乡社区建设，组织开展城市基层治理相关工作。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（五）负责行政区划管理。规范全区地名标志的设置和管理，负责行政区域界线的勘定和日常管理工作，调处行政区域边界争议。</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（六）拟订全区儿童福利、孤弃儿童保障、儿童收养、儿童救助保护政策、标准，健全农村留守儿童关爱服务体系和困境儿童保障制度。组织指导全区儿童福利机构建设和管理。</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（七）拟订全区养老服务发展规划、政策和标准。指导全区养老服务体系建设，参与推动养老服务业发展。指导和管理城乡养老机构建设，指导居家养老服务工作。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（八）负责殡葬管理和婚姻登记管理工作，承担全区革命老区建设相关工作。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（九）拟订全区社会工作发展规划、政策和职业规范，会同有关部门推进社会工作人才队伍建设和志愿者队伍建设。</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（十）拟订慈善事业发展规划、政策，负责管理慈善工作，指导开展日常性捐赠工作。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（十一）负责民政事业规划财务和统计工作，指导、监督民政事业费的使用管理。</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（十二）负责福利彩票公益金的绩效管理工作。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（十三）负责有关民政业务的行政复议工作，受理来信来访。</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（十四）完成区委、区政府交办的其他任务。</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永州市冷水滩区民政局内设机构包括：本部门共有编制人数122人，实有人数88人。内设办公室(加挂政工室牌子)、规划财务股、社会救助股、行政审批股（挂社会组织管理股、社会组织综合党委办公室牌子）、慈善事业促进和社会工作股（挂社会福利有奖募捐委员会办公室牌子）、基层政权和社区治理股（挂区划地名办、革命老区办公室牌子）、养老服务股、儿童福利和社会事务股等8个内设机构。下辖13个二级机构，分别为民政事务中心、儿童福利指导中心、殡葬改革执法大队、慈善办公室、婚姻登记处、未成年人救助保护中心、养老服务指导中心、区福利中心、区老年养护院、蔡市中心敬老院、普利桥中心敬老院、高溪市中心敬老院、上岭桥中心敬老院。</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永州市冷水滩区民政局为一级预算单位，无独立二级单位，因此本次决算公开单位为永州市冷水滩区民政局本级。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paperSrc/>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vAlign w:val="center"/>
          </w:tcPr>
          <w:p>
            <w:pPr>
              <w:rPr>
                <w:rFonts w:hint="eastAsia" w:ascii="宋体"/>
                <w:b w:val="0"/>
                <w:bCs w:val="0"/>
                <w:sz w:val="22"/>
                <w:szCs w:val="22"/>
              </w:rPr>
            </w:pPr>
          </w:p>
        </w:tc>
        <w:tc>
          <w:tcPr>
            <w:tcW w:w="202" w:type="pct"/>
            <w:shd w:val="clear"/>
            <w:vAlign w:val="center"/>
          </w:tcPr>
          <w:p>
            <w:pPr>
              <w:rPr>
                <w:rFonts w:hint="eastAsia" w:ascii="宋体"/>
                <w:b w:val="0"/>
                <w:bCs w:val="0"/>
                <w:sz w:val="22"/>
                <w:szCs w:val="22"/>
              </w:rPr>
            </w:pPr>
          </w:p>
        </w:tc>
        <w:tc>
          <w:tcPr>
            <w:tcW w:w="799" w:type="pct"/>
            <w:shd w:val="clear"/>
            <w:vAlign w:val="center"/>
          </w:tcPr>
          <w:p>
            <w:pPr>
              <w:rPr>
                <w:rFonts w:hint="eastAsia" w:ascii="宋体"/>
                <w:b w:val="0"/>
                <w:bCs w:val="0"/>
                <w:sz w:val="22"/>
                <w:szCs w:val="22"/>
              </w:rPr>
            </w:pPr>
          </w:p>
        </w:tc>
        <w:tc>
          <w:tcPr>
            <w:tcW w:w="1497" w:type="pct"/>
            <w:shd w:val="clear"/>
            <w:vAlign w:val="center"/>
          </w:tcPr>
          <w:p>
            <w:pPr>
              <w:rPr>
                <w:rFonts w:hint="eastAsia" w:ascii="宋体"/>
                <w:b w:val="0"/>
                <w:bCs w:val="0"/>
                <w:sz w:val="22"/>
                <w:szCs w:val="22"/>
              </w:rPr>
            </w:pPr>
          </w:p>
        </w:tc>
        <w:tc>
          <w:tcPr>
            <w:tcW w:w="1002" w:type="pct"/>
            <w:gridSpan w:val="2"/>
            <w:shd w:val="clear"/>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00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7,457.05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1"/>
            <w:shd w:val="clear"/>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995" w:type="pct"/>
            <w:shd w:val="clear"/>
            <w:vAlign w:val="center"/>
          </w:tcPr>
          <w:p>
            <w:pPr>
              <w:rPr>
                <w:rFonts w:hint="eastAsia" w:ascii="宋体"/>
                <w:b w:val="0"/>
                <w:bCs w:val="0"/>
                <w:sz w:val="22"/>
                <w:szCs w:val="22"/>
              </w:rPr>
            </w:pPr>
          </w:p>
        </w:tc>
        <w:tc>
          <w:tcPr>
            <w:tcW w:w="678"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995" w:type="pct"/>
            <w:gridSpan w:val="2"/>
            <w:shd w:val="clear"/>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99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民政管理事务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1,040.67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1,040.67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其他民政管理事务支出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社会福利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儿童福利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老年福利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殡葬</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残疾人事业</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2081107</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残疾人生活和护理补贴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其他残疾人事业支出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最低生活保障</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城市最低生活保障金支出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农村最低生活保障金支出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流浪乞讨人员救助支出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特困人员救助供养</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城市特困人员救助供养支出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农村特困人员救助供养支出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其他生活救助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其他农村生活救助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彩票公益金安排的支出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用于社会福利的彩票公益金支出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105" w:type="pct"/>
            <w:shd w:val="clear"/>
            <w:vAlign w:val="center"/>
          </w:tcPr>
          <w:p>
            <w:pPr>
              <w:rPr>
                <w:rFonts w:hint="eastAsia" w:ascii="宋体"/>
                <w:b w:val="0"/>
                <w:bCs w:val="0"/>
                <w:sz w:val="22"/>
                <w:szCs w:val="22"/>
              </w:rPr>
            </w:pPr>
          </w:p>
        </w:tc>
        <w:tc>
          <w:tcPr>
            <w:tcW w:w="753"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1105" w:type="pct"/>
            <w:gridSpan w:val="2"/>
            <w:shd w:val="clear"/>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10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6,867.27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636.78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6,723.13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589.78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民政管理事务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1,040.67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229.78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其他民政管理事务支出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社会福利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儿童福利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老年福利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殡葬</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残疾人事业</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2081107</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残疾人生活和护理补贴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其他残疾人事业支出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最低生活保障</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城市最低生活保障金支出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农村最低生活保障金支出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流浪乞讨人员救助支出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特困人员救助供养</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城市特困人员救助供养支出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农村特困人员救助供养支出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其他生活救助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其他农村生活救助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彩票公益金安排的支出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用于社会福利的彩票公益金支出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486" w:type="pct"/>
            <w:shd w:val="clear"/>
            <w:vAlign w:val="center"/>
          </w:tcPr>
          <w:p>
            <w:pPr>
              <w:rPr>
                <w:rFonts w:hint="eastAsia" w:ascii="宋体"/>
                <w:b w:val="0"/>
                <w:bCs w:val="0"/>
                <w:sz w:val="22"/>
                <w:szCs w:val="22"/>
              </w:rPr>
            </w:pPr>
          </w:p>
        </w:tc>
        <w:tc>
          <w:tcPr>
            <w:tcW w:w="1151"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664" w:type="pct"/>
            <w:shd w:val="clear"/>
            <w:vAlign w:val="center"/>
          </w:tcPr>
          <w:p>
            <w:pPr>
              <w:rPr>
                <w:rFonts w:hint="eastAsia" w:ascii="宋体"/>
                <w:b w:val="0"/>
                <w:bCs w:val="0"/>
                <w:sz w:val="22"/>
                <w:szCs w:val="22"/>
              </w:rPr>
            </w:pPr>
          </w:p>
        </w:tc>
        <w:tc>
          <w:tcPr>
            <w:tcW w:w="456" w:type="pct"/>
            <w:shd w:val="clear"/>
            <w:vAlign w:val="center"/>
          </w:tcPr>
          <w:p>
            <w:pPr>
              <w:rPr>
                <w:rFonts w:hint="eastAsia" w:ascii="宋体"/>
                <w:b w:val="0"/>
                <w:bCs w:val="0"/>
                <w:sz w:val="22"/>
                <w:szCs w:val="22"/>
              </w:rPr>
            </w:pPr>
          </w:p>
        </w:tc>
        <w:tc>
          <w:tcPr>
            <w:tcW w:w="912" w:type="pct"/>
            <w:gridSpan w:val="2"/>
            <w:shd w:val="clear"/>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91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7,457.05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7,457.05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47.00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7,504.05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7,457.05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47.00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683" w:type="pct"/>
            <w:shd w:val="clear"/>
            <w:vAlign w:val="center"/>
          </w:tcPr>
          <w:p>
            <w:pPr>
              <w:rPr>
                <w:rFonts w:hint="eastAsia" w:ascii="宋体"/>
                <w:b w:val="0"/>
                <w:bCs w:val="0"/>
                <w:sz w:val="22"/>
                <w:szCs w:val="22"/>
              </w:rPr>
            </w:pPr>
          </w:p>
        </w:tc>
        <w:tc>
          <w:tcPr>
            <w:tcW w:w="964" w:type="pct"/>
            <w:shd w:val="clear"/>
            <w:vAlign w:val="center"/>
          </w:tcPr>
          <w:p>
            <w:pPr>
              <w:rPr>
                <w:rFonts w:hint="eastAsia" w:ascii="宋体"/>
                <w:b w:val="0"/>
                <w:bCs w:val="0"/>
                <w:sz w:val="22"/>
                <w:szCs w:val="22"/>
              </w:rPr>
            </w:pPr>
          </w:p>
        </w:tc>
        <w:tc>
          <w:tcPr>
            <w:tcW w:w="1928" w:type="pct"/>
            <w:gridSpan w:val="2"/>
            <w:shd w:val="clear"/>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928"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7,457.05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6,867.27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7,312.91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6,723.13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民政管理事务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1,040.67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810.90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2080299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其他民政管理事务支出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社会福利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178.34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儿童福利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168.64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老年福利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2081004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殡葬</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残疾人事业</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756.19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2081107</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残疾人生活和护理补贴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375.19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2081199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其他残疾人事业支出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381.00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最低生活保障</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3,315.94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城市最低生活保障金支出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1,134.87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2081902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农村最低生活保障金支出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2,181.07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303.49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临时救助支出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253.49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2082002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流浪乞讨人员救助支出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特困人员救助供养</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城市特困人员救助供养支出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259.13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2082102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农村特困人员救助供养支出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其他生活救助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2082502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其他农村生活救助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2101601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老龄卫生健康事务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144.14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vAlign w:val="center"/>
          </w:tcPr>
          <w:p>
            <w:pPr>
              <w:rPr>
                <w:rFonts w:hint="eastAsia" w:ascii="宋体"/>
                <w:b w:val="0"/>
                <w:bCs w:val="0"/>
                <w:sz w:val="22"/>
                <w:szCs w:val="22"/>
              </w:rPr>
            </w:pPr>
          </w:p>
        </w:tc>
        <w:tc>
          <w:tcPr>
            <w:tcW w:w="1053"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829"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1367" w:type="pct"/>
            <w:gridSpan w:val="2"/>
            <w:shd w:val="clear"/>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367" w:type="pct"/>
            <w:gridSpan w:val="2"/>
            <w:shd w:val="clear"/>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720.78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93.20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283.63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21.01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70.27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106.79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7.96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99.51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90.80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18.19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0.84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41.67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6.82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0.60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6,053.29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0.67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0.79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0.27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1,070.58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4,965.62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3.29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3.79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21.49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22.56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6,774.07</w:t>
            </w:r>
          </w:p>
        </w:tc>
        <w:tc>
          <w:tcPr>
            <w:tcW w:w="2645" w:type="pct"/>
            <w:gridSpan w:val="5"/>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833" w:type="pct"/>
            <w:gridSpan w:val="2"/>
            <w:shd w:val="clear"/>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833"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8.50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0.84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78" w:type="pct"/>
            <w:shd w:val="clear"/>
            <w:vAlign w:val="center"/>
          </w:tcPr>
          <w:p>
            <w:pPr>
              <w:rPr>
                <w:rFonts w:hint="eastAsia" w:ascii="宋体"/>
                <w:b w:val="0"/>
                <w:bCs w:val="0"/>
                <w:sz w:val="22"/>
                <w:szCs w:val="22"/>
              </w:rPr>
            </w:pPr>
          </w:p>
        </w:tc>
        <w:tc>
          <w:tcPr>
            <w:tcW w:w="368" w:type="pct"/>
            <w:shd w:val="clear"/>
            <w:vAlign w:val="center"/>
          </w:tcPr>
          <w:p>
            <w:pPr>
              <w:rPr>
                <w:rFonts w:hint="eastAsia" w:ascii="宋体"/>
                <w:b w:val="0"/>
                <w:bCs w:val="0"/>
                <w:sz w:val="22"/>
                <w:szCs w:val="22"/>
              </w:rPr>
            </w:pPr>
          </w:p>
        </w:tc>
        <w:tc>
          <w:tcPr>
            <w:tcW w:w="614" w:type="pct"/>
            <w:shd w:val="clear"/>
            <w:vAlign w:val="center"/>
          </w:tcPr>
          <w:p>
            <w:pPr>
              <w:rPr>
                <w:rFonts w:hint="eastAsia" w:ascii="宋体"/>
                <w:b w:val="0"/>
                <w:bCs w:val="0"/>
                <w:sz w:val="22"/>
                <w:szCs w:val="22"/>
              </w:rPr>
            </w:pPr>
          </w:p>
        </w:tc>
        <w:tc>
          <w:tcPr>
            <w:tcW w:w="335" w:type="pct"/>
            <w:shd w:val="clear"/>
            <w:vAlign w:val="center"/>
          </w:tcPr>
          <w:p>
            <w:pPr>
              <w:rPr>
                <w:rFonts w:hint="eastAsia" w:ascii="宋体"/>
                <w:b w:val="0"/>
                <w:bCs w:val="0"/>
                <w:sz w:val="22"/>
                <w:szCs w:val="22"/>
              </w:rPr>
            </w:pPr>
          </w:p>
        </w:tc>
        <w:tc>
          <w:tcPr>
            <w:tcW w:w="473" w:type="pct"/>
            <w:shd w:val="clear"/>
            <w:vAlign w:val="center"/>
          </w:tcPr>
          <w:p>
            <w:pPr>
              <w:rPr>
                <w:rFonts w:hint="eastAsia" w:ascii="宋体"/>
                <w:b w:val="0"/>
                <w:bCs w:val="0"/>
                <w:sz w:val="22"/>
                <w:szCs w:val="22"/>
              </w:rPr>
            </w:pPr>
          </w:p>
        </w:tc>
        <w:tc>
          <w:tcPr>
            <w:tcW w:w="1816" w:type="pct"/>
            <w:gridSpan w:val="2"/>
            <w:shd w:val="clear"/>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81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47.00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47.00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47.00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彩票公益金安排的支出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2296002</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用于社会福利的彩票公益金支出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972" w:type="pct"/>
            <w:shd w:val="clear"/>
            <w:vAlign w:val="center"/>
          </w:tcPr>
          <w:p>
            <w:pPr>
              <w:rPr>
                <w:rFonts w:hint="eastAsia" w:ascii="宋体"/>
                <w:b w:val="0"/>
                <w:bCs w:val="0"/>
                <w:sz w:val="22"/>
                <w:szCs w:val="22"/>
              </w:rPr>
            </w:pPr>
          </w:p>
        </w:tc>
        <w:tc>
          <w:tcPr>
            <w:tcW w:w="843" w:type="pct"/>
            <w:shd w:val="clear"/>
            <w:vAlign w:val="center"/>
          </w:tcPr>
          <w:p>
            <w:pPr>
              <w:rPr>
                <w:rFonts w:hint="eastAsia" w:ascii="宋体"/>
                <w:b w:val="0"/>
                <w:bCs w:val="0"/>
                <w:sz w:val="22"/>
                <w:szCs w:val="22"/>
              </w:rPr>
            </w:pPr>
          </w:p>
        </w:tc>
        <w:tc>
          <w:tcPr>
            <w:tcW w:w="1686" w:type="pct"/>
            <w:gridSpan w:val="2"/>
            <w:shd w:val="clear"/>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vAlign w:val="center"/>
          </w:tcPr>
          <w:p>
            <w:pPr>
              <w:pStyle w:val="9"/>
              <w:keepNext w:val="0"/>
              <w:keepLines w:val="0"/>
              <w:widowControl/>
              <w:suppressLineNumbers w:val="0"/>
              <w:jc w:val="left"/>
            </w:pPr>
            <w:r>
              <w:rPr>
                <w:b w:val="0"/>
                <w:bCs w:val="0"/>
                <w:sz w:val="22"/>
                <w:szCs w:val="22"/>
              </w:rPr>
              <w:t>部门：永州市冷水滩区民政局</w:t>
            </w:r>
          </w:p>
        </w:tc>
        <w:tc>
          <w:tcPr>
            <w:tcW w:w="168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paperSrc/>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2021年度收、支总计7,504.05万元。与上一年度相比，收、支总计各减少1,868.52万元，下降19.94%。主要是因为一是困难群众救助资金上级拨入指标减少；二是政府厉行节约，缩减开支。</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2021年度收入合计7,504.05万元，其中：财政拨款收入7,504.05万元，占100%；上级补助收入0万元，占0%；事业收入0万元，占0%；经营收入0万元，占0%；附属单位上缴收入0万元，占0%；其他收入0万元，占0%。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2021年度支出合计7,504.05万元，其中：基本支出6,867.27万元，占91.51%；项目支出636.78万元，占8.49%；上缴上级支出0万元，占0%；经营支出0万元，占0%；对附属单位补助支出0万元，占0%。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2021年度财政拨款收、支总计7,504.05万元。与上一年度相比，财政拨款收、支总计各减少1,868.52万元，下降19.94%。主要是因为一是困难群众救助资金上级拨入指标减少；二是政府厉行节约，缩减开支。</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2021年度财政拨款支出7,457.05万元，占本年支出合计的99.37%。与上一年度相比，财政拨款支出减少1,672.27万元，下降18.32%。主要是因为困难群众救助资金上级拨入指标减少。</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2021年度财政拨款支出7,457.05万元，主要用于以下方面：社会保障和就业支出7,312.91万元，占98.07%；卫生健康支出144.14万元，占1.93%。</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2021年度财政拨款支出年初预算数为3,780.46万元，支出决算数为7,457.05万元，完成年初预算的197.25%，其中：</w:t>
      </w:r>
      <w:r>
        <w:rPr>
          <w:color w:val="000000"/>
          <w:sz w:val="27"/>
          <w:szCs w:val="27"/>
        </w:rPr>
        <w:t xml:space="preserve"> </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1、社会保障和就业支出（类）民政管理事务（款）行政运行（项）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年初预算为1,275.14万元，支出决算为810.9万元，完成年初预算的63.59%。决算数小于年初预算数的主要原因是：厉行节约，压缩机关公用经费开支以及年终单位职工绩效奖励金未发放。</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2、社会保障和就业支出（类）民政管理事务（款）一般行政管理事务（项）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年初预算为100万元，支出决算为199.78万元，完成年初预算的199.78%。决算数大于年初预算数的主要原因是：年初预算调整增加专项事务管理经费。</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3、社会保障和就业支出（类）民政管理事务（款）其他民政管理事务支出（项）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年初预算为0万元，支出决算为30万元，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。决算数大于年初预算数的主要原因是：购2021年村级儿童之家和留守儿童意外保险费。</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4、社会保障和就业支出（类）抚恤（款）死亡抚恤（项）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年初预算为0万元，支出决算为17.08万元，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。决算数大于年初预算数的主要原因是：单位退休人员蒋芳清病故一次性抚恤。</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5、社会保障和就业支出（类）社会福利（款）儿童福利（项）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年初预算为129万元，支出决算为168.64万元，完成年初预算的130.73%。决算数大于年初预算数的主要原因是：本年支出含上级下达资金指标。</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6、社会保障和就业支出（类）社会福利（款）老年福利（项）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年初预算为0万元，支出决算为4.7万元，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。决算数大于年初预算数的主要原因是：拨入上级指标支出。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7、社会保障和就业支出（类）社会福利（款）殡葬（项）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年初预算为50万元，支出决算为5万元，完成年初预算的10%。决算数小于年初预算数的主要原因是：殡仪馆没来结算当年殡葬经费。</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8、社会保障和就业支出（类）残疾人事业（款）残疾人生活和护理补贴（项）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年初预算为0万元，支出决算为375.19万元，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。决算数大于年初预算数的主要原因是：拨入上级指标资金支出。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9、社会保障和就业支出（类）残疾人事业（款）其他残疾人事业支出（项）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年初预算为416.75万元，支出决算为381万元，完成年初预算的91.42%。决算数小于年初预算数的主要原因是：财政预算调整。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10、社会保障和就业支出（类）最低生活保障（款）城市最低生活保障金支出（项）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年初预算为0万元，支出决算为1,134.87万元，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。决算数大于年初预算数的主要原因是：预算安排在社保股，资金直接拨单位支出，预决算口径不一致。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11、社会保障和就业支出（类）最低生活保障（款）农村最低生活保障金支出（项）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年初预算为0万元，支出决算为2,181.07万元，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。决算数大于年初预算数的主要原因是：预算安排在社保股，资金直接拨单位支出，预决算口径不一致。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12、社会保障和就业支出（类）临时救助（款）临时救助支出（项）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年初预算为58.49万元，支出决算为253.49万元，完成年初预算的433.39%。决算数大于年初预算数的主要原因是：拨入上级指标资金支出。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13、社会保障和就业支出（类）临时救助（款）流浪乞讨人员救助支出（项）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年初预算为0万元，支出决算为50万元，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。决算数大于年初预算数的主要原因是：拨入上级指标资金支出。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14、社会保障和就业支出（类）特困人员救助供养（款）城市特困人员救助供养支出（项）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年初预算为205万元，支出决算为259.13万元，完成年初预算的126.4%。决算数大于年初预算数的主要原因是：年底预算调整。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15、社会保障和就业支出（类）特困人员救助供养（款）农村特困人员救助供养支出（项）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年初预算为1,246万元，支出决算为1,070.5万元，完成年初预算的85.91%。决算数小于年初预算数的主要原因是：动态管理人员变动所致。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16、社会保障和就业支出（类）其他生活救助（款）其他农村生活救助（项）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年初预算为0万元，支出决算为11.57万元，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。决算数大于年初预算数的主要原因是：拨入上级指标资金支出。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17、社会保障和就业支出（类）其他社会保障和就业支出（款）其他社会保障和就业支出（项）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年初预算为0万元，支出决算为360万元，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。决算数大于年初预算数的主要原因是：拨入上级项目指标资金支出。</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18、卫生健康支出（类）老龄卫生健康事务（款）老龄卫生健康事务（项）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年初预算为250.91万元，支出决算为144.14万元，完成年初预算的57.45%。决算数小于年初预算数的主要原因是：基本养老服务补贴和保费暂未支出。</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6,867.27万元，其中：人员经费6,774.07万元，占基本支出的98.64%，主要包括：基本工资、津贴补贴、奖金、伙食补助费、绩效工资、机关事业单位基本养老保险缴费、职业年金缴费、职工基本医疗保险缴费、其他社会保障缴费、抚恤金、生活补助、救济费。公用经费93.2万元，占基本支出的1.36%，主要包括：办公费、印刷费、水费、电费、邮电费、差旅费、维修（护）费、会议费、培训费、公务接待费、劳务费、委托业务费、工会经费、其他交通费用、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2021年度“三公”经费财政拨款支出预算为8.5万元，支出决算为0.84万元，完成预算的9.88%，</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公务接待费支出预算为5万元，支出决算为0.84万元，完成预算的16.8%，决算数小于预算数的主要原因是厉行节约，压缩机关招待经费开支 ，与上年相比减少4.66万元，下降84.73%，下降的主要原因是厉行节约，压缩机关公用经费开支。</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公务用车运行维护费支出预算为3.5万元，支出决算为0万元，完成预算的0%，决算数小于预算数的主要原因是殡改执法用车交政府机关事务局，无车辆无费用 ，与上年相比减少3.49万元，下降100%，下降的主要原因是本年无车辆、无费用支出。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2021年度“三公”经费财政拨款支出决算中，公务接待费支出决算0.84万元，占100%，因公出国（境）费支出决算0万元，占0%，公务用车购置费及运行维护费支出决算0万元，占0%。其中：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2、公务接待费支出决算为0.84万元，全年共接待来访团组14个、来宾90人次，主要是上级领导检查指导及同行交流学习发生的接待支出。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2021年度政府性基金预算财政拨款收入47万元；年初结转和结余0万元；支出47万元，其中基本支出0万元，项目支出47万元；年末结转和结余0万元。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永州市冷水滩区民政局2021年度机关运行经费支出93.2万元，比年初预算数减少16.89万元，下降15.34%。主要原因是：厉行节约，压缩机关公用经费开支。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永州市冷水滩区民政局开支会议费0.67万元，用于疫情防控和安全生产工作会议，参会人次数约170人次；开支培训费0.79万元，主要是参加省厅各业务处室组织专项工作培训会的差旅费；举办0场节庆、晚会、论坛、赛事活动，开支0万元，无相关活动计划。</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永州市冷水滩区民政局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永州市冷水滩区民政局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按照区财政局的统一部署，我局高度重视绩效考评工作，制定了绩效总目标，依照国家政策法规规定和本单位实际情况，健全财务基础管理制度和约束机制，依法、有效地使用财政资金。通过绩效评价，我们认为，2021年度部门预算具有明确的用途和目标，制定了详细的执行计划，资金到位及时并严格按照财政有关规定使用。预算决策、资金管理和执行等日益规范，能较好地满足工作需要，取得了良好经济效益和社会效益。 </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根据财政部《关于规范绩效评价结果等级划分标准的通知》（财预便〔2017〕44号）文件，经评价我局部门项目支出绩效自评得分92分，评价等级为“优”。对自评情况将在区政务网进行公示，接受广大人民群众的监督。</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"http://10.105.181.49/home/downloadAttachment?attachGUID=7e4ef97a46cf430686681990ae0f87f2"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冷水滩区民政局2021年度预算绩效自评工作报告.doc</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paperSrc/>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微软雅黑">
    <w:panose1 w:val="020B0503020204020204"/>
    <w:charset w:val="86"/>
    <w:family w:val="auto"/>
    <w:pitch w:val="variable"/>
    <w:sig w:usb0="80000287" w:usb1="280F3C52"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2000019F"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Arial Black">
    <w:panose1 w:val="020B0A04020102020204"/>
    <w:charset w:val="00"/>
    <w:family w:val="auto"/>
    <w:pitch w:val="variable"/>
    <w:sig w:usb0="00000287" w:usb1="00000000" w:usb2="00000000" w:usb3="00000000" w:csb0="2000009F" w:csb1="DFD70000"/>
  </w:font>
  <w:font w:name="@仿宋">
    <w:panose1 w:val="02010609060101010101"/>
    <w:charset w:val="86"/>
    <w:family w:val="auto"/>
    <w:pitch w:val="fixed"/>
    <w:sig w:usb0="800002BF" w:usb1="38CF7CFA" w:usb2="00000016" w:usb3="00000000" w:csb0="00040001" w:csb1="00000000"/>
  </w:font>
  <w:font w:name="新宋体">
    <w:panose1 w:val="02010609030101010101"/>
    <w:charset w:val="86"/>
    <w:family w:val="auto"/>
    <w:pitch w:val="fixed"/>
    <w:sig w:usb0="00000003" w:usb1="288F0000" w:usb2="00000006" w:usb3="00000000" w:csb0="00040001" w:csb1="00000000"/>
  </w:font>
  <w:font w:name="@新宋体">
    <w:panose1 w:val="02010609030101010101"/>
    <w:charset w:val="86"/>
    <w:family w:val="auto"/>
    <w:pitch w:val="fixed"/>
    <w:sig w:usb0="00000003" w:usb1="288F0000" w:usb2="00000006" w:usb3="00000000" w:csb0="00040001" w:csb1="00000000"/>
  </w:font>
  <w:font w:name="Tahoma">
    <w:panose1 w:val="020B0604030504040204"/>
    <w:charset w:val="00"/>
    <w:family w:val="auto"/>
    <w:pitch w:val="variable"/>
    <w:sig w:usb0="E1002EFF" w:usb1="C000605B" w:usb2="00000029" w:usb3="00000000" w:csb0="200101FF" w:csb1="2028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51801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2023-09-22T14:49:37Z</dcterms:created>
  <dc:creator>Administrator</dc:creator>
  <cp:lastModifiedBy>东来</cp:lastModifiedBy>
  <dcterms:modified xsi:type="dcterms:W3CDTF">2023-09-22T14:56:15Z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7FD3E8409F2C40DCA208CA7FA3C4F287_13</vt:lpwstr>
  </property>
</Properties>
</file>