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color w:val="000000"/>
          <w:kern w:val="2"/>
          <w:sz w:val="44"/>
          <w:szCs w:val="44"/>
        </w:rPr>
        <w:t>2021年度冷水滩区杨家桥街道办事处部门决算</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等线"/>
          <w:color w:val="000000"/>
          <w:kern w:val="2"/>
          <w:sz w:val="32"/>
          <w:szCs w:val="32"/>
        </w:rPr>
        <w:t xml:space="preserve"> </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eastAsia" w:ascii="宋体" w:hAnsi="宋体" w:eastAsia="宋体" w:cs="宋体"/>
          <w:kern w:val="2"/>
          <w:sz w:val="21"/>
          <w:szCs w:val="21"/>
        </w:rPr>
      </w:pPr>
      <w:r>
        <w:rPr>
          <w:rFonts w:hint="eastAsia" w:ascii="宋体" w:hAnsi="宋体" w:eastAsia="宋体" w:cs="宋体"/>
          <w:color w:val="000000"/>
          <w:kern w:val="2"/>
          <w:sz w:val="32"/>
          <w:szCs w:val="32"/>
        </w:rPr>
        <w:t>目 录</w:t>
      </w:r>
      <w:r>
        <w:rPr>
          <w:rFonts w:hint="eastAsia" w:ascii="宋体" w:hAnsi="宋体" w:eastAsia="宋体" w:cs="宋体"/>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第一部分 冷水滩区杨家桥街道办事处概况</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一、部门职责</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二、机构设置</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第二部分 2021年度部门决算表</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一、收入支出决算总表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二、收入决算表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三、支出决算表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四、财政拨款收入支出决算总表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五、一般公共预算财政拨款支出决算表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六、一般公共预算财政拨款基本支出决算明细表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七、一般公共预算财政拨款“三公”经费支出决算表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八、政府性基金预算财政拨款收入支出决算表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九、国有资本经营预算财政拨款支出决算表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b/>
          <w:bCs/>
          <w:color w:val="000000"/>
          <w:kern w:val="2"/>
          <w:sz w:val="32"/>
          <w:szCs w:val="32"/>
        </w:rPr>
        <w:t>第三部分 2021年度部门决算情况说明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一、收入支出决算总体情况说明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二、收入决算情况说明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三、支出决算情况说明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四、财政拨款收入支出决算总体情况说明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五、一般公共预算财政拨款支出决算情况说明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六、一般公共预算财政拨款基本支出决算情况说明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七、一般公共预算财政拨款三公经费支出决算情况说明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八、政府性基金预算收入支出决算情况</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九、关于机关运行经费支出说明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十、一般性支出情况</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十一、关于政府采购支出说明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十二、关于国有资产占用情况说明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十三、关于2021年度预算绩效情况的说明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第四部分 名词解释</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第五部分 附件</w:t>
      </w:r>
      <w:r>
        <w:rPr>
          <w:rFonts w:hint="default" w:ascii="等线" w:hAnsi="等线" w:eastAsia="等线" w:cs="Times New Roman"/>
          <w:color w:val="000000"/>
          <w:kern w:val="2"/>
          <w:sz w:val="27"/>
          <w:szCs w:val="27"/>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line="600" w:lineRule="atLeast"/>
        <w:ind w:left="0" w:right="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第一部分 冷水滩区杨家桥街道办事处概况</w:t>
      </w:r>
      <w:r>
        <w:rPr>
          <w:rFonts w:hint="default" w:ascii="等线" w:hAnsi="等线" w:eastAsia="等线" w:cs="Times New Roman"/>
          <w:b/>
          <w:bCs/>
          <w:color w:val="000000"/>
          <w:kern w:val="2"/>
          <w:sz w:val="21"/>
          <w:szCs w:val="21"/>
        </w:rPr>
        <w:t xml:space="preserve"> </w:t>
      </w:r>
    </w:p>
    <w:p>
      <w:pPr>
        <w:pStyle w:val="18"/>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8"/>
        <w:keepNext w:val="0"/>
        <w:keepLines w:val="0"/>
        <w:widowControl/>
        <w:suppressLineNumbers w:val="0"/>
        <w:spacing w:before="0" w:beforeAutospacing="0" w:after="2" w:afterAutospacing="0"/>
        <w:ind w:left="0" w:right="0" w:firstLine="0"/>
        <w:rPr>
          <w:rFonts w:hint="eastAsia" w:ascii="宋体" w:hAnsi="宋体" w:eastAsia="宋体" w:cs="宋体"/>
          <w:kern w:val="0"/>
          <w:sz w:val="24"/>
          <w:szCs w:val="24"/>
        </w:rPr>
      </w:pPr>
      <w:r>
        <w:rPr>
          <w:rFonts w:hint="eastAsia" w:ascii="宋体" w:hAnsi="宋体" w:eastAsia="宋体" w:cs="宋体"/>
          <w:color w:val="000000"/>
          <w:kern w:val="0"/>
          <w:sz w:val="32"/>
          <w:szCs w:val="32"/>
        </w:rPr>
        <w:t xml:space="preserve"> </w:t>
      </w:r>
      <w:r>
        <w:rPr>
          <w:rFonts w:hint="eastAsia" w:ascii="宋体" w:hAnsi="宋体" w:eastAsia="宋体" w:cs="宋体"/>
          <w:color w:val="000000"/>
          <w:kern w:val="0"/>
          <w:sz w:val="24"/>
          <w:szCs w:val="24"/>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一、部门职责</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（一）贯彻执行党和国家的各项方针、政策、法律、法规，在区委、区政府的领导下完成各项工作任务。</w:t>
      </w:r>
      <w:r>
        <w:rPr>
          <w:rFonts w:hint="default" w:ascii="等线" w:hAnsi="等线" w:eastAsia="等线" w:cs="Times New Roman"/>
          <w:color w:val="000000"/>
          <w:kern w:val="2"/>
          <w:sz w:val="32"/>
          <w:szCs w:val="32"/>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（二）负责精神文明建设工作，积极组织以提高市民素质为目的的活动，树立文明新风。</w:t>
      </w:r>
      <w:r>
        <w:rPr>
          <w:rFonts w:hint="default" w:ascii="等线" w:hAnsi="等线" w:eastAsia="等线" w:cs="Times New Roman"/>
          <w:color w:val="000000"/>
          <w:kern w:val="2"/>
          <w:sz w:val="32"/>
          <w:szCs w:val="32"/>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（三）发展街道经济、负责对辖区内经济组织进行协调、指导，做好培植税源工作，努力为区域经济发展营造良好的社会环境，以经济、法律和必要的行政手段推动街道经济发展和维护市场经济秩序。</w:t>
      </w:r>
      <w:r>
        <w:rPr>
          <w:rFonts w:hint="default" w:ascii="等线" w:hAnsi="等线" w:eastAsia="等线" w:cs="Times New Roman"/>
          <w:color w:val="000000"/>
          <w:kern w:val="2"/>
          <w:sz w:val="32"/>
          <w:szCs w:val="32"/>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（四）负责社区建设和管理，积极开展社区服务工作，发动和组织社区成员开展各类社区公益活动；负责拥军优属、优抚安置、社会救济、社会福利、社区文化、科普、体育、教育等工作。</w:t>
      </w:r>
      <w:r>
        <w:rPr>
          <w:rFonts w:hint="default" w:ascii="等线" w:hAnsi="等线" w:eastAsia="等线" w:cs="Times New Roman"/>
          <w:color w:val="000000"/>
          <w:kern w:val="2"/>
          <w:sz w:val="32"/>
          <w:szCs w:val="32"/>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（五）按照职责范围，负责街辖范围内的城市建设和管理、市容环境卫生、园林绿化、环境保护、市政、规划等监督、管理、服务工作。</w:t>
      </w:r>
      <w:r>
        <w:rPr>
          <w:rFonts w:hint="default" w:ascii="等线" w:hAnsi="等线" w:eastAsia="等线" w:cs="Times New Roman"/>
          <w:color w:val="000000"/>
          <w:kern w:val="2"/>
          <w:sz w:val="32"/>
          <w:szCs w:val="32"/>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（六）负责街辖范围内的维护稳定及社会治安综合治理工作，依照有关规定做好出租屋和外来暂住人员的管理工作；负责民事调解，法律服务工作，维护居民的合法权益。</w:t>
      </w:r>
      <w:r>
        <w:rPr>
          <w:rFonts w:hint="default" w:ascii="等线" w:hAnsi="等线" w:eastAsia="等线" w:cs="Times New Roman"/>
          <w:color w:val="000000"/>
          <w:kern w:val="2"/>
          <w:sz w:val="32"/>
          <w:szCs w:val="32"/>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（七）负责计划生育、劳动就业、安全生产监督、初级卫生保健、民兵、兵役、侨务和婚姻登记、调解等工作；尊重少数民族的风俗习惯，保障少数民族的权益。</w:t>
      </w:r>
      <w:r>
        <w:rPr>
          <w:rFonts w:hint="default" w:ascii="等线" w:hAnsi="等线" w:eastAsia="等线" w:cs="Times New Roman"/>
          <w:color w:val="000000"/>
          <w:kern w:val="2"/>
          <w:sz w:val="32"/>
          <w:szCs w:val="32"/>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（八）指导和帮助居民委员会搞好组织建设和制度建设，发挥居民委员会的群众自治组织作用。</w:t>
      </w:r>
      <w:r>
        <w:rPr>
          <w:rFonts w:hint="default" w:ascii="等线" w:hAnsi="等线" w:eastAsia="等线" w:cs="Times New Roman"/>
          <w:color w:val="000000"/>
          <w:kern w:val="2"/>
          <w:sz w:val="32"/>
          <w:szCs w:val="32"/>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（九）配合有关部门做好防汛、防风、防火、防震、抢险和防灾工作。</w:t>
      </w:r>
      <w:r>
        <w:rPr>
          <w:rFonts w:hint="default" w:ascii="等线" w:hAnsi="等线" w:eastAsia="等线" w:cs="Times New Roman"/>
          <w:color w:val="000000"/>
          <w:kern w:val="2"/>
          <w:sz w:val="32"/>
          <w:szCs w:val="32"/>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（十）向区人民政府反映居民群众的意见和要求，办理人民群众来信来访事项。</w:t>
      </w:r>
      <w:r>
        <w:rPr>
          <w:rFonts w:hint="default" w:ascii="等线" w:hAnsi="等线" w:eastAsia="等线" w:cs="Times New Roman"/>
          <w:color w:val="000000"/>
          <w:kern w:val="2"/>
          <w:sz w:val="32"/>
          <w:szCs w:val="32"/>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（十一）承办区政府交办的其它工作。</w:t>
      </w:r>
      <w:r>
        <w:rPr>
          <w:rFonts w:hint="default" w:ascii="等线" w:hAnsi="等线" w:eastAsia="等线" w:cs="Times New Roman"/>
          <w:color w:val="000000"/>
          <w:kern w:val="2"/>
          <w:sz w:val="32"/>
          <w:szCs w:val="32"/>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二、机构设置及决算单位构成</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（一）内设机构设置</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冷水滩区杨家桥街道办事处内设机构包括：本单位共有编制人数40人，实有人数130人。内设6个职能办公室，分别为：党政综合办公室、基屋党建办公室、经济发展办公室、社会事务办公室、公共服务办公室、城市管理办公室。</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（二）决算单位构成</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冷水滩区杨家桥街道办事处为一级预算单位，无独立二级单位，因此本次决算公开单位为冷水滩区杨家桥街道办事处本级。</w:t>
      </w:r>
      <w:r>
        <w:rPr>
          <w:rFonts w:hint="default" w:ascii="等线" w:hAnsi="等线" w:eastAsia="等线" w:cs="Times New Roman"/>
          <w:color w:val="000000"/>
          <w:kern w:val="2"/>
          <w:sz w:val="27"/>
          <w:szCs w:val="27"/>
        </w:rPr>
        <w:t xml:space="preserve"> </w:t>
      </w:r>
    </w:p>
    <w:p>
      <w:pPr>
        <w:rPr>
          <w:rFonts w:hint="default" w:ascii="等线" w:hAnsi="等线" w:eastAsia="等线" w:cs="Times New Roman"/>
          <w:color w:val="000000"/>
          <w:kern w:val="2"/>
          <w:sz w:val="32"/>
          <w:szCs w:val="32"/>
        </w:rPr>
        <w:sectPr>
          <w:pgSz w:w="11906" w:h="16838" w:orient="landscape"/>
          <w:pgMar w:top="1440" w:right="1080" w:bottom="1440" w:left="1080" w:header="851" w:footer="992" w:gutter="0"/>
          <w:cols w:space="0" w:num="1"/>
          <w:docGrid w:type="lines" w:linePitch="160" w:charSpace="0"/>
        </w:sectPr>
      </w:pPr>
    </w:p>
    <w:p>
      <w:pPr>
        <w:spacing w:before="0" w:beforeAutospacing="0" w:after="2" w:afterAutospacing="0"/>
        <w:ind w:left="0" w:firstLine="721"/>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ind w:left="0" w:firstLine="721"/>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第二部分 2021年度部门决算表</w:t>
      </w:r>
      <w:r>
        <w:rPr>
          <w:rFonts w:hint="default" w:ascii="等线" w:hAnsi="等线" w:eastAsia="等线" w:cs="Times New Roman"/>
          <w:color w:val="000000"/>
          <w:kern w:val="2"/>
          <w:sz w:val="21"/>
          <w:szCs w:val="21"/>
        </w:rPr>
        <w:t xml:space="preserve"> </w:t>
      </w:r>
    </w:p>
    <w:p>
      <w:pPr>
        <w:pStyle w:val="18"/>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02"/>
        <w:gridCol w:w="648"/>
        <w:gridCol w:w="2569"/>
        <w:gridCol w:w="4802"/>
        <w:gridCol w:w="648"/>
        <w:gridCol w:w="2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5000" w:type="pct"/>
            <w:gridSpan w:val="6"/>
            <w:tcBorders>
              <w:top w:val="nil"/>
              <w:left w:val="nil"/>
              <w:bottom w:val="nil"/>
              <w:right w:val="nil"/>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799"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002" w:type="pct"/>
            <w:gridSpan w:val="2"/>
            <w:tcBorders>
              <w:top w:val="nil"/>
              <w:left w:val="nil"/>
              <w:bottom w:val="nil"/>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997" w:type="pct"/>
            <w:gridSpan w:val="4"/>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部门：永州市冷水滩区杨家桥街道办事处</w:t>
            </w:r>
          </w:p>
        </w:tc>
        <w:tc>
          <w:tcPr>
            <w:tcW w:w="1002" w:type="pct"/>
            <w:gridSpan w:val="2"/>
            <w:tcBorders>
              <w:top w:val="nil"/>
              <w:left w:val="nil"/>
              <w:bottom w:val="single" w:color="666666" w:sz="6" w:space="0"/>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收入</w:t>
            </w:r>
          </w:p>
        </w:tc>
        <w:tc>
          <w:tcPr>
            <w:tcW w:w="2500" w:type="pct"/>
            <w:gridSpan w:val="3"/>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行次</w:t>
            </w: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金额</w:t>
            </w: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行次</w:t>
            </w: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20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20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一、一般公共预算财政拨款收入</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1,580.40</w:t>
            </w: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一、一般公共服务支出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32</w:t>
            </w: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1,273.17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二、政府性基金预算财政拨款收入</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二、外交支出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33</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三、国有资本经营预算财政拨款收入</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三、国防支出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34</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四、上级补助收入</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四、公共安全支出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35</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五、事业收入</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五、教育支出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36</w:t>
            </w: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六、经营收入</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六、科学技术支出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37</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七、附属单位上缴收入</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七、文化旅游体育与传媒支出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38</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八、其他收入</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八、社会保障和就业支出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w:t>
            </w: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9</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九、卫生健康支出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w:t>
            </w: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十、节能环保支出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41</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十一、城乡社区支出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42</w:t>
            </w: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十二、农林水支出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43</w:t>
            </w: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13</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十三、交通运输支出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44</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十四、资源勘探工业信息等支出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45</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十五、商业服务业等支出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46</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十六、金融支出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十七、援助其他地区支出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48</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18</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十八、自然资源海洋气象等支出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49</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19</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十九、住房保障支出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50</w:t>
            </w: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二十、粮油物资储备支出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51</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二十一、国有资本经营预算支出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52</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二十二、灾害防治及应急管理支出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53</w:t>
            </w: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23</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二十三、其他支出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54</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bCs/>
                <w:kern w:val="2"/>
                <w:sz w:val="20"/>
                <w:szCs w:val="20"/>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24</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二十四、债务还本支出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55</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25</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二十五、债务付息支出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56</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26</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二十六、抗疫特别国债安排的支出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本年收入合计</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27</w:t>
            </w: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1,580.40</w:t>
            </w: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本年支出合计</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58</w:t>
            </w: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1,580.40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使用非财政拨款结余</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28</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结余分配</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59</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年初结转和结余</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29</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年末结转和结余</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60</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61</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总计</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w:t>
            </w: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1,580.40</w:t>
            </w: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总计</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62</w:t>
            </w: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1,580.40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6"/>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注：本表反映部门本年度的总收支和年末结转结余情况。本表金额转换为万元时，因四舍五入可能存在尾数误差。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58"/>
        <w:gridCol w:w="359"/>
        <w:gridCol w:w="369"/>
        <w:gridCol w:w="3192"/>
        <w:gridCol w:w="2175"/>
        <w:gridCol w:w="1591"/>
        <w:gridCol w:w="1591"/>
        <w:gridCol w:w="1591"/>
        <w:gridCol w:w="1617"/>
        <w:gridCol w:w="1591"/>
        <w:gridCol w:w="1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5000" w:type="pct"/>
            <w:gridSpan w:val="11"/>
            <w:tcBorders>
              <w:top w:val="nil"/>
              <w:left w:val="nil"/>
              <w:bottom w:val="nil"/>
              <w:right w:val="nil"/>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1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1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99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678"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994" w:type="pct"/>
            <w:gridSpan w:val="2"/>
            <w:tcBorders>
              <w:top w:val="nil"/>
              <w:left w:val="nil"/>
              <w:bottom w:val="nil"/>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004" w:type="pct"/>
            <w:gridSpan w:val="9"/>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部门：永州市冷水滩区杨家桥街道办事处</w:t>
            </w:r>
          </w:p>
        </w:tc>
        <w:tc>
          <w:tcPr>
            <w:tcW w:w="994" w:type="pct"/>
            <w:gridSpan w:val="2"/>
            <w:tcBorders>
              <w:top w:val="nil"/>
              <w:left w:val="nil"/>
              <w:bottom w:val="nil"/>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本年收入合计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财政拨款收入</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上级补助收入</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事业收入</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经营收入</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附属单位上缴收入</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vMerge w:val="restart"/>
            <w:tcBorders>
              <w:top w:val="nil"/>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1,580.40</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1,580.40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一般公共服务支出</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1,273.17</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1,273.17</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20101</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人大事务</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46.65</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46.65</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2010102</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一般行政管理事务</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46.65</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46.65</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20103</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政府办公厅（室）及相关机构事务</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1,184.29</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1,184.29</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2010301</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行政运行</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1,184.29</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1,184.29</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20105</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统计信息事务</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2.23</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2.23</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2010507</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专项普查活动</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2.23</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2.23</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20107</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税收事务</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40.00</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40.00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2010702</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一般行政管理事务</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40.00</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40.00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205</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教育支出</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47.35</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47.35</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20502</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普通教育</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47.35</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47.35</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2050202</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小学教育</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43.35</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43.35</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2050299</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其他普通教育支出</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4.00</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社会保障和就业支出</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20.62</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20.62</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20805</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行政事业单位养老支出</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5.13</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5.13</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2080505</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机关事业单位基本养老保险缴费支出</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2080599</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其他行政事业单位养老支出</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3.00</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20808</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抚恤</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15.48</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15.48</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2080801</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死亡抚恤</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15.48</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15.48</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210</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卫生健康支出</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14.00</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14.00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21004</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公共卫生</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14.00</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14.00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2100410</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突发公共卫生事件应急处理</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14.00</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14.00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212</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城乡社区支出</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48.20</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48.20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21201</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城乡社区管理事务</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26.40</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26.40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2120102</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一般行政管理事务</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26.40</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26.40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21205</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城乡社区环境卫生</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21.80</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21.80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2120501</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城乡社区环境卫生</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21.80</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21.80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农林水支出</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21303</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水利</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2130399</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其他水利支出</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住房保障支出</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173.13</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173.13</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22102</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住房改革支出</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173.13</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173.13</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2210201</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住房公积金</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173.13</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173.13</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224</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灾害防治及应急管理支出</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2.42</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2.42</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22402</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消防事务</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2.42</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2.42</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2240204</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消防应急救援</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2.42</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2.42</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1"/>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注：本表反映部门本年度取得的各项收入情况。本表金额转换为万元时，因四舍五入可能存在尾数误差。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00"/>
        <w:gridCol w:w="401"/>
        <w:gridCol w:w="401"/>
        <w:gridCol w:w="3551"/>
        <w:gridCol w:w="2415"/>
        <w:gridCol w:w="1771"/>
        <w:gridCol w:w="1771"/>
        <w:gridCol w:w="1777"/>
        <w:gridCol w:w="1771"/>
        <w:gridCol w:w="1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10"/>
            <w:tcBorders>
              <w:top w:val="nil"/>
              <w:left w:val="nil"/>
              <w:bottom w:val="nil"/>
              <w:right w:val="nil"/>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2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2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2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10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753"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105" w:type="pct"/>
            <w:gridSpan w:val="2"/>
            <w:tcBorders>
              <w:top w:val="nil"/>
              <w:left w:val="nil"/>
              <w:bottom w:val="nil"/>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893" w:type="pct"/>
            <w:gridSpan w:val="8"/>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部门：永州市冷水滩区杨家桥街道办事处</w:t>
            </w:r>
          </w:p>
        </w:tc>
        <w:tc>
          <w:tcPr>
            <w:tcW w:w="1105" w:type="pct"/>
            <w:gridSpan w:val="2"/>
            <w:tcBorders>
              <w:top w:val="nil"/>
              <w:left w:val="nil"/>
              <w:bottom w:val="nil"/>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本年支出合计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上缴上级支出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经营支出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vMerge w:val="restart"/>
            <w:tcBorders>
              <w:top w:val="nil"/>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1,580.40</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1,467.35</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113.05</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一般公共服务支出</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1,273.17</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1,186.52</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86.65</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20101</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人大事务</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46.65</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46.65</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2010102</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一般行政管理事务</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46.65</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46.65</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20103</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政府办公厅（室）及相关机构事务</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1,184.29</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1,184.29</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2010301</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行政运行</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1,184.29</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1,184.29</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20105</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统计信息事务</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2.23</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2.23</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2010507</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专项普查活动</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2.23</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2.23</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20107</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税收事务</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2010702</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一般行政管理事务</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205</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教育支出</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47.35</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47.35</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20502</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普通教育</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47.35</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47.35</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2050202</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小学教育</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43.35</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43.35</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2050299</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其他普通教育支出</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4.00</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社会保障和就业支出</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20.62</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20.62</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20805</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行政事业单位养老支出</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5.13</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5.13</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2080505</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机关事业单位基本养老保险缴费支出</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2080599</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其他行政事业单位养老支出</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3.00</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20808</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抚恤</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15.48</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15.48</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2080801</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死亡抚恤</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15.48</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15.48</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210</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卫生健康支出</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14.00</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21004</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公共卫生</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14.00</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2100410</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突发公共卫生事件应急处理</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14.00</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212</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城乡社区支出</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48.20</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21.80</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26.40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21201</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城乡社区管理事务</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26.40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26.40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2120102</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一般行政管理事务</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26.40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26.40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21205</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城乡社区环境卫生</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21.80</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21.80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2120501</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城乡社区环境卫生</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21.80</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21.80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农林水支出</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21303</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水利</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2130399</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其他水利支出</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住房保障支出</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173.13</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173.13</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22102</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住房改革支出</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173.13</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173.13</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2210201</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住房公积金</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173.13</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173.13</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224</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灾害防治及应急管理支出</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2.42</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2.42</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22402</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消防事务</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2.42</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2.42</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2240204</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消防应急救援</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2.42</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2.42</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0"/>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注：本表反映部门本年度各项支出情况。本表金额转换为万元时，因四舍五入可能存在尾数误差。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04"/>
        <w:gridCol w:w="529"/>
        <w:gridCol w:w="1559"/>
        <w:gridCol w:w="3692"/>
        <w:gridCol w:w="529"/>
        <w:gridCol w:w="2130"/>
        <w:gridCol w:w="1463"/>
        <w:gridCol w:w="1459"/>
        <w:gridCol w:w="1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9"/>
            <w:tcBorders>
              <w:top w:val="nil"/>
              <w:left w:val="nil"/>
              <w:bottom w:val="nil"/>
              <w:right w:val="nil"/>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8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66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911" w:type="pct"/>
            <w:gridSpan w:val="2"/>
            <w:tcBorders>
              <w:top w:val="nil"/>
              <w:left w:val="nil"/>
              <w:bottom w:val="nil"/>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086" w:type="pct"/>
            <w:gridSpan w:val="7"/>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部门：永州市冷水滩区杨家桥街道办事处</w:t>
            </w:r>
          </w:p>
        </w:tc>
        <w:tc>
          <w:tcPr>
            <w:tcW w:w="911" w:type="pct"/>
            <w:gridSpan w:val="2"/>
            <w:tcBorders>
              <w:top w:val="nil"/>
              <w:left w:val="nil"/>
              <w:bottom w:val="single" w:color="666666" w:sz="6" w:space="0"/>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收 入</w:t>
            </w:r>
          </w:p>
        </w:tc>
        <w:tc>
          <w:tcPr>
            <w:tcW w:w="3349" w:type="pct"/>
            <w:gridSpan w:val="6"/>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nil"/>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金额</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一般公共预算财政拨款</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政府性基金预算财政拨款</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pct"/>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16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8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16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45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5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5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一、一般公共预算财政拨款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48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1,580.40</w:t>
            </w: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一、一般公共服务支出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33</w:t>
            </w:r>
          </w:p>
        </w:tc>
        <w:tc>
          <w:tcPr>
            <w:tcW w:w="6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1,273.17</w:t>
            </w:r>
          </w:p>
        </w:tc>
        <w:tc>
          <w:tcPr>
            <w:tcW w:w="45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1,273.17</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二、政府性基金预算财政拨款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二、外交支出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34</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三、国有资本经营财政拨款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三、国防支出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35</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四、公共安全支出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36</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五、教育支出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37</w:t>
            </w:r>
          </w:p>
        </w:tc>
        <w:tc>
          <w:tcPr>
            <w:tcW w:w="6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47.35</w:t>
            </w:r>
          </w:p>
        </w:tc>
        <w:tc>
          <w:tcPr>
            <w:tcW w:w="45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47.35</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六、科学技术支出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38</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七、文化旅游体育与传媒支出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八、社会保障和就业支出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w:t>
            </w:r>
          </w:p>
        </w:tc>
        <w:tc>
          <w:tcPr>
            <w:tcW w:w="6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20.62</w:t>
            </w:r>
          </w:p>
        </w:tc>
        <w:tc>
          <w:tcPr>
            <w:tcW w:w="45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20.62</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9</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九、卫生健康支出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41</w:t>
            </w:r>
          </w:p>
        </w:tc>
        <w:tc>
          <w:tcPr>
            <w:tcW w:w="6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14.00</w:t>
            </w:r>
          </w:p>
        </w:tc>
        <w:tc>
          <w:tcPr>
            <w:tcW w:w="45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14.00</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十、节能环保支出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42</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十一、城乡社区支出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43</w:t>
            </w:r>
          </w:p>
        </w:tc>
        <w:tc>
          <w:tcPr>
            <w:tcW w:w="6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48.20</w:t>
            </w:r>
          </w:p>
        </w:tc>
        <w:tc>
          <w:tcPr>
            <w:tcW w:w="45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48.20</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十二、农林水支出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44</w:t>
            </w:r>
          </w:p>
        </w:tc>
        <w:tc>
          <w:tcPr>
            <w:tcW w:w="6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w:t>
            </w:r>
          </w:p>
        </w:tc>
        <w:tc>
          <w:tcPr>
            <w:tcW w:w="45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13</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十三、交通运输支出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45</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十四、资源勘探工业信息等支出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46</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十五、商业服务业等支出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十六、金融支出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48</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十七、援助其他地区支出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49</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18</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十八、自然资源海洋气象等支出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50</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19</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十九、住房保障支出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51</w:t>
            </w:r>
          </w:p>
        </w:tc>
        <w:tc>
          <w:tcPr>
            <w:tcW w:w="6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173.13</w:t>
            </w:r>
          </w:p>
        </w:tc>
        <w:tc>
          <w:tcPr>
            <w:tcW w:w="45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173.13</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二十、粮油物资储备支出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52</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二十一、国有资本经营预算支出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53</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二十二、灾害防治及应急管理支出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54</w:t>
            </w:r>
          </w:p>
        </w:tc>
        <w:tc>
          <w:tcPr>
            <w:tcW w:w="6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2.42</w:t>
            </w:r>
          </w:p>
        </w:tc>
        <w:tc>
          <w:tcPr>
            <w:tcW w:w="45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2.42</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23</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二十三、其他支出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55</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bCs/>
                <w:kern w:val="2"/>
                <w:sz w:val="20"/>
                <w:szCs w:val="20"/>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二十四、债务还本支出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56</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25</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二十五、债务付息支出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二十六、抗疫特别国债安排的支出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58</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本年收入合计</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27</w:t>
            </w:r>
          </w:p>
        </w:tc>
        <w:tc>
          <w:tcPr>
            <w:tcW w:w="48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1,580.40</w:t>
            </w: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本年支出合计</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59</w:t>
            </w:r>
          </w:p>
        </w:tc>
        <w:tc>
          <w:tcPr>
            <w:tcW w:w="6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1,580.40</w:t>
            </w:r>
          </w:p>
        </w:tc>
        <w:tc>
          <w:tcPr>
            <w:tcW w:w="45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1,580.40</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年初财政拨款结转和结余</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28</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年末财政拨款结转和结余</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60</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一般公共预算财政拨款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29</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61</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政府性基金预算财政拨款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62</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国有资本经营预算财政拨款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63</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总计</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32</w:t>
            </w:r>
          </w:p>
        </w:tc>
        <w:tc>
          <w:tcPr>
            <w:tcW w:w="48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1,580.40</w:t>
            </w: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总计</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64</w:t>
            </w:r>
          </w:p>
        </w:tc>
        <w:tc>
          <w:tcPr>
            <w:tcW w:w="6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1,580.40</w:t>
            </w:r>
          </w:p>
        </w:tc>
        <w:tc>
          <w:tcPr>
            <w:tcW w:w="45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1,580.40</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9"/>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注：本表反映部门本年度一般公共预算财政拨款、政府性基金预算财政拨款和国有资本经营预算财政拨款的总收支和年末结转结余情况。本表金额转换为万元时，因四舍五入可能存在尾数误差。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2"/>
        <w:gridCol w:w="452"/>
        <w:gridCol w:w="455"/>
        <w:gridCol w:w="5398"/>
        <w:gridCol w:w="3092"/>
        <w:gridCol w:w="3093"/>
        <w:gridCol w:w="3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7"/>
            <w:tcBorders>
              <w:top w:val="nil"/>
              <w:left w:val="nil"/>
              <w:bottom w:val="nil"/>
              <w:right w:val="nil"/>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1"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41"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41"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68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928" w:type="pct"/>
            <w:gridSpan w:val="2"/>
            <w:tcBorders>
              <w:top w:val="nil"/>
              <w:left w:val="nil"/>
              <w:bottom w:val="nil"/>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071" w:type="pct"/>
            <w:gridSpan w:val="5"/>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部门：永州市冷水滩区杨家桥街道办事处</w:t>
            </w:r>
          </w:p>
        </w:tc>
        <w:tc>
          <w:tcPr>
            <w:tcW w:w="1928" w:type="pct"/>
            <w:gridSpan w:val="2"/>
            <w:tcBorders>
              <w:top w:val="nil"/>
              <w:left w:val="nil"/>
              <w:bottom w:val="single" w:color="666666" w:sz="6" w:space="0"/>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2892" w:type="pct"/>
            <w:gridSpan w:val="3"/>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vMerge w:val="restart"/>
            <w:tcBorders>
              <w:top w:val="nil"/>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小计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1,580.40</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1,467.35</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113.05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一般公共服务支出</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1,273.17</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1,186.52</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20101</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人大事务</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46.65</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2010102</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一般行政管理事务</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46.65</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20103</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政府办公厅（室）及相关机构事务</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1,184.29</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1,184.29</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2010301</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行政运行</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1,184.29</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1,184.29</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20105</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统计信息事务</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2.23</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2.23</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2010507</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专项普查活动</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2.23</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2.23</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20107</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税收事务</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40.00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2010702</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一般行政管理事务</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40.00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205</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教育支出</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47.35</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47.35</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20502</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普通教育</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47.35</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47.35</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2050202</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小学教育</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43.35</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43.35</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2050299</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其他普通教育支出</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4.00</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社会保障和就业支出</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20.62</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20.62</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20805</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行政事业单位养老支出</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5.13</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5.13</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2080505</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机关事业单位基本养老保险缴费支出</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2080599</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其他行政事业单位养老支出</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3.00</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20808</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抚恤</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15.48</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15.48</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2080801</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死亡抚恤</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15.48</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15.48</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210</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卫生健康支出</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14.00</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14.00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21004</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公共卫生</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14.00</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14.00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2100410</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突发公共卫生事件应急处理</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14.00</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14.00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212</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城乡社区支出</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48.20</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21.80</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21201</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城乡社区管理事务</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26.40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2120102</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一般行政管理事务</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26.40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21205</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城乡社区环境卫生</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21.80</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21.80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2120501</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城乡社区环境卫生</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21.80</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21.80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农林水支出</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21303</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水利</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2130399</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其他水利支出</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住房保障支出</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173.13</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173.13</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22102</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住房改革支出</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173.13</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173.13</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2210201</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住房公积金</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173.13</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173.13</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224</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灾害防治及应急管理支出</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2.42</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2.42</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22402</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消防事务</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2.42</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2.42</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2240204</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消防应急救援</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2.42</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2.42</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7"/>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注：本表反映部门本年度一般公共预算财政拨款支出情况。本表金额转换为万元时，因四舍五入可能存在尾数误差。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18"/>
        <w:gridCol w:w="3380"/>
        <w:gridCol w:w="1726"/>
        <w:gridCol w:w="719"/>
        <w:gridCol w:w="2656"/>
        <w:gridCol w:w="1726"/>
        <w:gridCol w:w="725"/>
        <w:gridCol w:w="2659"/>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9"/>
            <w:tcBorders>
              <w:top w:val="nil"/>
              <w:left w:val="nil"/>
              <w:bottom w:val="nil"/>
              <w:right w:val="nil"/>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053"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538"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828"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538"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366" w:type="pct"/>
            <w:gridSpan w:val="2"/>
            <w:tcBorders>
              <w:top w:val="nil"/>
              <w:left w:val="nil"/>
              <w:bottom w:val="nil"/>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18"/>
                <w:szCs w:val="18"/>
                <w:bdr w:val="none" w:color="auto" w:sz="0" w:space="0"/>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632" w:type="pct"/>
            <w:gridSpan w:val="7"/>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部门：永州市冷水滩区杨家桥街道办事处</w:t>
            </w:r>
          </w:p>
        </w:tc>
        <w:tc>
          <w:tcPr>
            <w:tcW w:w="1366" w:type="pct"/>
            <w:gridSpan w:val="2"/>
            <w:tcBorders>
              <w:top w:val="nil"/>
              <w:left w:val="nil"/>
              <w:bottom w:val="single" w:color="666666" w:sz="6" w:space="0"/>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18"/>
                <w:szCs w:val="18"/>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人员经费</w:t>
            </w:r>
          </w:p>
        </w:tc>
        <w:tc>
          <w:tcPr>
            <w:tcW w:w="3182" w:type="pct"/>
            <w:gridSpan w:val="6"/>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科目编码</w:t>
            </w:r>
          </w:p>
        </w:tc>
        <w:tc>
          <w:tcPr>
            <w:tcW w:w="0" w:type="pct"/>
            <w:vMerge w:val="restart"/>
            <w:tcBorders>
              <w:top w:val="nil"/>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决算数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科目编码</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决算数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科目编码</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pct"/>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301</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工资福利支出</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1,220.33</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302</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商品和服务支出</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226.14</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307</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债务利息及费用支出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30101</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基本工资</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532.66</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30201</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办公费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54.87</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30701</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国内债务付息</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30102</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津贴补贴</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27.25</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30202</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印刷费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22.41</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30702</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国外债务付息</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30103</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奖金</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168.87</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30203</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咨询费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310</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资本性支出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30106</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伙食补助费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30204</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手续费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31001</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房屋建筑物购建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30107</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绩效工资</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137.80</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30205</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水费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0.30</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31002</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办公设备购置</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30108</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机关事业单位基本养老保险缴费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114.06</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30206</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电费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3.55</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31003</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专用设备购置</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30109</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职业年金缴费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30207</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邮电费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0.47</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31005</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基础设施建设</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30110</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职工基本医疗保险缴费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64.39</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30208</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取暖费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31006</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大型修缮</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30111</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公务员医疗补助缴费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30209</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物业管理费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31007</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信息网络及软件购置更新</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30112</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其他社会保障缴费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2.17</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30211</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差旅费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2.06</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31008</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物资储备</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30113</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住房公积金</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173.13</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30212</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因公出国（境）费用</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31009</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土地补偿</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30114</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医疗费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30213</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维修（护）费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6.88</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31010</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安置补助</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30199</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其他工资福利支出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30214</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租赁费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31011</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地上附着物和青苗补偿</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303</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对个人和家庭的补助</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20.88</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30215</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会议费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31012</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拆迁补偿</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30301</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离休费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30216</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培训费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0.24</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31013</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30302</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退休费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30217</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公务接待费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0.32</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31019</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其他交通工具购置</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30303</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退职（役）费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30218</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专用材料费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10.00</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31021</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文物和陈列品购置</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30304</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抚恤金</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15.48</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30224</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被装购置费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31022</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无形资产购置</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30305</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生活补助</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5.39</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30225</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专用燃料费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31099</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其他资本性支出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30306</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救济费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30226</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劳务费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43.80</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399</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其他支出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30307</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医疗费补助</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30227</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委托业务费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39906</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赠与</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30308</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助学金</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30228</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工会经费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22.00</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39907</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国家赔偿费用支出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30309</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奖励金</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30229</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福利费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39908</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对民间非营利组织和群众性自治组织补贴</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30310</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个人农业生产补贴</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30231</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公务用车运行维护费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3.77</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39999</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其他支出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30311</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代缴社会保险费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30239</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其他交通费用</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42.58</w:t>
            </w:r>
          </w:p>
        </w:tc>
        <w:tc>
          <w:tcPr>
            <w:tcW w:w="22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2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30399</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其他对个人和家庭的补助</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30240</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税金及附加费用</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2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5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30299</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其他商品和服务支出</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12.89</w:t>
            </w:r>
          </w:p>
        </w:tc>
        <w:tc>
          <w:tcPr>
            <w:tcW w:w="22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2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人员经费合计</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1,241.21</w:t>
            </w:r>
          </w:p>
        </w:tc>
        <w:tc>
          <w:tcPr>
            <w:tcW w:w="2645" w:type="pct"/>
            <w:gridSpan w:val="5"/>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公用经费合计</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226.14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9"/>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注：本表反映部门本年度一般公共预算财政拨款基本支出明细情况。本表金额转换为万元时，因四舍五入可能存在尾数误差。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12"/>
            <w:tcBorders>
              <w:top w:val="nil"/>
              <w:left w:val="nil"/>
              <w:bottom w:val="nil"/>
              <w:right w:val="nil"/>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833" w:type="pct"/>
            <w:gridSpan w:val="2"/>
            <w:tcBorders>
              <w:top w:val="nil"/>
              <w:left w:val="nil"/>
              <w:bottom w:val="nil"/>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166" w:type="pct"/>
            <w:gridSpan w:val="10"/>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部门：永州市冷水滩区杨家桥街道办事处</w:t>
            </w:r>
          </w:p>
        </w:tc>
        <w:tc>
          <w:tcPr>
            <w:tcW w:w="833" w:type="pct"/>
            <w:gridSpan w:val="2"/>
            <w:tcBorders>
              <w:top w:val="nil"/>
              <w:left w:val="nil"/>
              <w:bottom w:val="single" w:color="666666" w:sz="6" w:space="0"/>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预算数</w:t>
            </w:r>
          </w:p>
        </w:tc>
        <w:tc>
          <w:tcPr>
            <w:tcW w:w="2500" w:type="pct"/>
            <w:gridSpan w:val="6"/>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0" w:type="pct"/>
            <w:vMerge w:val="restart"/>
            <w:tcBorders>
              <w:top w:val="nil"/>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因公出国（境）费</w:t>
            </w:r>
          </w:p>
        </w:tc>
        <w:tc>
          <w:tcPr>
            <w:tcW w:w="1250" w:type="pct"/>
            <w:gridSpan w:val="3"/>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公务用车购置及运行费</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公务接待费</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因公出国（境）费</w:t>
            </w:r>
          </w:p>
        </w:tc>
        <w:tc>
          <w:tcPr>
            <w:tcW w:w="1250" w:type="pct"/>
            <w:gridSpan w:val="3"/>
            <w:tcBorders>
              <w:top w:val="single" w:color="666666" w:sz="6" w:space="0"/>
              <w:left w:val="nil"/>
              <w:bottom w:val="nil"/>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公务用车购置及运行费</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pct"/>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小计</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公务用车购置费</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公务用车运行费</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小计</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公务用车购置费</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公务用车运行费</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9</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w:t>
            </w: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5.00</w:t>
            </w: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5.00</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2.00</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4.09</w:t>
            </w: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3.77</w:t>
            </w: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3.77</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2"/>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33"/>
        <w:gridCol w:w="334"/>
        <w:gridCol w:w="334"/>
        <w:gridCol w:w="3458"/>
        <w:gridCol w:w="1180"/>
        <w:gridCol w:w="1969"/>
        <w:gridCol w:w="1075"/>
        <w:gridCol w:w="1524"/>
        <w:gridCol w:w="1517"/>
        <w:gridCol w:w="4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10"/>
            <w:tcBorders>
              <w:top w:val="nil"/>
              <w:left w:val="nil"/>
              <w:bottom w:val="nil"/>
              <w:right w:val="nil"/>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0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0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816" w:type="pct"/>
            <w:gridSpan w:val="2"/>
            <w:tcBorders>
              <w:top w:val="nil"/>
              <w:left w:val="nil"/>
              <w:bottom w:val="nil"/>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182" w:type="pct"/>
            <w:gridSpan w:val="8"/>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部门：永州市冷水滩区杨家桥街道办事处</w:t>
            </w:r>
          </w:p>
        </w:tc>
        <w:tc>
          <w:tcPr>
            <w:tcW w:w="1816" w:type="pct"/>
            <w:gridSpan w:val="2"/>
            <w:tcBorders>
              <w:top w:val="nil"/>
              <w:left w:val="nil"/>
              <w:bottom w:val="nil"/>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年初结转和结余</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本年收入</w:t>
            </w:r>
          </w:p>
        </w:tc>
        <w:tc>
          <w:tcPr>
            <w:tcW w:w="1281" w:type="pct"/>
            <w:gridSpan w:val="3"/>
            <w:tcBorders>
              <w:top w:val="single" w:color="666666" w:sz="6" w:space="0"/>
              <w:left w:val="nil"/>
              <w:bottom w:val="nil"/>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12" w:type="pct"/>
            <w:gridSpan w:val="3"/>
            <w:vMerge w:val="restart"/>
            <w:tcBorders>
              <w:top w:val="nil"/>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restart"/>
            <w:tcBorders>
              <w:top w:val="nil"/>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小计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项目支出</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12"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36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61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33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7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7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134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0"/>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注：本表反映部门本年度政府性基金预算财政拨款收入、支出及结转和结余情况。本单位没有政府性基金收入，也没有使用政府性基金安排的支出，故本表无数据。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9"/>
        <w:gridCol w:w="529"/>
        <w:gridCol w:w="532"/>
        <w:gridCol w:w="6329"/>
        <w:gridCol w:w="2707"/>
        <w:gridCol w:w="2704"/>
        <w:gridCol w:w="2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7"/>
            <w:tcBorders>
              <w:top w:val="nil"/>
              <w:left w:val="nil"/>
              <w:bottom w:val="nil"/>
              <w:right w:val="nil"/>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6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686" w:type="pct"/>
            <w:gridSpan w:val="2"/>
            <w:tcBorders>
              <w:top w:val="nil"/>
              <w:left w:val="nil"/>
              <w:bottom w:val="nil"/>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13" w:type="pct"/>
            <w:gridSpan w:val="5"/>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部门：永州市冷水滩区杨家桥街道办事处</w:t>
            </w:r>
          </w:p>
        </w:tc>
        <w:tc>
          <w:tcPr>
            <w:tcW w:w="1686" w:type="pct"/>
            <w:gridSpan w:val="2"/>
            <w:tcBorders>
              <w:top w:val="nil"/>
              <w:left w:val="nil"/>
              <w:bottom w:val="single" w:color="666666" w:sz="6" w:space="0"/>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2530" w:type="pct"/>
            <w:gridSpan w:val="3"/>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96" w:type="pct"/>
            <w:gridSpan w:val="3"/>
            <w:vMerge w:val="restart"/>
            <w:tcBorders>
              <w:top w:val="nil"/>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84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84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84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7"/>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注：本表反映部门本年度国有资本经营预算财政拨款支出情况。本单位没有国有资本经营预算财政拨款收入，也没有使用国有资本经营预算财政拨款安排的支出，故本表无数据。</w:t>
            </w:r>
          </w:p>
        </w:tc>
      </w:tr>
    </w:tbl>
    <w:p>
      <w:pPr>
        <w:rPr>
          <w:rFonts w:hint="default" w:ascii="等线" w:hAnsi="等线" w:eastAsia="等线" w:cs="Times New Roman"/>
          <w:color w:val="000000"/>
          <w:kern w:val="2"/>
          <w:sz w:val="32"/>
          <w:szCs w:val="32"/>
        </w:rPr>
        <w:sectPr>
          <w:pgSz w:w="16838" w:h="11906"/>
          <w:pgMar w:top="1080" w:right="400" w:bottom="1080" w:left="400" w:header="851" w:footer="992" w:gutter="0"/>
          <w:cols w:space="0" w:num="1"/>
          <w:docGrid w:type="lines" w:linePitch="160" w:charSpace="0"/>
        </w:sectPr>
      </w:pP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第三部分 2021年度部门决算情况说明</w:t>
      </w:r>
      <w:r>
        <w:rPr>
          <w:rFonts w:hint="default" w:ascii="等线" w:hAnsi="等线" w:eastAsia="等线" w:cs="Times New Roman"/>
          <w:color w:val="000000"/>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一、收入支出决算总体情况说明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2021年度收、支总计1,580.4万元。与上一年度相比，收、支总计各减少81.11万元，下降4.88%。主要是因为因疫情，政策收缩开支。</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二、收入决算情况说明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2021年度收入合计1,580.4万元，其中：财政拨款收入1,580.4万元，占100%；上级补助收入0万元，占0%；事业收入0万元，占0%；经营收入0万元，占0%；附属单位上缴收入0万元，占0%；其他收入0万元，占0%。</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三、支出决算情况说明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2021年度支出合计1,580.4万元，其中：基本支出1,467.35万元，占92.85%；项目支出113.05万元，占7.15%；上缴上级支出0万元，占0%；经营支出0万元，占0%；对附属单位补助支出0万元，占0%。</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四、财政拨款收入支出决算总体情况说明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2021年度财政拨款收、支总计1,580.4万元。与上一年度相比，财政拨款收、支总计各减少81.11万元，下降4.88%。主要是因为因疫情，政策收缩开支。</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五、一般公共预算财政拨款支出决算情况说明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（一）财政拨款支出决算总体情况</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855"/>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2021年度财政拨款支出1,580.4万元，占本年支出合计的100%。与上一年度相比，财政拨款支出减少81.11万元，下降4.88%。主要是因为因疫情，政策收缩开支。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（二）财政拨款支出决算结构情况</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支出1,580.4万元，主要用于以下方面：一般公共服务支出1,273.17万元，占80.57%；教育支出47.35万元，占3%；社会保障和就业支出20.62万元，占1.3%；卫生健康支出14万元，占0.89%；城乡社区支出48.2万元，占3.05%；农林水支出1.5万元，占0.09%；住房保障支出173.13万元，占10.95%；灾害防治及应急管理支出2.42万元，占0.15%。</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（三）财政拨款支出决算具体情况</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2021年度财政拨款支出年初预算数为1,746.65万元，支出决算数为1,580.4万元，完成年初预算的90.48%，其中：</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Style w:val="17"/>
          <w:rFonts w:hint="eastAsia" w:ascii="宋体" w:hAnsi="宋体" w:eastAsia="宋体" w:cs="宋体"/>
          <w:b/>
          <w:bCs w:val="0"/>
          <w:color w:val="000000"/>
          <w:sz w:val="32"/>
          <w:szCs w:val="32"/>
        </w:rPr>
        <w:t>1、一般公共服务支出（类）人大事务（款）一般行政管理事务（项）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年初预算为0万元，支出决算为46.65万元，由于预算数为0，无法计算百分比。决算数大于年初预算数的主要原因是：根据资金实际使用情况，科目进行了调整。</w:t>
      </w:r>
    </w:p>
    <w:p>
      <w:pPr>
        <w:pStyle w:val="14"/>
        <w:spacing w:before="0" w:beforeAutospacing="0" w:after="2" w:afterAutospacing="0"/>
        <w:ind w:left="0" w:firstLine="641"/>
        <w:rPr>
          <w:rFonts w:hint="default" w:ascii="等线" w:hAnsi="等线" w:eastAsia="等线" w:cs="Times New Roman"/>
          <w:kern w:val="2"/>
          <w:sz w:val="27"/>
          <w:szCs w:val="27"/>
        </w:rPr>
      </w:pPr>
      <w:r>
        <w:rPr>
          <w:rStyle w:val="17"/>
          <w:rFonts w:hint="eastAsia" w:ascii="宋体" w:hAnsi="宋体" w:eastAsia="宋体" w:cs="宋体"/>
          <w:b/>
          <w:bCs w:val="0"/>
          <w:color w:val="000000"/>
          <w:sz w:val="32"/>
          <w:szCs w:val="32"/>
        </w:rPr>
        <w:t>2、一般公共服务支出（类）政府办公厅（室）及相关机构事务（款）行政运行（项）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年初预算为1,498.09万元，支出决算为1,184.29万元，完成年初预算的79.05%。决算数小于年初预算数的主要原因是：因疫情，政策收缩开支根据资金实际使用情况，科目进行了调整。</w:t>
      </w:r>
    </w:p>
    <w:p>
      <w:pPr>
        <w:pStyle w:val="14"/>
        <w:spacing w:before="0" w:beforeAutospacing="0" w:after="2" w:afterAutospacing="0"/>
        <w:ind w:left="0" w:firstLine="641"/>
        <w:rPr>
          <w:rFonts w:hint="default" w:ascii="等线" w:hAnsi="等线" w:eastAsia="等线" w:cs="Times New Roman"/>
          <w:kern w:val="2"/>
          <w:sz w:val="27"/>
          <w:szCs w:val="27"/>
        </w:rPr>
      </w:pPr>
      <w:r>
        <w:rPr>
          <w:rStyle w:val="17"/>
          <w:rFonts w:hint="eastAsia" w:ascii="宋体" w:hAnsi="宋体" w:eastAsia="宋体" w:cs="宋体"/>
          <w:b/>
          <w:bCs w:val="0"/>
          <w:color w:val="000000"/>
          <w:sz w:val="32"/>
          <w:szCs w:val="32"/>
        </w:rPr>
        <w:t>3、一般公共服务支出（类）统计信息事务（款）专项普查活动（项）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年初预算为0万元，支出决算为2.23万元，由于预算数为0，无法计算百分比。决算数大于年初预算数的主要原因是：因疫情，政策收缩开支根据资金实际使用情况，科目进行了调整。</w:t>
      </w:r>
    </w:p>
    <w:p>
      <w:pPr>
        <w:pStyle w:val="14"/>
        <w:spacing w:before="0" w:beforeAutospacing="0" w:after="2" w:afterAutospacing="0"/>
        <w:ind w:left="0" w:firstLine="641"/>
        <w:rPr>
          <w:rFonts w:hint="default" w:ascii="等线" w:hAnsi="等线" w:eastAsia="等线" w:cs="Times New Roman"/>
          <w:kern w:val="2"/>
          <w:sz w:val="27"/>
          <w:szCs w:val="27"/>
        </w:rPr>
      </w:pPr>
      <w:r>
        <w:rPr>
          <w:rStyle w:val="17"/>
          <w:rFonts w:hint="eastAsia" w:ascii="宋体" w:hAnsi="宋体" w:eastAsia="宋体" w:cs="宋体"/>
          <w:b/>
          <w:bCs w:val="0"/>
          <w:color w:val="000000"/>
          <w:sz w:val="32"/>
          <w:szCs w:val="32"/>
        </w:rPr>
        <w:t>4、一般公共服务支出（类）税收事务（款）一般行政管理事务（项）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年初预算为0万元，支出决算为40万元，由于预算数为0，无法计算百分比。决算数大于年初预算数的主要原因是：根据资金实际使用情况，科目进行了调整。</w:t>
      </w:r>
    </w:p>
    <w:p>
      <w:pPr>
        <w:pStyle w:val="14"/>
        <w:spacing w:before="0" w:beforeAutospacing="0" w:after="2" w:afterAutospacing="0"/>
        <w:ind w:left="0" w:firstLine="641"/>
        <w:rPr>
          <w:rFonts w:hint="default" w:ascii="等线" w:hAnsi="等线" w:eastAsia="等线" w:cs="Times New Roman"/>
          <w:kern w:val="2"/>
          <w:sz w:val="27"/>
          <w:szCs w:val="27"/>
        </w:rPr>
      </w:pPr>
      <w:r>
        <w:rPr>
          <w:rStyle w:val="17"/>
          <w:rFonts w:hint="eastAsia" w:ascii="宋体" w:hAnsi="宋体" w:eastAsia="宋体" w:cs="宋体"/>
          <w:b/>
          <w:bCs w:val="0"/>
          <w:color w:val="000000"/>
          <w:sz w:val="32"/>
          <w:szCs w:val="32"/>
        </w:rPr>
        <w:t>5、教育支出（类）普通教育（款）小学教育（项）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年初预算为0万元，支出决算为43.35万元，由于预算数为0，无法计算百分比。决算数大于年初预算数的主要原因是：根据资金实际使用情况，科目进行了调整。</w:t>
      </w:r>
    </w:p>
    <w:p>
      <w:pPr>
        <w:pStyle w:val="14"/>
        <w:spacing w:before="0" w:beforeAutospacing="0" w:after="2" w:afterAutospacing="0"/>
        <w:ind w:left="0" w:firstLine="641"/>
        <w:rPr>
          <w:rFonts w:hint="default" w:ascii="等线" w:hAnsi="等线" w:eastAsia="等线" w:cs="Times New Roman"/>
          <w:kern w:val="2"/>
          <w:sz w:val="27"/>
          <w:szCs w:val="27"/>
        </w:rPr>
      </w:pPr>
      <w:r>
        <w:rPr>
          <w:rStyle w:val="17"/>
          <w:rFonts w:hint="eastAsia" w:ascii="宋体" w:hAnsi="宋体" w:eastAsia="宋体" w:cs="宋体"/>
          <w:b/>
          <w:bCs w:val="0"/>
          <w:color w:val="000000"/>
          <w:sz w:val="32"/>
          <w:szCs w:val="32"/>
        </w:rPr>
        <w:t>6、教育支出（类）普通教育（款）其他普通教育支出（项）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年初预算为0万元，支出决算为4万元，由于预算数为0，无法计算百分比。决算数大于年初预算数的主要原因是：根据资金实际使用情况，科目进行了调整。</w:t>
      </w:r>
    </w:p>
    <w:p>
      <w:pPr>
        <w:pStyle w:val="14"/>
        <w:spacing w:before="0" w:beforeAutospacing="0" w:after="2" w:afterAutospacing="0"/>
        <w:ind w:left="0" w:firstLine="641"/>
        <w:rPr>
          <w:rFonts w:hint="default" w:ascii="等线" w:hAnsi="等线" w:eastAsia="等线" w:cs="Times New Roman"/>
          <w:kern w:val="2"/>
          <w:sz w:val="27"/>
          <w:szCs w:val="27"/>
        </w:rPr>
      </w:pPr>
      <w:r>
        <w:rPr>
          <w:rStyle w:val="17"/>
          <w:rFonts w:hint="eastAsia" w:ascii="宋体" w:hAnsi="宋体" w:eastAsia="宋体" w:cs="宋体"/>
          <w:b/>
          <w:bCs w:val="0"/>
          <w:color w:val="000000"/>
          <w:sz w:val="32"/>
          <w:szCs w:val="32"/>
        </w:rPr>
        <w:t>7、社会保障和就业支出（类）行政事业单位养老支出（款）机关事业单位基本养老保险缴费支出（项）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年初预算为0万元，支出决算为2.13万元，由于预算数为0，无法计算百分比。决算数大于年初预算数的主要原因是：根据资金实际使用情况，科目进行了调整。</w:t>
      </w:r>
    </w:p>
    <w:p>
      <w:pPr>
        <w:pStyle w:val="14"/>
        <w:spacing w:before="0" w:beforeAutospacing="0" w:after="2" w:afterAutospacing="0"/>
        <w:ind w:left="0" w:firstLine="641"/>
        <w:rPr>
          <w:rFonts w:hint="default" w:ascii="等线" w:hAnsi="等线" w:eastAsia="等线" w:cs="Times New Roman"/>
          <w:kern w:val="2"/>
          <w:sz w:val="27"/>
          <w:szCs w:val="27"/>
        </w:rPr>
      </w:pPr>
      <w:r>
        <w:rPr>
          <w:rStyle w:val="17"/>
          <w:rFonts w:hint="eastAsia" w:ascii="宋体" w:hAnsi="宋体" w:eastAsia="宋体" w:cs="宋体"/>
          <w:b/>
          <w:bCs w:val="0"/>
          <w:color w:val="000000"/>
          <w:sz w:val="32"/>
          <w:szCs w:val="32"/>
        </w:rPr>
        <w:t>8、社会保障和就业支出（类）行政事业单位养老支出（款）其他行政事业单位养老支出（项）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年初预算为0万元，支出决算为3万元，由于预算数为0，无法计算百分比。决算数大于年初预算数的主要原因是：根据资金实际使用情况，科目进行了调整。</w:t>
      </w:r>
    </w:p>
    <w:p>
      <w:pPr>
        <w:pStyle w:val="14"/>
        <w:spacing w:before="0" w:beforeAutospacing="0" w:after="2" w:afterAutospacing="0"/>
        <w:ind w:left="0" w:firstLine="641"/>
        <w:rPr>
          <w:rFonts w:hint="default" w:ascii="等线" w:hAnsi="等线" w:eastAsia="等线" w:cs="Times New Roman"/>
          <w:kern w:val="2"/>
          <w:sz w:val="27"/>
          <w:szCs w:val="27"/>
        </w:rPr>
      </w:pPr>
      <w:r>
        <w:rPr>
          <w:rStyle w:val="17"/>
          <w:rFonts w:hint="eastAsia" w:ascii="宋体" w:hAnsi="宋体" w:eastAsia="宋体" w:cs="宋体"/>
          <w:b/>
          <w:bCs w:val="0"/>
          <w:color w:val="000000"/>
          <w:sz w:val="32"/>
          <w:szCs w:val="32"/>
        </w:rPr>
        <w:t>9、社会保障和就业支出（类）抚恤（款）死亡抚恤（项）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年初预算为0万元，支出决算为15.48万元，由于预算数为0，无法计算百分比。决算数大于年初预算数的主要原因是：根据资金实际使用情况，科目进行了调整。</w:t>
      </w:r>
    </w:p>
    <w:p>
      <w:pPr>
        <w:pStyle w:val="14"/>
        <w:spacing w:before="0" w:beforeAutospacing="0" w:after="2" w:afterAutospacing="0"/>
        <w:ind w:left="0" w:firstLine="641"/>
        <w:rPr>
          <w:rFonts w:hint="default" w:ascii="等线" w:hAnsi="等线" w:eastAsia="等线" w:cs="Times New Roman"/>
          <w:kern w:val="2"/>
          <w:sz w:val="27"/>
          <w:szCs w:val="27"/>
        </w:rPr>
      </w:pPr>
      <w:r>
        <w:rPr>
          <w:rStyle w:val="17"/>
          <w:rFonts w:hint="eastAsia" w:ascii="宋体" w:hAnsi="宋体" w:eastAsia="宋体" w:cs="宋体"/>
          <w:b/>
          <w:bCs w:val="0"/>
          <w:color w:val="000000"/>
          <w:sz w:val="32"/>
          <w:szCs w:val="32"/>
        </w:rPr>
        <w:t>10、卫生健康支出（类）公共卫生（款）突发公共卫生事件应急处理（项）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年初预算为0万元，支出决算为14万元，由于预算数为0，无法计算百分比。决算数大于年初预算数的主要原因是：根据资金实际使用情况，科目进行了调整。</w:t>
      </w:r>
    </w:p>
    <w:p>
      <w:pPr>
        <w:pStyle w:val="14"/>
        <w:spacing w:before="0" w:beforeAutospacing="0" w:after="2" w:afterAutospacing="0"/>
        <w:ind w:left="0" w:firstLine="641"/>
        <w:rPr>
          <w:rFonts w:hint="default" w:ascii="等线" w:hAnsi="等线" w:eastAsia="等线" w:cs="Times New Roman"/>
          <w:kern w:val="2"/>
          <w:sz w:val="27"/>
          <w:szCs w:val="27"/>
        </w:rPr>
      </w:pPr>
      <w:r>
        <w:rPr>
          <w:rStyle w:val="17"/>
          <w:rFonts w:hint="eastAsia" w:ascii="宋体" w:hAnsi="宋体" w:eastAsia="宋体" w:cs="宋体"/>
          <w:b/>
          <w:bCs w:val="0"/>
          <w:color w:val="000000"/>
          <w:sz w:val="32"/>
          <w:szCs w:val="32"/>
        </w:rPr>
        <w:t>11、城乡社区支出（类）城乡社区管理事务（款）一般行政管理事务（项）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年初预算为0万元，支出决算为26.4万元，由于预算数为0，无法计算百分比。决算数大于年初预算数的主要原因是：根据资金实际使用情况，科目进行了调整。</w:t>
      </w:r>
    </w:p>
    <w:p>
      <w:pPr>
        <w:pStyle w:val="14"/>
        <w:spacing w:before="0" w:beforeAutospacing="0" w:after="2" w:afterAutospacing="0"/>
        <w:ind w:left="0" w:firstLine="641"/>
        <w:rPr>
          <w:rFonts w:hint="default" w:ascii="等线" w:hAnsi="等线" w:eastAsia="等线" w:cs="Times New Roman"/>
          <w:kern w:val="2"/>
          <w:sz w:val="27"/>
          <w:szCs w:val="27"/>
        </w:rPr>
      </w:pPr>
      <w:r>
        <w:rPr>
          <w:rStyle w:val="17"/>
          <w:rFonts w:hint="eastAsia" w:ascii="宋体" w:hAnsi="宋体" w:eastAsia="宋体" w:cs="宋体"/>
          <w:b/>
          <w:bCs w:val="0"/>
          <w:color w:val="000000"/>
          <w:sz w:val="32"/>
          <w:szCs w:val="32"/>
        </w:rPr>
        <w:t>12、城乡社区支出（类）城乡社区环境卫生（款）城乡社区环境卫生（项）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年初预算为0万元，支出决算为21.8万元，由于预算数为0，无法计算百分比。决算数大于年初预算数的主要原因是：根据资金实际使用情况，科目进行了调整。</w:t>
      </w:r>
    </w:p>
    <w:p>
      <w:pPr>
        <w:pStyle w:val="14"/>
        <w:spacing w:before="0" w:beforeAutospacing="0" w:after="2" w:afterAutospacing="0"/>
        <w:ind w:left="0" w:firstLine="641"/>
        <w:rPr>
          <w:rFonts w:hint="default" w:ascii="等线" w:hAnsi="等线" w:eastAsia="等线" w:cs="Times New Roman"/>
          <w:kern w:val="2"/>
          <w:sz w:val="27"/>
          <w:szCs w:val="27"/>
        </w:rPr>
      </w:pPr>
      <w:r>
        <w:rPr>
          <w:rStyle w:val="17"/>
          <w:rFonts w:hint="eastAsia" w:ascii="宋体" w:hAnsi="宋体" w:eastAsia="宋体" w:cs="宋体"/>
          <w:b/>
          <w:bCs w:val="0"/>
          <w:color w:val="000000"/>
          <w:sz w:val="32"/>
          <w:szCs w:val="32"/>
        </w:rPr>
        <w:t>13、农林水支出（类）水利（款）其他水利支出（项）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年初预算为0万元，支出决算为1.5万元，由于预算数为0，无法计算百分比。决算数大于年初预算数的主要原因是：根据资金实际使用情况，科目进行了调整。</w:t>
      </w:r>
    </w:p>
    <w:p>
      <w:pPr>
        <w:pStyle w:val="14"/>
        <w:spacing w:before="0" w:beforeAutospacing="0" w:after="2" w:afterAutospacing="0"/>
        <w:ind w:left="0" w:firstLine="641"/>
        <w:rPr>
          <w:rFonts w:hint="default" w:ascii="等线" w:hAnsi="等线" w:eastAsia="等线" w:cs="Times New Roman"/>
          <w:kern w:val="2"/>
          <w:sz w:val="27"/>
          <w:szCs w:val="27"/>
        </w:rPr>
      </w:pPr>
      <w:r>
        <w:rPr>
          <w:rStyle w:val="17"/>
          <w:rFonts w:hint="eastAsia" w:ascii="宋体" w:hAnsi="宋体" w:eastAsia="宋体" w:cs="宋体"/>
          <w:b/>
          <w:bCs w:val="0"/>
          <w:color w:val="000000"/>
          <w:sz w:val="32"/>
          <w:szCs w:val="32"/>
        </w:rPr>
        <w:t>14、住房保障支出（类）住房改革支出（款）住房公积金（项）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年初预算为86.57万元，支出决算为173.13万元，完成年初预算的199.99%。决算数大于年初预算数的主要原因是：根据资金实际使用情况，科目进行了调整。</w:t>
      </w:r>
    </w:p>
    <w:p>
      <w:pPr>
        <w:pStyle w:val="14"/>
        <w:spacing w:before="0" w:beforeAutospacing="0" w:after="2" w:afterAutospacing="0"/>
        <w:ind w:left="0" w:firstLine="641"/>
        <w:rPr>
          <w:rFonts w:hint="default" w:ascii="等线" w:hAnsi="等线" w:eastAsia="等线" w:cs="Times New Roman"/>
          <w:kern w:val="2"/>
          <w:sz w:val="27"/>
          <w:szCs w:val="27"/>
        </w:rPr>
      </w:pPr>
      <w:r>
        <w:rPr>
          <w:rStyle w:val="17"/>
          <w:rFonts w:hint="eastAsia" w:ascii="宋体" w:hAnsi="宋体" w:eastAsia="宋体" w:cs="宋体"/>
          <w:b/>
          <w:bCs w:val="0"/>
          <w:color w:val="000000"/>
          <w:sz w:val="32"/>
          <w:szCs w:val="32"/>
        </w:rPr>
        <w:t>15、灾害防治及应急管理支出（类）消防事务（款）消防应急救援（项）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年初预算为0万元，支出决算为2.42万元，由于预算数为0，无法计算百分比。决算数大于年初预算数的主要原因是：根据资金实际使用情况，科目进行了调整。</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六、一般公共预算财政拨款基本支出决算情况说明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基本支出1,467.35万元，其中：人员经费1,241.21万元，占基本支出的84.59%，主要包括：基本工资、津贴补贴、奖金、绩效工资、机关事业单位基本养老保险缴费、职工基本医疗保险缴费、其他社会保障缴费、住房公积金、抚恤金、生活补助。公用经费226.14万元，占基本支出的15.41%，主要包括：办公费、印刷费、水费、电费、邮电费、差旅费、维修（护）费、培训费、公务接待费、专用材料费、劳务费、工会经费、公务用车运行维护费、其他交通费用、其他商品和服务支出。</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七、一般公共预算财政拨款三公经费支出决算情况说明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（一）“三公”经费财政拨款支出决算总体情况说明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2021年度“三公”经费财政拨款支出预算为7万元，支出决算为4.09万元，完成预算的58.43%，</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其中：</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因公出国（境）费支出预算为0万元，支出决算为0万元，决算数与预算数一致，我单位严格按预算执行决算，因公出国（境）费支出与上年持平。</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公务接待费支出预算为2万元，支出决算为0.32万元，完成预算的16%，决算数小于预算数的主要原因是认真</w:t>
      </w:r>
      <w:r>
        <w:rPr>
          <w:rFonts w:hint="eastAsia" w:ascii="宋体" w:hAnsi="宋体" w:eastAsia="宋体" w:cs="宋体"/>
          <w:color w:val="000000"/>
          <w:kern w:val="2"/>
          <w:sz w:val="32"/>
          <w:szCs w:val="32"/>
          <w:lang w:eastAsia="zh-CN"/>
        </w:rPr>
        <w:t>贯彻落实中央八项规定</w:t>
      </w:r>
      <w:r>
        <w:rPr>
          <w:rFonts w:hint="eastAsia" w:ascii="宋体" w:hAnsi="宋体" w:eastAsia="宋体" w:cs="宋体"/>
          <w:color w:val="000000"/>
          <w:kern w:val="2"/>
          <w:sz w:val="32"/>
          <w:szCs w:val="32"/>
        </w:rPr>
        <w:t>精神和厉行节约要求，从严控制“三公”经费开支 ，与上年相比增加0.32万元，增长100%，增长的主要原因是认真</w:t>
      </w:r>
      <w:r>
        <w:rPr>
          <w:rFonts w:hint="eastAsia" w:ascii="宋体" w:hAnsi="宋体" w:eastAsia="宋体" w:cs="宋体"/>
          <w:color w:val="000000"/>
          <w:kern w:val="2"/>
          <w:sz w:val="32"/>
          <w:szCs w:val="32"/>
          <w:lang w:eastAsia="zh-CN"/>
        </w:rPr>
        <w:t>贯彻落实中央八项规定</w:t>
      </w:r>
      <w:r>
        <w:rPr>
          <w:rFonts w:hint="eastAsia" w:ascii="宋体" w:hAnsi="宋体" w:eastAsia="宋体" w:cs="宋体"/>
          <w:color w:val="000000"/>
          <w:kern w:val="2"/>
          <w:sz w:val="32"/>
          <w:szCs w:val="32"/>
        </w:rPr>
        <w:t>精神和厉行节约要求，从严控制“三公”经费开支。</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公务用车购置费支出预算为0万元，支出决算为0万元，决算数与预算数一致，我单位严格按预算执行决算，公务用车购置费支出与上年持平。</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公务用车运行维护费支出预算为5万元，支出决算为3.77万元，完成预算的75.4%，决算数小于预算数的主要原因是认真</w:t>
      </w:r>
      <w:r>
        <w:rPr>
          <w:rFonts w:hint="eastAsia" w:ascii="宋体" w:hAnsi="宋体" w:eastAsia="宋体" w:cs="宋体"/>
          <w:color w:val="000000"/>
          <w:kern w:val="2"/>
          <w:sz w:val="32"/>
          <w:szCs w:val="32"/>
          <w:lang w:eastAsia="zh-CN"/>
        </w:rPr>
        <w:t>贯彻落实中央八项规定</w:t>
      </w:r>
      <w:r>
        <w:rPr>
          <w:rFonts w:hint="eastAsia" w:ascii="宋体" w:hAnsi="宋体" w:eastAsia="宋体" w:cs="宋体"/>
          <w:color w:val="000000"/>
          <w:kern w:val="2"/>
          <w:sz w:val="32"/>
          <w:szCs w:val="32"/>
        </w:rPr>
        <w:t>精神和厉行节约要求，从严控制“三公”经费开支 ，与上年相比减少0.18万元，下降4.56%，下降的主要原因是认真</w:t>
      </w:r>
      <w:r>
        <w:rPr>
          <w:rFonts w:hint="eastAsia" w:ascii="宋体" w:hAnsi="宋体" w:eastAsia="宋体" w:cs="宋体"/>
          <w:color w:val="000000"/>
          <w:kern w:val="2"/>
          <w:sz w:val="32"/>
          <w:szCs w:val="32"/>
          <w:lang w:eastAsia="zh-CN"/>
        </w:rPr>
        <w:t>贯彻落实中央八项规定</w:t>
      </w:r>
      <w:r>
        <w:rPr>
          <w:rFonts w:hint="eastAsia" w:ascii="宋体" w:hAnsi="宋体" w:eastAsia="宋体" w:cs="宋体"/>
          <w:color w:val="000000"/>
          <w:kern w:val="2"/>
          <w:sz w:val="32"/>
          <w:szCs w:val="32"/>
        </w:rPr>
        <w:t>精神和厉行节约要求，从严控制“三公”经费开支。</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（二）“三公”经费财政拨款支出决算具体情况说明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2021年度“三公”经费财政拨款支出决算中，公务接待费支出决算0.32万元，占7.82%，因公出国（境）费支出决算0万元，占0%，公务用车购置费及运行维护费支出决算3.77万元，占92.18%。其中：</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1、因公出国（境）费支出决算为0万元，全年安排因公出国（境）团组0个，累计0人次，我单位2021年度无因公出国（境）费支出。</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2、公务接待费支出决算为0.32万元，全年共接待来访团组1个、来宾85人次，主要是上级部门检查工作发生的接待支出。</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3、公务用车购置费及运行维护费支出决算为3.77万元，其中：公务用车购置费0万元，未购置公务用车更新公务用车0辆。公务用车运行维护费3.77万元，主要是用于公车的日常维护及油费支出支出，截至2021年12月31日，我单位开支财政拨款的公务用车保有量为1辆。</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八、政府性基金预算收入支出决算情况</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冷水滩区杨家桥街道办事处2021年度没有政府性基金收入，也没有使用政府性基金安排的支出，并已公开空表。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九、关于机关运行经费支出说明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冷水滩区杨家桥街道办事处2021年度机关运行经费支出226.14万元，比年初预算数减少134.22万元，下降37.25%。主要原因是：规范政府运行，提高行政效率，降低行政成本。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十、一般性支出情况</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冷水滩区杨家桥街道办事处开支会议费0万元，我单位2021年度无会议费支出；开支培训费0.24万元，用于开展电诈培训和禁毒培训，内容为培训反诈意识和禁毒知识；举办0场节庆、晚会、论坛、赛事活动，开支0万元，无相关活动计划。</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十一、关于政府采购支出说明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jc w:val="both"/>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杨家桥街道办事处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十二、关于国有资产占用情况说明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截至2021年12月31日，冷水滩区杨家桥街道办事处共有车辆1辆（台），其中：主要领导干部用车1辆、机要通信用车0辆、应急保障用车0辆、执法执勤用车0辆、特种专业技术用车0辆、其他用车0辆；单价50万元（含）以上通用设备0台（套），单价100万元（含）以上专用设备0台（套）。</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十三、关于2021年度预算绩效情况说明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Style w:val="17"/>
          <w:rFonts w:hint="eastAsia" w:ascii="宋体" w:hAnsi="宋体" w:eastAsia="宋体" w:cs="宋体"/>
          <w:b/>
          <w:bCs w:val="0"/>
          <w:color w:val="000000"/>
          <w:sz w:val="36"/>
          <w:szCs w:val="36"/>
        </w:rPr>
        <w:t>（1）绩效管理评价工作开展情况。</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2021年，我单位积极履职，强化管理，较好的完成了年度工作目标。通过加强预算收支管理，不断建立健全内部管理制度，梳理内部管理流程，部门整体支出管理水平得到提升。根据部门整体支出绩效评价指标体系，我单位2021年度评价得分为89分。部门整体支出绩效具体情况见附件。 </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Style w:val="17"/>
          <w:rFonts w:hint="eastAsia" w:ascii="宋体" w:hAnsi="宋体" w:eastAsia="宋体" w:cs="宋体"/>
          <w:b/>
          <w:bCs w:val="0"/>
          <w:color w:val="000000"/>
          <w:sz w:val="36"/>
          <w:szCs w:val="36"/>
        </w:rPr>
        <w:t>（2）部门决算中项目绩效自评结果（如有）。</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项目资金严格按照财务管理规定执行，大部分下拨及时，使用科目合理，程序合法，确保了项目的顺利完成。本项目综合考评得分为92分，评价等级确定为优。项目支出绩效评价的具体内容见附件</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Style w:val="17"/>
          <w:rFonts w:hint="eastAsia" w:ascii="宋体" w:hAnsi="宋体" w:eastAsia="宋体" w:cs="宋体"/>
          <w:b/>
          <w:bCs w:val="0"/>
          <w:color w:val="000000"/>
          <w:sz w:val="36"/>
          <w:szCs w:val="36"/>
        </w:rPr>
        <w:t>（3）部门评价项目绩效评价结果。</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rFonts w:hint="default" w:ascii="等线" w:hAnsi="等线" w:eastAsia="等线" w:cs="Times New Roman"/>
          <w:color w:val="000000"/>
          <w:kern w:val="2"/>
          <w:sz w:val="27"/>
          <w:szCs w:val="27"/>
        </w:rPr>
        <w:t xml:space="preserve"> </w:t>
      </w:r>
    </w:p>
    <w:p>
      <w:pPr>
        <w:pStyle w:val="18"/>
        <w:keepNext w:val="0"/>
        <w:keepLines w:val="0"/>
        <w:widowControl/>
        <w:suppressLineNumbers w:val="0"/>
        <w:spacing w:before="0" w:beforeAutospacing="0" w:after="2" w:afterAutospacing="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8"/>
        <w:keepNext w:val="0"/>
        <w:keepLines w:val="0"/>
        <w:widowControl/>
        <w:suppressLineNumbers w:val="0"/>
        <w:spacing w:before="0" w:beforeAutospacing="0" w:after="2" w:afterAutospacing="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8"/>
        <w:keepNext w:val="0"/>
        <w:keepLines w:val="0"/>
        <w:widowControl/>
        <w:suppressLineNumbers w:val="0"/>
        <w:spacing w:before="0" w:beforeAutospacing="0" w:after="2" w:afterAutospacing="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第四部分 名词解释</w:t>
      </w:r>
      <w:r>
        <w:rPr>
          <w:rFonts w:hint="default" w:ascii="等线" w:hAnsi="等线" w:eastAsia="等线" w:cs="Times New Roman"/>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财政拨款收入</w:t>
      </w:r>
      <w:r>
        <w:rPr>
          <w:rFonts w:hint="eastAsia" w:ascii="宋体" w:hAnsi="宋体" w:eastAsia="宋体" w:cs="宋体"/>
          <w:color w:val="000000"/>
          <w:kern w:val="2"/>
          <w:sz w:val="32"/>
          <w:szCs w:val="32"/>
        </w:rPr>
        <w:t>：指财政当年拨付的资金。包括一般公共预算财政拨款和政府性基金财政拨款。</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上级补助收入</w:t>
      </w:r>
      <w:r>
        <w:rPr>
          <w:rFonts w:hint="eastAsia" w:ascii="宋体" w:hAnsi="宋体" w:eastAsia="宋体" w:cs="宋体"/>
          <w:color w:val="000000"/>
          <w:kern w:val="2"/>
          <w:sz w:val="32"/>
          <w:szCs w:val="32"/>
        </w:rPr>
        <w:t>：指事业单位从主管部门和上级单位取得的非财政补助收入。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事业收入：</w:t>
      </w:r>
      <w:r>
        <w:rPr>
          <w:rFonts w:hint="eastAsia" w:ascii="宋体" w:hAnsi="宋体" w:eastAsia="宋体" w:cs="宋体"/>
          <w:color w:val="000000"/>
          <w:kern w:val="2"/>
          <w:sz w:val="32"/>
          <w:szCs w:val="32"/>
        </w:rPr>
        <w:t>指事业单位开展专业业务活动及辅助活动所取得的收入。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经营收入：</w:t>
      </w:r>
      <w:r>
        <w:rPr>
          <w:rFonts w:hint="eastAsia" w:ascii="宋体" w:hAnsi="宋体" w:eastAsia="宋体" w:cs="宋体"/>
          <w:color w:val="000000"/>
          <w:kern w:val="2"/>
          <w:sz w:val="32"/>
          <w:szCs w:val="32"/>
        </w:rPr>
        <w:t>指事业单位在专业业务活动及其辅助活动之外开展非独立核算经营活动取得的收入。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附属单位上缴收入</w:t>
      </w:r>
      <w:r>
        <w:rPr>
          <w:rFonts w:hint="eastAsia" w:ascii="宋体" w:hAnsi="宋体" w:eastAsia="宋体" w:cs="宋体"/>
          <w:color w:val="000000"/>
          <w:kern w:val="2"/>
          <w:sz w:val="32"/>
          <w:szCs w:val="32"/>
        </w:rPr>
        <w:t>：指事业单位附属独立核算单位按照有关规定上缴的收入。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其他收入</w:t>
      </w:r>
      <w:r>
        <w:rPr>
          <w:rFonts w:hint="eastAsia" w:ascii="宋体" w:hAnsi="宋体" w:eastAsia="宋体" w:cs="宋体"/>
          <w:color w:val="000000"/>
          <w:kern w:val="2"/>
          <w:sz w:val="32"/>
          <w:szCs w:val="32"/>
        </w:rPr>
        <w:t>：指除上述“财政拨款收入”、“事业收入”、“经营收入”等以外的收入。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用事业基金弥补收支差额</w:t>
      </w:r>
      <w:r>
        <w:rPr>
          <w:rFonts w:hint="eastAsia" w:ascii="宋体" w:hAnsi="宋体" w:eastAsia="宋体" w:cs="宋体"/>
          <w:color w:val="000000"/>
          <w:kern w:val="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年初结转和结余</w:t>
      </w:r>
      <w:r>
        <w:rPr>
          <w:rFonts w:hint="eastAsia" w:ascii="宋体" w:hAnsi="宋体" w:eastAsia="宋体" w:cs="宋体"/>
          <w:color w:val="000000"/>
          <w:kern w:val="2"/>
          <w:sz w:val="32"/>
          <w:szCs w:val="32"/>
        </w:rPr>
        <w:t>：指以前年度尚未完成、结转到本年按有关规定继续使用的资金。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结余分配</w:t>
      </w:r>
      <w:r>
        <w:rPr>
          <w:rFonts w:hint="eastAsia" w:ascii="宋体" w:hAnsi="宋体" w:eastAsia="宋体" w:cs="宋体"/>
          <w:color w:val="000000"/>
          <w:kern w:val="2"/>
          <w:sz w:val="32"/>
          <w:szCs w:val="32"/>
        </w:rPr>
        <w:t>：指事业事位按规定从非财政补助结余中分配的事业基金和职工福利基金等。</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年末结转和结余</w:t>
      </w:r>
      <w:r>
        <w:rPr>
          <w:rFonts w:hint="eastAsia" w:ascii="宋体" w:hAnsi="宋体" w:eastAsia="宋体" w:cs="宋体"/>
          <w:color w:val="000000"/>
          <w:kern w:val="2"/>
          <w:sz w:val="32"/>
          <w:szCs w:val="32"/>
        </w:rPr>
        <w:t>：指本年度或以前年度预算安排、因客观条件发生变化无法按原计划实施，需要延迟到以后年度按有关规定继续使用的资金。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基本支出</w:t>
      </w:r>
      <w:r>
        <w:rPr>
          <w:rFonts w:hint="eastAsia" w:ascii="宋体" w:hAnsi="宋体" w:eastAsia="宋体" w:cs="宋体"/>
          <w:color w:val="000000"/>
          <w:kern w:val="2"/>
          <w:sz w:val="32"/>
          <w:szCs w:val="32"/>
        </w:rPr>
        <w:t>：指为保障机构正常运转、完成日常工作任务而发生的人员支出和公用支出。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项目支出</w:t>
      </w:r>
      <w:r>
        <w:rPr>
          <w:rFonts w:hint="eastAsia" w:ascii="宋体" w:hAnsi="宋体" w:eastAsia="宋体" w:cs="宋体"/>
          <w:color w:val="000000"/>
          <w:kern w:val="2"/>
          <w:sz w:val="32"/>
          <w:szCs w:val="32"/>
        </w:rPr>
        <w:t>：指在基本支出之外为完成特定行政任务和事业发展目标所发生的支出。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经营支出</w:t>
      </w:r>
      <w:r>
        <w:rPr>
          <w:rFonts w:hint="eastAsia" w:ascii="宋体" w:hAnsi="宋体" w:eastAsia="宋体" w:cs="宋体"/>
          <w:color w:val="000000"/>
          <w:kern w:val="2"/>
          <w:sz w:val="32"/>
          <w:szCs w:val="32"/>
        </w:rPr>
        <w:t>：指事业单位在专业业务活动及其辅助活动之外开展非独立核算经营活动所发生的支出。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“三公”经费</w:t>
      </w:r>
      <w:r>
        <w:rPr>
          <w:rFonts w:hint="eastAsia" w:ascii="宋体" w:hAnsi="宋体" w:eastAsia="宋体" w:cs="宋体"/>
          <w:color w:val="000000"/>
          <w:kern w:val="2"/>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机关运行经费</w:t>
      </w:r>
      <w:r>
        <w:rPr>
          <w:rFonts w:hint="eastAsia" w:ascii="宋体" w:hAnsi="宋体" w:eastAsia="宋体" w:cs="宋体"/>
          <w:color w:val="000000"/>
          <w:kern w:val="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default" w:ascii="Calibri" w:hAnsi="Calibri" w:eastAsia="等线" w:cs="Calibri"/>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第五部分 附件</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fldChar w:fldCharType="begin"/>
      </w:r>
      <w:r>
        <w:instrText xml:space="preserve"> HYPERLINK "http://10.105.181.49/home/downloadAttachment?attachGUID=a255f9989b764f2eaf24a51353116242" </w:instrText>
      </w:r>
      <w:r>
        <w:fldChar w:fldCharType="separate"/>
      </w:r>
      <w:r>
        <w:rPr>
          <w:rStyle w:val="12"/>
          <w:rFonts w:hint="eastAsia" w:ascii="宋体" w:hAnsi="宋体" w:eastAsia="宋体" w:cs="宋体"/>
          <w:color w:val="0000FF"/>
          <w:sz w:val="28"/>
          <w:szCs w:val="28"/>
          <w:u w:val="single"/>
          <w:shd w:val="clear" w:fill="FFFFFF"/>
        </w:rPr>
        <w:t>杨家桥街道办事处2021年绩效自评报告.docx</w:t>
      </w:r>
      <w:r>
        <w:fldChar w:fldCharType="end"/>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sectPr>
      <w:pgSz w:w="11906" w:h="16838" w:orient="landscape"/>
      <w:pgMar w:top="1440" w:right="1080" w:bottom="1440" w:left="1080"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w:panose1 w:val="05000000000000000000"/>
    <w:charset w:val="00"/>
    <w:family w:val="auto"/>
    <w:pitch w:val="default"/>
    <w:sig w:usb0="00000000" w:usb1="00000000" w:usb2="00000000" w:usb3="00000000" w:csb0="8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8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000000"/>
    <w:rsid w:val="21625D7A"/>
    <w:rsid w:val="51F039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 w:type="paragraph" w:styleId="2">
    <w:name w:val="heading 1"/>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uiPriority w:val="99"/>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9">
    <w:name w:val="Normal (Web)"/>
    <w:basedOn w:val="1"/>
    <w:uiPriority w:val="0"/>
    <w:pPr>
      <w:widowControl/>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2">
    <w:name w:val="Hyperlink"/>
    <w:basedOn w:val="11"/>
    <w:uiPriority w:val="0"/>
    <w:rPr>
      <w:color w:val="0000FF"/>
      <w:u w:val="single"/>
    </w:rPr>
  </w:style>
  <w:style w:type="paragraph" w:customStyle="1" w:styleId="13">
    <w:name w:val="pre Char"/>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4">
    <w:name w:val="18"/>
    <w:basedOn w:val="1"/>
    <w:uiPriority w:val="0"/>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 w:type="character" w:customStyle="1" w:styleId="15">
    <w:name w:val="16"/>
    <w:basedOn w:val="11"/>
    <w:uiPriority w:val="0"/>
    <w:rPr>
      <w:rFonts w:hint="default" w:ascii="Times New Roman" w:hAnsi="Times New Roman" w:cs="Times New Roman"/>
      <w:color w:val="0000FF"/>
      <w:u w:val="single"/>
    </w:rPr>
  </w:style>
  <w:style w:type="character" w:customStyle="1" w:styleId="16">
    <w:name w:val="10"/>
    <w:basedOn w:val="11"/>
    <w:uiPriority w:val="0"/>
    <w:rPr>
      <w:rFonts w:hint="default" w:ascii="Times New Roman" w:hAnsi="Times New Roman" w:cs="Times New Roman"/>
    </w:rPr>
  </w:style>
  <w:style w:type="character" w:customStyle="1" w:styleId="17">
    <w:name w:val="15"/>
    <w:basedOn w:val="11"/>
    <w:uiPriority w:val="0"/>
    <w:rPr>
      <w:rFonts w:hint="default" w:ascii="Times New Roman" w:hAnsi="Times New Roman" w:cs="Times New Roman"/>
      <w:b/>
    </w:rPr>
  </w:style>
  <w:style w:type="paragraph" w:customStyle="1" w:styleId="18">
    <w:name w:val="普通(网站) Char"/>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10486</Words>
  <Characters>13117</Characters>
  <Lines>1</Lines>
  <Paragraphs>1</Paragraphs>
  <TotalTime>0</TotalTime>
  <ScaleCrop>false</ScaleCrop>
  <LinksUpToDate>false</LinksUpToDate>
  <CharactersWithSpaces>13290</CharactersWithSpaces>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2023-11-08T02:27:59Z</dcterms:created>
  <dc:creator>Administrator</dc:creator>
  <cp:lastModifiedBy>东来</cp:lastModifiedBy>
  <dcterms:modified xsi:type="dcterms:W3CDTF">2023-11-08T02:28:39Z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04611DE9494E46B6A089090167477D9A</vt:lpwstr>
  </property>
</Properties>
</file>