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hint="eastAsia" w:ascii="仿宋_GB2312" w:hAnsi="仿宋_GB2312" w:eastAsia="仿宋_GB2312" w:cs="仿宋_GB2312"/>
          <w:sz w:val="32"/>
          <w:szCs w:val="32"/>
        </w:rPr>
        <w:t>附件3</w:t>
      </w:r>
      <w:r>
        <w:rPr>
          <w:rFonts w:hint="eastAsia" w:eastAsia="仿宋_GB2312"/>
          <w:sz w:val="32"/>
          <w:szCs w:val="32"/>
        </w:rPr>
        <w:t>：</w:t>
      </w:r>
    </w:p>
    <w:p>
      <w:pPr>
        <w:spacing w:line="620" w:lineRule="exact"/>
        <w:jc w:val="center"/>
        <w:rPr>
          <w:rFonts w:hint="eastAsia" w:ascii="方正小标宋简体" w:eastAsia="方正小标宋简体"/>
          <w:color w:val="000000"/>
          <w:kern w:val="0"/>
          <w:sz w:val="36"/>
          <w:szCs w:val="36"/>
          <w:lang w:eastAsia="zh-CN"/>
        </w:rPr>
      </w:pPr>
      <w:r>
        <w:rPr>
          <w:rFonts w:hint="eastAsia" w:ascii="方正小标宋简体" w:eastAsia="方正小标宋简体"/>
          <w:color w:val="000000"/>
          <w:kern w:val="0"/>
          <w:sz w:val="36"/>
          <w:szCs w:val="36"/>
          <w:lang w:eastAsia="zh-CN"/>
        </w:rPr>
        <w:t>永州市冷水滩区凤凰街道办事处</w:t>
      </w:r>
    </w:p>
    <w:p>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年度部门整体支出绩效自评报告</w:t>
      </w: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widowControl w:val="0"/>
        <w:adjustRightInd/>
        <w:snapToGrid/>
        <w:spacing w:after="0" w:line="620" w:lineRule="exact"/>
        <w:ind w:firstLine="640" w:firstLineChars="200"/>
        <w:jc w:val="both"/>
        <w:rPr>
          <w:rFonts w:hint="eastAsia" w:ascii="Calibri" w:hAnsi="Calibri" w:eastAsia="仿宋_GB2312" w:cs="Calibri"/>
          <w:color w:val="000000"/>
          <w:sz w:val="32"/>
          <w:szCs w:val="32"/>
        </w:rPr>
      </w:pPr>
      <w:r>
        <w:rPr>
          <w:rFonts w:ascii="Calibri" w:hAnsi="Calibri" w:eastAsia="仿宋_GB2312" w:cs="Calibri"/>
          <w:color w:val="000000"/>
          <w:sz w:val="32"/>
          <w:szCs w:val="32"/>
        </w:rPr>
        <w:t>部门职责</w:t>
      </w:r>
      <w:r>
        <w:rPr>
          <w:rFonts w:hint="eastAsia" w:ascii="Calibri" w:hAnsi="Calibri" w:eastAsia="仿宋_GB2312" w:cs="Calibri"/>
          <w:color w:val="000000"/>
          <w:sz w:val="32"/>
          <w:szCs w:val="32"/>
        </w:rPr>
        <w:t>:（1）在区委、区政府领导下，贯彻执行党和国家的各项方针、 政策、法律、法规；负责街辖范围内的地区性、群众性、公益性、社会性工作；向区人民政府反映居民群众的意见和要求，办理人民群众 来信来访事项。（2）发展街道经济，负责对辖区内经济组织进行协调、指导，做好培植税源工作，努力为区域经济发展营造良好的社会环境，以经 济、法律和必要的行政手段推动街道经济发展和维护市场经济秩序。（3）负责社区建设和管理，积极开展社区服务工作，发动和组 织社区成员开展各类社区公益活动；负责拥军优属、优抚安置、社会 救济、社会福利、社区文化、科普、体育、教育等工作。（4）按照职责范围，负责街辖范围内的城市建设和管理、市容 环境卫生、园林绿化、环境保护、市政、规划等监督、管理、服务工 作。（5）负责维护街道范围内的稳定及社会治安综合治理工作。（6）负责劳动就业、安全生产监督、初级卫生保健、民兵、兵 役、侨务和婚姻登记、调解等工作。（7）指导和帮助居民委员会搞好组织建设和制度建设，发挥居民委员会的群众自治组织作用。（8）配合有关部门做好防汛、防风、防火、防震、抢险和防灾工作。（9）承办区政府交办的其他工作。</w:t>
      </w:r>
    </w:p>
    <w:p>
      <w:pPr>
        <w:widowControl w:val="0"/>
        <w:adjustRightInd/>
        <w:snapToGrid/>
        <w:spacing w:after="0" w:line="620" w:lineRule="exact"/>
        <w:ind w:firstLine="640" w:firstLineChars="200"/>
        <w:jc w:val="both"/>
        <w:rPr>
          <w:rFonts w:hint="eastAsia" w:ascii="Calibri" w:hAnsi="Calibri" w:eastAsia="仿宋_GB2312" w:cs="Calibri"/>
          <w:color w:val="000000"/>
          <w:sz w:val="32"/>
          <w:szCs w:val="32"/>
        </w:rPr>
      </w:pPr>
      <w:r>
        <w:rPr>
          <w:rFonts w:hint="eastAsia" w:ascii="Calibri" w:hAnsi="Calibri" w:eastAsia="仿宋_GB2312" w:cs="Calibri"/>
          <w:color w:val="000000"/>
          <w:sz w:val="32"/>
          <w:szCs w:val="32"/>
        </w:rPr>
        <w:t>机构设置：2021年本单位内设机构包括：机构设置：内设8个组 ，即政法组、创建组、党政综合办、农业农村组、应急管理组、项目建设组、财税组、便民服务组。本年没有变动。</w:t>
      </w:r>
    </w:p>
    <w:p>
      <w:pPr>
        <w:widowControl w:val="0"/>
        <w:adjustRightInd/>
        <w:snapToGrid/>
        <w:spacing w:after="0" w:line="620" w:lineRule="exact"/>
        <w:ind w:firstLine="640" w:firstLineChars="200"/>
        <w:jc w:val="both"/>
        <w:rPr>
          <w:rFonts w:hint="eastAsia" w:ascii="仿宋" w:hAnsi="仿宋" w:eastAsia="仿宋"/>
          <w:sz w:val="32"/>
          <w:szCs w:val="24"/>
          <w:lang w:eastAsia="zh-CN"/>
        </w:rPr>
      </w:pPr>
      <w:r>
        <w:rPr>
          <w:rFonts w:hint="eastAsia" w:ascii="Calibri" w:hAnsi="Calibri" w:eastAsia="仿宋_GB2312" w:cs="Calibri"/>
          <w:color w:val="000000"/>
          <w:sz w:val="32"/>
          <w:szCs w:val="32"/>
        </w:rPr>
        <w:t>人员编制情况：</w:t>
      </w:r>
      <w:r>
        <w:rPr>
          <w:rFonts w:hint="eastAsia" w:ascii="仿宋" w:hAnsi="仿宋" w:eastAsia="仿宋"/>
          <w:sz w:val="32"/>
          <w:szCs w:val="24"/>
        </w:rPr>
        <w:t>2021年本单位年末实有人数</w:t>
      </w:r>
      <w:r>
        <w:rPr>
          <w:rFonts w:hint="eastAsia" w:ascii="仿宋" w:hAnsi="仿宋" w:eastAsia="仿宋"/>
          <w:sz w:val="28"/>
          <w:szCs w:val="24"/>
        </w:rPr>
        <w:t>146</w:t>
      </w:r>
      <w:r>
        <w:rPr>
          <w:rFonts w:hint="eastAsia" w:ascii="仿宋" w:hAnsi="仿宋" w:eastAsia="仿宋"/>
          <w:sz w:val="32"/>
          <w:szCs w:val="24"/>
        </w:rPr>
        <w:t>人，行政编25人，事业编121人</w:t>
      </w:r>
      <w:r>
        <w:rPr>
          <w:rFonts w:hint="eastAsia" w:ascii="仿宋" w:hAnsi="仿宋" w:eastAsia="仿宋"/>
          <w:sz w:val="32"/>
          <w:szCs w:val="24"/>
          <w:lang w:eastAsia="zh-CN"/>
        </w:rPr>
        <w:t>。</w:t>
      </w:r>
    </w:p>
    <w:p>
      <w:pPr>
        <w:widowControl w:val="0"/>
        <w:adjustRightInd/>
        <w:snapToGrid/>
        <w:spacing w:after="0" w:line="62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车辆编制情况：编制数为1辆，实有公务用车1辆。</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全面落实“三高四新”战略、建设“五好园区”的工作思路，认真贯彻落实党的十九大相关会议精神，开拓进取、攻坚克难、务实创新，完成区委区政府交办各项任务和指标。</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lang w:val="en-US" w:eastAsia="zh-CN"/>
        </w:rPr>
        <w:t>一般公共预算</w:t>
      </w:r>
      <w:r>
        <w:rPr>
          <w:rFonts w:ascii="宋体" w:hAnsi="宋体"/>
          <w:b/>
          <w:sz w:val="30"/>
          <w:szCs w:val="30"/>
        </w:rPr>
        <w:t>支出情况</w:t>
      </w:r>
    </w:p>
    <w:p>
      <w:pPr>
        <w:ind w:firstLine="600" w:firstLineChars="200"/>
        <w:rPr>
          <w:rFonts w:ascii="宋体" w:hAnsi="宋体"/>
          <w:sz w:val="30"/>
          <w:szCs w:val="30"/>
        </w:rPr>
      </w:pPr>
      <w:r>
        <w:rPr>
          <w:rFonts w:ascii="宋体" w:hAnsi="宋体"/>
          <w:sz w:val="30"/>
          <w:szCs w:val="30"/>
        </w:rPr>
        <w:t>（一）基本支出情况。</w:t>
      </w:r>
    </w:p>
    <w:p>
      <w:pPr>
        <w:ind w:firstLine="600" w:firstLineChars="200"/>
        <w:rPr>
          <w:rFonts w:hint="default" w:ascii="宋体" w:hAnsi="宋体"/>
          <w:sz w:val="30"/>
          <w:szCs w:val="30"/>
        </w:rPr>
      </w:pPr>
      <w:r>
        <w:rPr>
          <w:rFonts w:hint="eastAsia" w:ascii="宋体" w:hAnsi="宋体"/>
          <w:sz w:val="30"/>
          <w:szCs w:val="30"/>
        </w:rPr>
        <w:t>本年基本支出1526.99万元。其中：人员经费1347.32万元，</w:t>
      </w:r>
      <w:r>
        <w:rPr>
          <w:rFonts w:hint="eastAsia" w:ascii="宋体" w:hAnsi="宋体"/>
          <w:sz w:val="30"/>
          <w:szCs w:val="30"/>
          <w:lang w:eastAsia="zh-CN"/>
        </w:rPr>
        <w:t>占基本支出比例</w:t>
      </w:r>
      <w:r>
        <w:rPr>
          <w:rFonts w:hint="eastAsia" w:ascii="宋体" w:hAnsi="宋体"/>
          <w:sz w:val="30"/>
          <w:szCs w:val="30"/>
          <w:lang w:val="en-US" w:eastAsia="zh-CN"/>
        </w:rPr>
        <w:t>88.23%，</w:t>
      </w:r>
      <w:r>
        <w:rPr>
          <w:rFonts w:hint="eastAsia" w:ascii="宋体" w:hAnsi="宋体"/>
          <w:sz w:val="30"/>
          <w:szCs w:val="30"/>
        </w:rPr>
        <w:t>主要包括：基本工资、津贴补贴、奖金、绩效工资、机关事业单位基本养老保险缴费、职工基本医疗保险缴费、其他社会保障缴费、其他工资福利支出、住房公积金等；日常公用经费179.67万元，</w:t>
      </w:r>
      <w:r>
        <w:rPr>
          <w:rFonts w:hint="eastAsia" w:ascii="宋体" w:hAnsi="宋体"/>
          <w:sz w:val="30"/>
          <w:szCs w:val="30"/>
          <w:lang w:eastAsia="zh-CN"/>
        </w:rPr>
        <w:t>占基本支出比例</w:t>
      </w:r>
      <w:r>
        <w:rPr>
          <w:rFonts w:hint="eastAsia" w:ascii="宋体" w:hAnsi="宋体"/>
          <w:sz w:val="30"/>
          <w:szCs w:val="30"/>
          <w:lang w:val="en-US" w:eastAsia="zh-CN"/>
        </w:rPr>
        <w:t>11.77%，</w:t>
      </w:r>
      <w:r>
        <w:rPr>
          <w:rFonts w:hint="eastAsia" w:ascii="宋体" w:hAnsi="宋体"/>
          <w:sz w:val="30"/>
          <w:szCs w:val="30"/>
        </w:rPr>
        <w:t>主要包括：办公费、印刷费、电费、差旅费、维修（护）费、会议费、公务接待费、劳务费、公务用车运行维护费、其他商品和服务支出等。</w:t>
      </w:r>
    </w:p>
    <w:p>
      <w:pPr>
        <w:ind w:firstLine="600" w:firstLineChars="200"/>
        <w:rPr>
          <w:rFonts w:ascii="宋体" w:hAnsi="宋体"/>
          <w:sz w:val="30"/>
          <w:szCs w:val="30"/>
        </w:rPr>
      </w:pPr>
    </w:p>
    <w:p>
      <w:pPr>
        <w:ind w:firstLine="600" w:firstLineChars="200"/>
        <w:rPr>
          <w:rFonts w:ascii="宋体" w:hAnsi="宋体"/>
          <w:sz w:val="30"/>
          <w:szCs w:val="30"/>
        </w:rPr>
      </w:pPr>
      <w:r>
        <w:rPr>
          <w:rFonts w:ascii="宋体" w:hAnsi="宋体"/>
          <w:sz w:val="30"/>
          <w:szCs w:val="30"/>
        </w:rPr>
        <w:t>（二）项目支出情况。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eastAsia="仿宋_GB2312" w:cs="Calibri"/>
          <w:color w:val="000000"/>
          <w:sz w:val="32"/>
          <w:szCs w:val="32"/>
          <w:lang w:val="en-US" w:eastAsia="zh-CN"/>
        </w:rPr>
      </w:pPr>
      <w:r>
        <w:rPr>
          <w:rFonts w:hint="eastAsia" w:eastAsia="仿宋_GB2312"/>
          <w:color w:val="000000"/>
          <w:kern w:val="0"/>
          <w:sz w:val="32"/>
          <w:szCs w:val="32"/>
          <w:lang w:val="en-US" w:eastAsia="zh-CN"/>
        </w:rPr>
        <w:t>2021年</w:t>
      </w:r>
      <w:r>
        <w:rPr>
          <w:rFonts w:hint="eastAsia" w:ascii="Calibri" w:hAnsi="Calibri" w:eastAsia="仿宋_GB2312" w:cs="Calibri"/>
          <w:color w:val="000000"/>
          <w:sz w:val="32"/>
          <w:szCs w:val="32"/>
        </w:rPr>
        <w:t>我单位项目支出</w:t>
      </w:r>
      <w:r>
        <w:rPr>
          <w:rFonts w:hint="eastAsia" w:eastAsia="仿宋_GB2312" w:cs="Calibri"/>
          <w:color w:val="000000"/>
          <w:sz w:val="32"/>
          <w:szCs w:val="32"/>
          <w:lang w:val="en-US" w:eastAsia="zh-CN"/>
        </w:rPr>
        <w:t>149.94万元，其中：“西城华府”工作经费7.44万元，联信房地产开发有限公司遗留问题专案领导小组经费2.56万元，冷水滩区第七次全国人口普查经费4.94万元，街道协税护税经费50.00万元，学生防溺水工作经费5.00万元，文明创建工作经费11.00万元，聘请专职文明劝导员经费20.1万元，“西城华府”小区电力整改借款36.48万元，湖塘社区枫木塘城中村水塘修建护坡及排水沟资金10.00万元，县乡应急指挥综合平台建设经费2.42万元。</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ascii="Calibri" w:hAnsi="Calibri" w:eastAsia="仿宋_GB2312" w:cs="Calibri"/>
          <w:color w:val="000000"/>
          <w:sz w:val="32"/>
          <w:szCs w:val="32"/>
        </w:rPr>
        <w:t>（三）“三公”经费情况</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ascii="Calibri" w:hAnsi="Calibri" w:eastAsia="仿宋_GB2312" w:cs="Calibri"/>
          <w:color w:val="000000"/>
          <w:sz w:val="32"/>
          <w:szCs w:val="32"/>
        </w:rPr>
        <w:t>1．因公出国（境）费用</w:t>
      </w:r>
      <w:r>
        <w:rPr>
          <w:rFonts w:hint="eastAsia" w:ascii="Calibri" w:hAnsi="Calibri" w:eastAsia="仿宋_GB2312" w:cs="Calibri"/>
          <w:color w:val="000000"/>
          <w:sz w:val="32"/>
          <w:szCs w:val="32"/>
        </w:rPr>
        <w:t>：无</w:t>
      </w:r>
      <w:r>
        <w:rPr>
          <w:rFonts w:ascii="Calibri" w:hAnsi="Calibri" w:eastAsia="仿宋_GB2312" w:cs="Calibri"/>
          <w:color w:val="000000"/>
          <w:sz w:val="32"/>
          <w:szCs w:val="32"/>
        </w:rPr>
        <w:t>；</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ascii="Calibri" w:hAnsi="Calibri" w:eastAsia="仿宋_GB2312" w:cs="Calibri"/>
          <w:color w:val="000000"/>
          <w:sz w:val="32"/>
          <w:szCs w:val="32"/>
        </w:rPr>
        <w:t>2．公务接待费</w:t>
      </w:r>
      <w:r>
        <w:rPr>
          <w:rFonts w:hint="eastAsia" w:ascii="Calibri" w:hAnsi="Calibri" w:eastAsia="仿宋_GB2312" w:cs="Calibri"/>
          <w:color w:val="000000"/>
          <w:sz w:val="32"/>
          <w:szCs w:val="32"/>
        </w:rPr>
        <w:t>：无</w:t>
      </w:r>
      <w:r>
        <w:rPr>
          <w:rFonts w:ascii="Calibri" w:hAnsi="Calibri" w:eastAsia="仿宋_GB2312" w:cs="Calibri"/>
          <w:color w:val="000000"/>
          <w:sz w:val="32"/>
          <w:szCs w:val="32"/>
        </w:rPr>
        <w:t>；</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ascii="Calibri" w:hAnsi="Calibri" w:eastAsia="仿宋_GB2312" w:cs="Calibri"/>
          <w:color w:val="000000"/>
          <w:sz w:val="32"/>
          <w:szCs w:val="32"/>
        </w:rPr>
        <w:t>3．公务用车购置及运行费</w:t>
      </w:r>
      <w:r>
        <w:rPr>
          <w:rFonts w:hint="eastAsia" w:ascii="Calibri" w:hAnsi="Calibri" w:eastAsia="仿宋_GB2312" w:cs="Calibri"/>
          <w:color w:val="000000"/>
          <w:sz w:val="32"/>
          <w:szCs w:val="32"/>
        </w:rPr>
        <w:t>：</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（1）公务用车购置费无，（2）公务用车运行维护费</w:t>
      </w:r>
      <w:r>
        <w:rPr>
          <w:rFonts w:ascii="Calibri" w:hAnsi="Calibri" w:eastAsia="仿宋_GB2312" w:cs="Calibri"/>
          <w:color w:val="000000"/>
          <w:sz w:val="32"/>
          <w:szCs w:val="32"/>
        </w:rPr>
        <w:t>3</w:t>
      </w:r>
      <w:r>
        <w:rPr>
          <w:rFonts w:hint="eastAsia" w:ascii="Calibri" w:hAnsi="Calibri" w:eastAsia="仿宋_GB2312" w:cs="Calibri"/>
          <w:color w:val="000000"/>
          <w:sz w:val="32"/>
          <w:szCs w:val="32"/>
        </w:rPr>
        <w:t>.</w:t>
      </w:r>
      <w:r>
        <w:rPr>
          <w:rFonts w:hint="eastAsia" w:eastAsia="仿宋_GB2312" w:cs="Calibri"/>
          <w:color w:val="000000"/>
          <w:sz w:val="32"/>
          <w:szCs w:val="32"/>
          <w:lang w:val="en-US" w:eastAsia="zh-CN"/>
        </w:rPr>
        <w:t>03</w:t>
      </w:r>
      <w:r>
        <w:rPr>
          <w:rFonts w:hint="eastAsia" w:ascii="Calibri" w:hAnsi="Calibri" w:eastAsia="仿宋_GB2312" w:cs="Calibri"/>
          <w:color w:val="000000"/>
          <w:sz w:val="32"/>
          <w:szCs w:val="32"/>
        </w:rPr>
        <w:t>万元。</w:t>
      </w:r>
    </w:p>
    <w:p>
      <w:pPr>
        <w:pStyle w:val="6"/>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bookmarkStart w:id="0" w:name="bookmark81"/>
      <w:r>
        <w:rPr>
          <w:rFonts w:hint="eastAsia" w:ascii="黑体" w:hAnsi="黑体" w:eastAsia="黑体" w:cs="黑体"/>
          <w:color w:val="000000"/>
          <w:spacing w:val="0"/>
          <w:w w:val="100"/>
          <w:position w:val="0"/>
          <w:sz w:val="32"/>
          <w:szCs w:val="32"/>
        </w:rPr>
        <w:t>三</w:t>
      </w:r>
      <w:bookmarkEnd w:id="0"/>
      <w:r>
        <w:rPr>
          <w:rFonts w:hint="eastAsia" w:ascii="黑体" w:hAnsi="黑体" w:eastAsia="黑体" w:cs="黑体"/>
          <w:color w:val="000000"/>
          <w:spacing w:val="0"/>
          <w:w w:val="100"/>
          <w:position w:val="0"/>
          <w:sz w:val="32"/>
          <w:szCs w:val="32"/>
        </w:rPr>
        <w:t>、政府性基金预算支出情况</w:t>
      </w:r>
    </w:p>
    <w:p>
      <w:pPr>
        <w:pStyle w:val="6"/>
        <w:keepNext w:val="0"/>
        <w:keepLines w:val="0"/>
        <w:widowControl w:val="0"/>
        <w:shd w:val="clear" w:color="auto" w:fill="auto"/>
        <w:tabs>
          <w:tab w:val="left" w:pos="1538"/>
        </w:tabs>
        <w:bidi w:val="0"/>
        <w:spacing w:before="0" w:after="0" w:line="614" w:lineRule="exact"/>
        <w:ind w:left="0" w:right="0" w:firstLine="900"/>
        <w:jc w:val="left"/>
        <w:rPr>
          <w:rFonts w:hint="eastAsia" w:ascii="Calibri" w:hAnsi="Calibri" w:eastAsia="仿宋_GB2312" w:cs="Calibri"/>
          <w:color w:val="000000"/>
          <w:kern w:val="2"/>
          <w:sz w:val="32"/>
          <w:szCs w:val="32"/>
          <w:u w:val="none"/>
          <w:shd w:val="clear"/>
          <w:lang w:val="en-US" w:eastAsia="zh-CN" w:bidi="ar-SA"/>
        </w:rPr>
      </w:pPr>
      <w:bookmarkStart w:id="1" w:name="bookmark82"/>
      <w:r>
        <w:rPr>
          <w:rFonts w:hint="eastAsia" w:ascii="Calibri" w:hAnsi="Calibri" w:eastAsia="仿宋_GB2312" w:cs="Calibri"/>
          <w:color w:val="000000"/>
          <w:kern w:val="2"/>
          <w:sz w:val="32"/>
          <w:szCs w:val="32"/>
          <w:u w:val="none"/>
          <w:shd w:val="clear"/>
          <w:lang w:val="en-US" w:eastAsia="zh-CN" w:bidi="ar-SA"/>
        </w:rPr>
        <w:t>本单位无该项支出</w:t>
      </w:r>
    </w:p>
    <w:p>
      <w:pPr>
        <w:pStyle w:val="6"/>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四</w:t>
      </w:r>
      <w:bookmarkEnd w:id="1"/>
      <w:r>
        <w:rPr>
          <w:rFonts w:hint="eastAsia" w:ascii="黑体" w:hAnsi="黑体" w:eastAsia="黑体" w:cs="黑体"/>
          <w:color w:val="000000"/>
          <w:spacing w:val="0"/>
          <w:w w:val="100"/>
          <w:position w:val="0"/>
          <w:sz w:val="32"/>
          <w:szCs w:val="32"/>
        </w:rPr>
        <w:t>、国有资本经营预算支出情况</w:t>
      </w:r>
    </w:p>
    <w:p>
      <w:pPr>
        <w:pStyle w:val="6"/>
        <w:keepNext w:val="0"/>
        <w:keepLines w:val="0"/>
        <w:widowControl w:val="0"/>
        <w:shd w:val="clear" w:color="auto" w:fill="auto"/>
        <w:tabs>
          <w:tab w:val="left" w:pos="1538"/>
        </w:tabs>
        <w:bidi w:val="0"/>
        <w:spacing w:before="0" w:after="0" w:line="614" w:lineRule="exact"/>
        <w:ind w:left="0" w:right="0" w:firstLine="900"/>
        <w:jc w:val="left"/>
        <w:rPr>
          <w:rFonts w:hint="eastAsia" w:ascii="Calibri" w:hAnsi="Calibri" w:eastAsia="仿宋_GB2312" w:cs="Calibri"/>
          <w:color w:val="000000"/>
          <w:kern w:val="2"/>
          <w:sz w:val="32"/>
          <w:szCs w:val="32"/>
          <w:u w:val="none"/>
          <w:shd w:val="clear"/>
          <w:lang w:val="en-US" w:eastAsia="zh-CN" w:bidi="ar-SA"/>
        </w:rPr>
      </w:pPr>
      <w:bookmarkStart w:id="2" w:name="bookmark83"/>
      <w:r>
        <w:rPr>
          <w:rFonts w:hint="eastAsia" w:ascii="Calibri" w:hAnsi="Calibri" w:eastAsia="仿宋_GB2312" w:cs="Calibri"/>
          <w:color w:val="000000"/>
          <w:kern w:val="2"/>
          <w:sz w:val="32"/>
          <w:szCs w:val="32"/>
          <w:u w:val="none"/>
          <w:shd w:val="clear"/>
          <w:lang w:val="en-US" w:eastAsia="zh-CN" w:bidi="ar-SA"/>
        </w:rPr>
        <w:t>本单位无该项支出</w:t>
      </w:r>
    </w:p>
    <w:p>
      <w:pPr>
        <w:pStyle w:val="6"/>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五</w:t>
      </w:r>
      <w:bookmarkEnd w:id="2"/>
      <w:r>
        <w:rPr>
          <w:rFonts w:hint="eastAsia" w:ascii="黑体" w:hAnsi="黑体" w:eastAsia="黑体" w:cs="黑体"/>
          <w:color w:val="000000"/>
          <w:spacing w:val="0"/>
          <w:w w:val="100"/>
          <w:position w:val="0"/>
          <w:sz w:val="32"/>
          <w:szCs w:val="32"/>
        </w:rPr>
        <w:t>、社会保险基金预算支出情况</w:t>
      </w:r>
    </w:p>
    <w:p>
      <w:pPr>
        <w:pStyle w:val="6"/>
        <w:keepNext w:val="0"/>
        <w:keepLines w:val="0"/>
        <w:widowControl w:val="0"/>
        <w:shd w:val="clear" w:color="auto" w:fill="auto"/>
        <w:tabs>
          <w:tab w:val="left" w:pos="1538"/>
        </w:tabs>
        <w:bidi w:val="0"/>
        <w:spacing w:before="0" w:after="0" w:line="614" w:lineRule="exact"/>
        <w:ind w:left="0" w:right="0" w:firstLine="900"/>
        <w:jc w:val="left"/>
        <w:rPr>
          <w:rFonts w:hint="eastAsia" w:ascii="Calibri" w:hAnsi="Calibri" w:eastAsia="仿宋_GB2312" w:cs="Calibri"/>
          <w:color w:val="000000"/>
          <w:kern w:val="2"/>
          <w:sz w:val="32"/>
          <w:szCs w:val="32"/>
          <w:u w:val="none"/>
          <w:shd w:val="clear"/>
          <w:lang w:val="en-US" w:eastAsia="zh-CN" w:bidi="ar-SA"/>
        </w:rPr>
      </w:pPr>
      <w:bookmarkStart w:id="3" w:name="bookmark84"/>
      <w:r>
        <w:rPr>
          <w:rFonts w:hint="eastAsia" w:ascii="Calibri" w:hAnsi="Calibri" w:eastAsia="仿宋_GB2312" w:cs="Calibri"/>
          <w:color w:val="000000"/>
          <w:kern w:val="2"/>
          <w:sz w:val="32"/>
          <w:szCs w:val="32"/>
          <w:u w:val="none"/>
          <w:shd w:val="clear"/>
          <w:lang w:val="en-US" w:eastAsia="zh-CN" w:bidi="ar-SA"/>
        </w:rPr>
        <w:t>本单位无该项支出</w:t>
      </w:r>
    </w:p>
    <w:p>
      <w:pPr>
        <w:pStyle w:val="6"/>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六</w:t>
      </w:r>
      <w:bookmarkEnd w:id="3"/>
      <w:r>
        <w:rPr>
          <w:rFonts w:hint="eastAsia" w:ascii="黑体" w:hAnsi="黑体" w:eastAsia="黑体" w:cs="黑体"/>
          <w:color w:val="000000"/>
          <w:spacing w:val="0"/>
          <w:w w:val="100"/>
          <w:position w:val="0"/>
          <w:sz w:val="32"/>
          <w:szCs w:val="32"/>
        </w:rPr>
        <w:t>、部门整体支出绩效情况</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202</w:t>
      </w:r>
      <w:r>
        <w:rPr>
          <w:rFonts w:hint="eastAsia" w:eastAsia="仿宋_GB2312" w:cs="Calibri"/>
          <w:color w:val="000000"/>
          <w:sz w:val="32"/>
          <w:szCs w:val="32"/>
          <w:lang w:val="en-US" w:eastAsia="zh-CN"/>
        </w:rPr>
        <w:t>1</w:t>
      </w:r>
      <w:r>
        <w:rPr>
          <w:rFonts w:hint="eastAsia" w:ascii="Calibri" w:hAnsi="Calibri" w:eastAsia="仿宋_GB2312" w:cs="Calibri"/>
          <w:color w:val="000000"/>
          <w:sz w:val="32"/>
          <w:szCs w:val="32"/>
        </w:rPr>
        <w:t>年，我单位积极履职，强化管理，较好的完成了年度工作目标。通过加强预算收支管理，不断建立健全内部管理制度，梳理内部管理流程，部门整体支出管理水平得到提升。根据部门整体支出绩效评价指标体系，我单位202</w:t>
      </w:r>
      <w:r>
        <w:rPr>
          <w:rFonts w:hint="eastAsia" w:eastAsia="仿宋_GB2312" w:cs="Calibri"/>
          <w:color w:val="000000"/>
          <w:sz w:val="32"/>
          <w:szCs w:val="32"/>
          <w:lang w:val="en-US" w:eastAsia="zh-CN"/>
        </w:rPr>
        <w:t>1</w:t>
      </w:r>
      <w:r>
        <w:rPr>
          <w:rFonts w:hint="eastAsia" w:ascii="Calibri" w:hAnsi="Calibri" w:eastAsia="仿宋_GB2312" w:cs="Calibri"/>
          <w:color w:val="000000"/>
          <w:sz w:val="32"/>
          <w:szCs w:val="32"/>
        </w:rPr>
        <w:t>年度评价得分为9</w:t>
      </w:r>
      <w:r>
        <w:rPr>
          <w:rFonts w:hint="eastAsia" w:eastAsia="仿宋_GB2312" w:cs="Calibri"/>
          <w:color w:val="000000"/>
          <w:sz w:val="32"/>
          <w:szCs w:val="32"/>
          <w:lang w:val="en-US" w:eastAsia="zh-CN"/>
        </w:rPr>
        <w:t>5</w:t>
      </w:r>
      <w:r>
        <w:rPr>
          <w:rFonts w:hint="eastAsia" w:ascii="Calibri" w:hAnsi="Calibri" w:eastAsia="仿宋_GB2312" w:cs="Calibri"/>
          <w:color w:val="000000"/>
          <w:sz w:val="32"/>
          <w:szCs w:val="32"/>
        </w:rPr>
        <w:t>分，等级为“优”。部门整体支出绩效自评得分情况如下：</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1、预算配置控制较好。在职人员控制较好，得5分；“三公经费”变动率为0%，三公经费严格控制支出，得5分。</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2、预算执行比较到位。预算完成率100%，得5分；预算控制率</w:t>
      </w:r>
      <w:r>
        <w:rPr>
          <w:rFonts w:hint="eastAsia" w:eastAsia="仿宋_GB2312" w:cs="Calibri"/>
          <w:color w:val="000000"/>
          <w:sz w:val="32"/>
          <w:szCs w:val="32"/>
          <w:lang w:val="en-US" w:eastAsia="zh-CN"/>
        </w:rPr>
        <w:t>0</w:t>
      </w:r>
      <w:r>
        <w:rPr>
          <w:rFonts w:hint="eastAsia" w:ascii="Calibri" w:hAnsi="Calibri" w:eastAsia="仿宋_GB2312" w:cs="Calibri"/>
          <w:color w:val="000000"/>
          <w:sz w:val="32"/>
          <w:szCs w:val="32"/>
        </w:rPr>
        <w:t>，</w:t>
      </w:r>
      <w:r>
        <w:rPr>
          <w:rFonts w:hint="eastAsia" w:eastAsia="仿宋_GB2312" w:cs="Calibri"/>
          <w:color w:val="000000"/>
          <w:sz w:val="32"/>
          <w:szCs w:val="32"/>
          <w:lang w:eastAsia="zh-CN"/>
        </w:rPr>
        <w:t>本年无追加预算，</w:t>
      </w:r>
      <w:r>
        <w:rPr>
          <w:rFonts w:hint="eastAsia" w:ascii="Calibri" w:hAnsi="Calibri" w:eastAsia="仿宋_GB2312" w:cs="Calibri"/>
          <w:color w:val="000000"/>
          <w:sz w:val="32"/>
          <w:szCs w:val="32"/>
        </w:rPr>
        <w:t>得</w:t>
      </w:r>
      <w:r>
        <w:rPr>
          <w:rFonts w:hint="eastAsia" w:eastAsia="仿宋_GB2312" w:cs="Calibri"/>
          <w:color w:val="000000"/>
          <w:sz w:val="32"/>
          <w:szCs w:val="32"/>
          <w:lang w:val="en-US" w:eastAsia="zh-CN"/>
        </w:rPr>
        <w:t>5</w:t>
      </w:r>
      <w:r>
        <w:rPr>
          <w:rFonts w:hint="eastAsia" w:ascii="Calibri" w:hAnsi="Calibri" w:eastAsia="仿宋_GB2312" w:cs="Calibri"/>
          <w:color w:val="000000"/>
          <w:sz w:val="32"/>
          <w:szCs w:val="32"/>
        </w:rPr>
        <w:t>分；无新建楼堂馆所</w:t>
      </w:r>
      <w:r>
        <w:rPr>
          <w:rFonts w:hint="eastAsia" w:eastAsia="仿宋_GB2312" w:cs="Calibri"/>
          <w:color w:val="000000"/>
          <w:sz w:val="32"/>
          <w:szCs w:val="32"/>
          <w:lang w:eastAsia="zh-CN"/>
        </w:rPr>
        <w:t>，得</w:t>
      </w:r>
      <w:r>
        <w:rPr>
          <w:rFonts w:hint="eastAsia" w:eastAsia="仿宋_GB2312" w:cs="Calibri"/>
          <w:color w:val="000000"/>
          <w:sz w:val="32"/>
          <w:szCs w:val="32"/>
          <w:lang w:val="en-US" w:eastAsia="zh-CN"/>
        </w:rPr>
        <w:t>10分</w:t>
      </w:r>
      <w:r>
        <w:rPr>
          <w:rFonts w:hint="eastAsia" w:ascii="Calibri" w:hAnsi="Calibri" w:eastAsia="仿宋_GB2312" w:cs="Calibri"/>
          <w:color w:val="000000"/>
          <w:sz w:val="32"/>
          <w:szCs w:val="32"/>
        </w:rPr>
        <w:t>。</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3、预算管理比较理想。</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（1）公用经费控制率得</w:t>
      </w:r>
      <w:r>
        <w:rPr>
          <w:rFonts w:hint="eastAsia" w:eastAsia="仿宋_GB2312" w:cs="Calibri"/>
          <w:color w:val="000000"/>
          <w:sz w:val="32"/>
          <w:szCs w:val="32"/>
          <w:lang w:val="en-US" w:eastAsia="zh-CN"/>
        </w:rPr>
        <w:t>8</w:t>
      </w:r>
      <w:r>
        <w:rPr>
          <w:rFonts w:hint="eastAsia" w:ascii="Calibri" w:hAnsi="Calibri" w:eastAsia="仿宋_GB2312" w:cs="Calibri"/>
          <w:color w:val="000000"/>
          <w:sz w:val="32"/>
          <w:szCs w:val="32"/>
        </w:rPr>
        <w:t>分</w:t>
      </w:r>
      <w:r>
        <w:rPr>
          <w:rFonts w:hint="eastAsia" w:eastAsia="仿宋_GB2312" w:cs="Calibri"/>
          <w:color w:val="000000"/>
          <w:sz w:val="32"/>
          <w:szCs w:val="32"/>
          <w:lang w:eastAsia="zh-CN"/>
        </w:rPr>
        <w:t>，实际支出未超出年初预算</w:t>
      </w:r>
      <w:r>
        <w:rPr>
          <w:rFonts w:hint="eastAsia" w:ascii="Calibri" w:hAnsi="Calibri" w:eastAsia="仿宋_GB2312" w:cs="Calibri"/>
          <w:color w:val="000000"/>
          <w:sz w:val="32"/>
          <w:szCs w:val="32"/>
        </w:rPr>
        <w:t>。</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（2）“三公经费”控制率为</w:t>
      </w:r>
      <w:r>
        <w:rPr>
          <w:rFonts w:hint="eastAsia" w:eastAsia="仿宋_GB2312" w:cs="Calibri"/>
          <w:color w:val="000000"/>
          <w:sz w:val="32"/>
          <w:szCs w:val="32"/>
          <w:lang w:val="en-US" w:eastAsia="zh-CN"/>
        </w:rPr>
        <w:t>60.4</w:t>
      </w:r>
      <w:r>
        <w:rPr>
          <w:rFonts w:hint="eastAsia" w:ascii="Calibri" w:hAnsi="Calibri" w:eastAsia="仿宋_GB2312" w:cs="Calibri"/>
          <w:color w:val="000000"/>
          <w:sz w:val="32"/>
          <w:szCs w:val="32"/>
        </w:rPr>
        <w:t>%，得7分；</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（3）政府采购执行率得6分。</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（4）管理制度健全，得</w:t>
      </w:r>
      <w:r>
        <w:rPr>
          <w:rFonts w:hint="eastAsia" w:eastAsia="仿宋_GB2312" w:cs="Calibri"/>
          <w:color w:val="000000"/>
          <w:sz w:val="32"/>
          <w:szCs w:val="32"/>
          <w:lang w:val="en-US" w:eastAsia="zh-CN"/>
        </w:rPr>
        <w:t>7</w:t>
      </w:r>
      <w:r>
        <w:rPr>
          <w:rFonts w:hint="eastAsia" w:ascii="Calibri" w:hAnsi="Calibri" w:eastAsia="仿宋_GB2312" w:cs="Calibri"/>
          <w:color w:val="000000"/>
          <w:sz w:val="32"/>
          <w:szCs w:val="32"/>
        </w:rPr>
        <w:t>分。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5）资金使用合规，得6分。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（6）我单位按规定对预决算信息进行了公开，得5分。会计信息等资料完整、准确。</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4、职责履行，得8分。</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5、履职效益，得18分。</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（1）经济效益、社会效益得8分，我单位的各方面工作都得到社会大众的肯定和好评。</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（2）行政效能得5分，202</w:t>
      </w:r>
      <w:r>
        <w:rPr>
          <w:rFonts w:hint="eastAsia" w:eastAsia="仿宋_GB2312" w:cs="Calibri"/>
          <w:color w:val="000000"/>
          <w:sz w:val="32"/>
          <w:szCs w:val="32"/>
          <w:lang w:val="en-US" w:eastAsia="zh-CN"/>
        </w:rPr>
        <w:t>1</w:t>
      </w:r>
      <w:r>
        <w:rPr>
          <w:rFonts w:hint="eastAsia" w:ascii="Calibri" w:hAnsi="Calibri" w:eastAsia="仿宋_GB2312" w:cs="Calibri"/>
          <w:color w:val="000000"/>
          <w:sz w:val="32"/>
          <w:szCs w:val="32"/>
        </w:rPr>
        <w:t>年促进部门改进文风会风，加强经费及资产管理，推动网上办事，提高行政效率，降低行政成本效果较好。</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（3）社会公众或服务对象满意度为满意，得5分。</w:t>
      </w:r>
    </w:p>
    <w:p>
      <w:pPr>
        <w:ind w:firstLine="602" w:firstLineChars="200"/>
        <w:rPr>
          <w:rFonts w:hint="eastAsia" w:ascii="宋体" w:hAnsi="宋体"/>
          <w:b/>
          <w:sz w:val="30"/>
          <w:szCs w:val="30"/>
        </w:rPr>
      </w:pPr>
      <w:r>
        <w:rPr>
          <w:rFonts w:hint="eastAsia" w:ascii="宋体" w:hAnsi="宋体"/>
          <w:b/>
          <w:sz w:val="30"/>
          <w:szCs w:val="30"/>
          <w:lang w:eastAsia="zh-CN"/>
        </w:rPr>
        <w:t>七</w:t>
      </w:r>
      <w:r>
        <w:rPr>
          <w:rFonts w:hint="eastAsia" w:ascii="宋体" w:hAnsi="宋体"/>
          <w:b/>
          <w:sz w:val="30"/>
          <w:szCs w:val="30"/>
        </w:rPr>
        <w:t>、绩效自评得分情况及绩效等级。</w:t>
      </w:r>
    </w:p>
    <w:p>
      <w:pPr>
        <w:widowControl w:val="0"/>
        <w:adjustRightInd/>
        <w:snapToGrid/>
        <w:spacing w:after="0" w:line="600" w:lineRule="exact"/>
        <w:ind w:firstLine="640" w:firstLineChars="200"/>
        <w:jc w:val="both"/>
        <w:rPr>
          <w:rFonts w:ascii="宋体" w:hAnsi="宋体" w:eastAsia="宋体" w:cs="Calibri"/>
          <w:b/>
          <w:kern w:val="2"/>
          <w:sz w:val="30"/>
          <w:szCs w:val="30"/>
        </w:rPr>
      </w:pPr>
      <w:r>
        <w:rPr>
          <w:rFonts w:hint="eastAsia" w:ascii="Calibri" w:hAnsi="Calibri" w:eastAsia="仿宋_GB2312" w:cs="Calibri"/>
          <w:color w:val="000000"/>
          <w:sz w:val="32"/>
          <w:szCs w:val="32"/>
        </w:rPr>
        <w:t>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202</w:t>
      </w:r>
      <w:r>
        <w:rPr>
          <w:rFonts w:hint="eastAsia" w:eastAsia="仿宋_GB2312" w:cs="Calibri"/>
          <w:color w:val="000000"/>
          <w:sz w:val="32"/>
          <w:szCs w:val="32"/>
          <w:lang w:val="en-US" w:eastAsia="zh-CN"/>
        </w:rPr>
        <w:t>1</w:t>
      </w:r>
      <w:r>
        <w:rPr>
          <w:rFonts w:hint="eastAsia" w:ascii="Calibri" w:hAnsi="Calibri" w:eastAsia="仿宋_GB2312" w:cs="Calibri"/>
          <w:color w:val="000000"/>
          <w:sz w:val="32"/>
          <w:szCs w:val="32"/>
        </w:rPr>
        <w:t>年度部门整体支出绩效自评综合得分9</w:t>
      </w:r>
      <w:r>
        <w:rPr>
          <w:rFonts w:hint="eastAsia" w:eastAsia="仿宋_GB2312" w:cs="Calibri"/>
          <w:color w:val="000000"/>
          <w:sz w:val="32"/>
          <w:szCs w:val="32"/>
          <w:lang w:val="en-US" w:eastAsia="zh-CN"/>
        </w:rPr>
        <w:t>5</w:t>
      </w:r>
      <w:r>
        <w:rPr>
          <w:rFonts w:hint="eastAsia" w:ascii="Calibri" w:hAnsi="Calibri" w:eastAsia="仿宋_GB2312" w:cs="Calibri"/>
          <w:color w:val="000000"/>
          <w:sz w:val="32"/>
          <w:szCs w:val="32"/>
        </w:rPr>
        <w:t>分，评价等级为“优”。</w:t>
      </w:r>
    </w:p>
    <w:p>
      <w:pPr>
        <w:ind w:firstLine="602" w:firstLineChars="200"/>
        <w:rPr>
          <w:rFonts w:hint="eastAsia" w:ascii="宋体" w:hAnsi="宋体"/>
          <w:b/>
          <w:sz w:val="30"/>
          <w:szCs w:val="30"/>
          <w:lang w:eastAsia="zh-CN"/>
        </w:rPr>
      </w:pPr>
      <w:r>
        <w:rPr>
          <w:rFonts w:hint="eastAsia" w:ascii="宋体" w:hAnsi="宋体"/>
          <w:b/>
          <w:sz w:val="30"/>
          <w:szCs w:val="30"/>
          <w:lang w:eastAsia="zh-CN"/>
        </w:rPr>
        <w:t>八</w:t>
      </w:r>
      <w:r>
        <w:rPr>
          <w:rFonts w:ascii="宋体" w:hAnsi="宋体"/>
          <w:b/>
          <w:sz w:val="30"/>
          <w:szCs w:val="30"/>
        </w:rPr>
        <w:t>、存在的问题</w:t>
      </w:r>
      <w:r>
        <w:rPr>
          <w:rFonts w:hint="eastAsia" w:ascii="宋体" w:hAnsi="宋体"/>
          <w:b/>
          <w:sz w:val="30"/>
          <w:szCs w:val="30"/>
          <w:lang w:eastAsia="zh-CN"/>
        </w:rPr>
        <w:t>及原因分析</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ascii="Calibri" w:hAnsi="Calibri" w:eastAsia="仿宋_GB2312" w:cs="Calibri"/>
          <w:color w:val="000000"/>
          <w:sz w:val="32"/>
          <w:szCs w:val="32"/>
        </w:rPr>
        <w:t>1</w:t>
      </w:r>
      <w:r>
        <w:rPr>
          <w:rFonts w:hint="eastAsia" w:ascii="Calibri" w:hAnsi="Calibri" w:eastAsia="仿宋_GB2312" w:cs="Calibri"/>
          <w:color w:val="000000"/>
          <w:sz w:val="32"/>
          <w:szCs w:val="32"/>
        </w:rPr>
        <w:t>、预算编制工作有待细化。预算编制不够明确和细化，预算编制的合理性需要提高，预算执行力度还要进一步加强。</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ascii="Calibri" w:hAnsi="Calibri" w:eastAsia="仿宋_GB2312" w:cs="Calibri"/>
          <w:color w:val="000000"/>
          <w:sz w:val="32"/>
          <w:szCs w:val="32"/>
        </w:rPr>
        <w:t>2</w:t>
      </w:r>
      <w:r>
        <w:rPr>
          <w:rFonts w:hint="eastAsia" w:ascii="Calibri" w:hAnsi="Calibri" w:eastAsia="仿宋_GB2312" w:cs="Calibri"/>
          <w:color w:val="000000"/>
          <w:sz w:val="32"/>
          <w:szCs w:val="32"/>
        </w:rPr>
        <w:t>、在部门整体支出的资金安排和使用上仍有不可预见性，在实际工作中有资金延迟到位的情况。</w:t>
      </w:r>
    </w:p>
    <w:p>
      <w:pPr>
        <w:ind w:firstLine="602" w:firstLineChars="200"/>
        <w:rPr>
          <w:rFonts w:ascii="宋体" w:hAnsi="宋体"/>
          <w:b/>
          <w:sz w:val="30"/>
          <w:szCs w:val="30"/>
        </w:rPr>
      </w:pPr>
      <w:r>
        <w:rPr>
          <w:rFonts w:hint="eastAsia" w:ascii="宋体" w:hAnsi="宋体"/>
          <w:b/>
          <w:sz w:val="30"/>
          <w:szCs w:val="30"/>
          <w:lang w:eastAsia="zh-CN"/>
        </w:rPr>
        <w:t>九</w:t>
      </w:r>
      <w:r>
        <w:rPr>
          <w:rFonts w:ascii="宋体" w:hAnsi="宋体"/>
          <w:b/>
          <w:sz w:val="30"/>
          <w:szCs w:val="30"/>
        </w:rPr>
        <w:t>、改进措施和有关建议</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加强部门预算分析，对预算的执行情况进行认真总结,促进预算的合理编制,从而提高资金的使用效益，减少不必要的调整。</w:t>
      </w:r>
    </w:p>
    <w:p>
      <w:pPr>
        <w:ind w:firstLine="602" w:firstLineChars="200"/>
        <w:rPr>
          <w:rFonts w:hint="eastAsia" w:ascii="宋体" w:hAnsi="宋体"/>
          <w:b/>
          <w:sz w:val="30"/>
          <w:szCs w:val="30"/>
          <w:lang w:eastAsia="zh-CN"/>
        </w:rPr>
      </w:pPr>
      <w:r>
        <w:rPr>
          <w:rFonts w:hint="eastAsia" w:ascii="宋体" w:hAnsi="宋体"/>
          <w:b/>
          <w:sz w:val="30"/>
          <w:szCs w:val="30"/>
          <w:lang w:eastAsia="zh-CN"/>
        </w:rPr>
        <w:t>十、其他需要说明的情况</w:t>
      </w:r>
    </w:p>
    <w:p>
      <w:pPr>
        <w:ind w:firstLine="602" w:firstLineChars="200"/>
        <w:rPr>
          <w:rFonts w:hint="eastAsia" w:ascii="宋体" w:hAnsi="宋体"/>
          <w:b/>
          <w:sz w:val="30"/>
          <w:szCs w:val="30"/>
          <w:lang w:eastAsia="zh-CN"/>
        </w:rPr>
      </w:pPr>
      <w:r>
        <w:rPr>
          <w:rFonts w:hint="eastAsia" w:ascii="宋体" w:hAnsi="宋体"/>
          <w:b/>
          <w:sz w:val="30"/>
          <w:szCs w:val="30"/>
          <w:lang w:eastAsia="zh-CN"/>
        </w:rPr>
        <w:t>无</w:t>
      </w:r>
    </w:p>
    <w:p>
      <w:pPr>
        <w:ind w:firstLine="602" w:firstLineChars="200"/>
        <w:rPr>
          <w:rFonts w:ascii="宋体"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spacing w:line="560" w:lineRule="exact"/>
        <w:rPr>
          <w:rFonts w:ascii="仿宋_GB2312" w:eastAsia="仿宋_GB2312"/>
          <w:color w:val="000000"/>
          <w:sz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4"/>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7</w:t>
            </w:r>
            <w:r>
              <w:rPr>
                <w:rFonts w:hint="eastAsia"/>
                <w:kern w:val="0"/>
                <w:sz w:val="24"/>
              </w:rPr>
              <w:t>　</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7</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95</w:t>
            </w:r>
          </w:p>
        </w:tc>
      </w:tr>
    </w:tbl>
    <w:p>
      <w:bookmarkStart w:id="4" w:name="_GoBack"/>
      <w:bookmarkEnd w:id="4"/>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94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customStyle="1" w:styleId="6">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2022-11-03T09:00:40Z</dcterms:created>
  <dc:creator>Administrator</dc:creator>
  <cp:lastModifiedBy>Administrator</cp:lastModifiedBy>
  <dcterms:modified xsi:type="dcterms:W3CDTF">2022-11-03T09:00:59Z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0A3A359A17FE4EF2AF64B130C69BE1B9</vt:lpwstr>
  </property>
</Properties>
</file>