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b/>
          <w:bCs/>
          <w:sz w:val="44"/>
          <w:szCs w:val="44"/>
        </w:rPr>
      </w:pPr>
      <w:r>
        <w:rPr>
          <w:rFonts w:hint="eastAsia" w:ascii="方正小标宋简体" w:eastAsia="方正小标宋简体"/>
          <w:b/>
          <w:bCs/>
          <w:color w:val="000000"/>
          <w:sz w:val="44"/>
          <w:szCs w:val="44"/>
          <w:lang w:eastAsia="zh-CN"/>
        </w:rPr>
        <w:t>冷水滩区妇联</w:t>
      </w:r>
      <w:r>
        <w:rPr>
          <w:rFonts w:hint="eastAsia" w:ascii="方正小标宋简体" w:eastAsia="方正小标宋简体"/>
          <w:b/>
          <w:bCs/>
          <w:color w:val="000000"/>
          <w:sz w:val="44"/>
          <w:szCs w:val="44"/>
        </w:rPr>
        <w:t>20</w:t>
      </w:r>
      <w:r>
        <w:rPr>
          <w:rFonts w:hint="eastAsia" w:ascii="方正小标宋简体" w:eastAsia="方正小标宋简体"/>
          <w:b/>
          <w:bCs/>
          <w:color w:val="000000"/>
          <w:sz w:val="44"/>
          <w:szCs w:val="44"/>
          <w:lang w:val="en-US" w:eastAsia="zh-CN"/>
        </w:rPr>
        <w:t>21</w:t>
      </w:r>
      <w:r>
        <w:rPr>
          <w:rFonts w:eastAsia="方正小标宋简体"/>
          <w:b/>
          <w:bCs/>
          <w:sz w:val="44"/>
          <w:szCs w:val="44"/>
        </w:rPr>
        <w:t>年度部门整体支出绩效自评报告</w:t>
      </w:r>
    </w:p>
    <w:p>
      <w:pPr>
        <w:ind w:firstLine="420" w:firstLineChars="200"/>
        <w:jc w:val="center"/>
      </w:pP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一、部门概况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（一）部门基本情况。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冷水滩区妇联系群团组织的全额拔款单位。</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编制数1</w:t>
      </w:r>
      <w:r>
        <w:rPr>
          <w:rFonts w:hint="eastAsia" w:ascii="仿宋" w:hAnsi="仿宋" w:eastAsia="仿宋" w:cs="仿宋"/>
          <w:sz w:val="32"/>
          <w:szCs w:val="32"/>
          <w:lang w:val="en-US" w:eastAsia="zh-CN"/>
        </w:rPr>
        <w:t>4</w:t>
      </w:r>
      <w:r>
        <w:rPr>
          <w:rFonts w:hint="eastAsia" w:ascii="仿宋" w:hAnsi="仿宋" w:eastAsia="仿宋" w:cs="仿宋"/>
          <w:sz w:val="32"/>
          <w:szCs w:val="32"/>
        </w:rPr>
        <w:t>人。实有人数</w:t>
      </w:r>
      <w:r>
        <w:rPr>
          <w:rFonts w:hint="eastAsia" w:ascii="仿宋" w:hAnsi="仿宋" w:eastAsia="仿宋" w:cs="仿宋"/>
          <w:sz w:val="32"/>
          <w:szCs w:val="32"/>
          <w:lang w:val="en-US" w:eastAsia="zh-CN"/>
        </w:rPr>
        <w:t>8</w:t>
      </w:r>
      <w:r>
        <w:rPr>
          <w:rFonts w:hint="eastAsia" w:ascii="仿宋" w:hAnsi="仿宋" w:eastAsia="仿宋" w:cs="仿宋"/>
          <w:sz w:val="32"/>
          <w:szCs w:val="32"/>
        </w:rPr>
        <w:t>人，其中正科级1人，副科级2</w:t>
      </w:r>
      <w:r>
        <w:rPr>
          <w:rFonts w:hint="eastAsia" w:ascii="仿宋" w:hAnsi="仿宋" w:eastAsia="仿宋" w:cs="仿宋"/>
          <w:sz w:val="32"/>
          <w:szCs w:val="32"/>
          <w:lang w:val="en-US" w:eastAsia="zh-CN"/>
        </w:rPr>
        <w:t>人</w:t>
      </w:r>
      <w:r>
        <w:rPr>
          <w:rFonts w:hint="eastAsia" w:ascii="仿宋" w:hAnsi="仿宋" w:eastAsia="仿宋" w:cs="仿宋"/>
          <w:sz w:val="32"/>
          <w:szCs w:val="32"/>
        </w:rPr>
        <w:t>，</w:t>
      </w:r>
      <w:r>
        <w:rPr>
          <w:rFonts w:hint="eastAsia" w:ascii="仿宋" w:hAnsi="仿宋" w:eastAsia="仿宋" w:cs="仿宋"/>
          <w:sz w:val="32"/>
          <w:szCs w:val="32"/>
          <w:lang w:val="en-US" w:eastAsia="zh-CN"/>
        </w:rPr>
        <w:t>三级主任</w:t>
      </w:r>
      <w:r>
        <w:rPr>
          <w:rFonts w:hint="eastAsia" w:ascii="仿宋" w:hAnsi="仿宋" w:eastAsia="仿宋" w:cs="仿宋"/>
          <w:sz w:val="32"/>
          <w:szCs w:val="32"/>
        </w:rPr>
        <w:t>科员1人，科员</w:t>
      </w:r>
      <w:r>
        <w:rPr>
          <w:rFonts w:hint="eastAsia" w:ascii="仿宋" w:hAnsi="仿宋" w:eastAsia="仿宋" w:cs="仿宋"/>
          <w:sz w:val="32"/>
          <w:szCs w:val="32"/>
          <w:lang w:val="en-US" w:eastAsia="zh-CN"/>
        </w:rPr>
        <w:t>2</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妇女儿童活动中心事业编2名。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（二）20</w:t>
      </w:r>
      <w:r>
        <w:rPr>
          <w:rFonts w:hint="eastAsia" w:ascii="仿宋" w:hAnsi="仿宋" w:eastAsia="仿宋" w:cs="仿宋"/>
          <w:sz w:val="32"/>
          <w:szCs w:val="32"/>
          <w:lang w:val="en-US" w:eastAsia="zh-CN"/>
        </w:rPr>
        <w:t>21</w:t>
      </w:r>
      <w:r>
        <w:rPr>
          <w:rFonts w:hint="eastAsia" w:ascii="仿宋" w:hAnsi="仿宋" w:eastAsia="仿宋" w:cs="仿宋"/>
          <w:sz w:val="32"/>
          <w:szCs w:val="32"/>
        </w:rPr>
        <w:t>年的重点工作</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1.组织引导全区广大妇女学习贯彻习近平新时代中国特色社会主义思想和党的路线方针政策，用中国特色社会主义共同理想凝聚妇女。‍‍</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2.组织引导全区各级妇联依据《中华全国妇女联合会章程》和妇女代表大会的决定、决议，开展妇女儿童工作，联系团体会员并给予业务指导。</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3.团结动员妇女投身改革开放和社会主义经济建设、政治建设、文化建设、社会建设和生态文明建设，注重发挥妇女在社会生活和家庭生活中的独特作用，为中国特色社会主义伟大实践作贡献。</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代表全区妇女参与管理政府事务、管理经济和文化事业、管理社会事务，参与民主决策、民主管理、民主监督，参与有关政策措施的制定，参与社会治理和公共服务，推动保障妇女权益法律政策和妇女、儿童发展纲要的实施。</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5.维护妇女儿童合法权益，倾听妇女意见，反映妇女诉求，提出有关建议，要求并协助有关部门单位查处侵害妇女儿童权益的行为，为受侵害的妇女儿童提供帮助。</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教育引导妇女树立自尊、自信、自立、自强的精神，提高综合素质，实现全面发展。宣传马克思主义妇女观，推动落实男女平等基本国策，营造有利于妇女全面发展的社会环境。宣传表彰优秀妇女典型，培养、推荐女性人才。</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7.教育引导妇女践行社会主义核心价值观，弘扬中华优秀文化，组织开展家庭文明创建，支持服务家庭教育，传承中华民族家庭美德，树立良好家风，推动形成家庭文明新风尚。</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8.组织实施有关政策措施，开展职业技能培训，加大妇女创业创新服务平台建设，促进妇女创业就业，指导和推动全区农村妇女“双学双比”活动和城镇妇女“巾帼建功”活动。</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9.加强城乡基层妇女组织建设，扩大组织网络，拓宽服务渠道，创新服务方式，发展公益事业，壮大巾帼志愿者队伍，加强妇女之家建设。联系和引导女性社会组织，加强与社会各界的协作，推动全社会为妇女儿童和家庭服务。</w:t>
      </w:r>
    </w:p>
    <w:p>
      <w:pPr>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10.完成区委、区政府交办的其他任务。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（三）部门整体支出情况</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20</w:t>
      </w:r>
      <w:r>
        <w:rPr>
          <w:rFonts w:hint="eastAsia" w:ascii="仿宋" w:hAnsi="仿宋" w:eastAsia="仿宋" w:cs="仿宋"/>
          <w:sz w:val="32"/>
          <w:szCs w:val="32"/>
          <w:lang w:val="en-US" w:eastAsia="zh-CN"/>
        </w:rPr>
        <w:t>21</w:t>
      </w:r>
      <w:r>
        <w:rPr>
          <w:rFonts w:hint="eastAsia" w:ascii="仿宋" w:hAnsi="仿宋" w:eastAsia="仿宋" w:cs="仿宋"/>
          <w:sz w:val="32"/>
          <w:szCs w:val="32"/>
          <w:lang w:val="zh-CN"/>
        </w:rPr>
        <w:t>年度收、支总计</w:t>
      </w:r>
      <w:r>
        <w:rPr>
          <w:rFonts w:hint="eastAsia" w:ascii="仿宋" w:hAnsi="仿宋" w:eastAsia="仿宋" w:cs="仿宋"/>
          <w:sz w:val="32"/>
          <w:szCs w:val="32"/>
          <w:lang w:val="en-US" w:eastAsia="zh-CN"/>
        </w:rPr>
        <w:t>113.0566</w:t>
      </w:r>
      <w:r>
        <w:rPr>
          <w:rFonts w:hint="eastAsia" w:ascii="仿宋" w:hAnsi="仿宋" w:eastAsia="仿宋" w:cs="仿宋"/>
          <w:sz w:val="32"/>
          <w:szCs w:val="32"/>
          <w:lang w:val="zh-CN"/>
        </w:rPr>
        <w:t>万元，与20</w:t>
      </w:r>
      <w:r>
        <w:rPr>
          <w:rFonts w:hint="eastAsia" w:ascii="仿宋" w:hAnsi="仿宋" w:eastAsia="仿宋" w:cs="仿宋"/>
          <w:sz w:val="32"/>
          <w:szCs w:val="32"/>
          <w:lang w:val="en-US" w:eastAsia="zh-CN"/>
        </w:rPr>
        <w:t>20</w:t>
      </w:r>
      <w:r>
        <w:rPr>
          <w:rFonts w:hint="eastAsia" w:ascii="仿宋" w:hAnsi="仿宋" w:eastAsia="仿宋" w:cs="仿宋"/>
          <w:sz w:val="32"/>
          <w:szCs w:val="32"/>
          <w:lang w:val="zh-CN"/>
        </w:rPr>
        <w:t>年相比，收、支总计</w:t>
      </w:r>
      <w:r>
        <w:rPr>
          <w:rFonts w:hint="eastAsia" w:ascii="仿宋" w:hAnsi="仿宋" w:eastAsia="仿宋" w:cs="仿宋"/>
          <w:sz w:val="32"/>
          <w:szCs w:val="32"/>
          <w:lang w:val="en-US" w:eastAsia="zh-CN"/>
        </w:rPr>
        <w:t>增加10.038</w:t>
      </w:r>
      <w:r>
        <w:rPr>
          <w:rFonts w:hint="eastAsia" w:ascii="仿宋" w:hAnsi="仿宋" w:eastAsia="仿宋" w:cs="仿宋"/>
          <w:sz w:val="32"/>
          <w:szCs w:val="32"/>
          <w:lang w:val="zh-CN"/>
        </w:rPr>
        <w:t>万元，</w:t>
      </w:r>
      <w:r>
        <w:rPr>
          <w:rFonts w:hint="eastAsia" w:ascii="仿宋" w:hAnsi="仿宋" w:eastAsia="仿宋" w:cs="仿宋"/>
          <w:sz w:val="32"/>
          <w:szCs w:val="32"/>
          <w:lang w:val="en-US" w:eastAsia="zh-CN"/>
        </w:rPr>
        <w:t>增加9.74</w:t>
      </w:r>
      <w:r>
        <w:rPr>
          <w:rFonts w:hint="eastAsia" w:ascii="仿宋" w:hAnsi="仿宋" w:eastAsia="仿宋" w:cs="仿宋"/>
          <w:sz w:val="32"/>
          <w:szCs w:val="32"/>
          <w:lang w:val="zh-CN"/>
        </w:rPr>
        <w:t>%。增加原因是工资福利待遇增加等。</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二、部门整体支出管理及使用情况</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（一）基本支出情况。</w:t>
      </w:r>
    </w:p>
    <w:p>
      <w:pPr>
        <w:snapToGrid w:val="0"/>
        <w:spacing w:line="52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en-US"/>
        </w:rPr>
        <w:t>本年支出合计</w:t>
      </w:r>
      <w:r>
        <w:rPr>
          <w:rFonts w:hint="eastAsia" w:ascii="仿宋" w:hAnsi="仿宋" w:eastAsia="仿宋" w:cs="仿宋"/>
          <w:sz w:val="32"/>
          <w:szCs w:val="32"/>
          <w:lang w:val="en-US" w:eastAsia="zh-CN"/>
        </w:rPr>
        <w:t>113.0566</w:t>
      </w:r>
      <w:r>
        <w:rPr>
          <w:rFonts w:hint="eastAsia" w:ascii="仿宋" w:hAnsi="仿宋" w:eastAsia="仿宋" w:cs="仿宋"/>
          <w:sz w:val="32"/>
          <w:szCs w:val="32"/>
          <w:lang w:val="en-US"/>
        </w:rPr>
        <w:t>万元，其中：</w:t>
      </w:r>
      <w:r>
        <w:rPr>
          <w:rFonts w:hint="eastAsia" w:ascii="仿宋" w:hAnsi="仿宋" w:eastAsia="仿宋" w:cs="仿宋"/>
          <w:sz w:val="32"/>
          <w:szCs w:val="32"/>
          <w:lang w:val="en-US" w:eastAsia="zh-CN"/>
        </w:rPr>
        <w:t>工资福利类收支80.7219万元，占比71.40%；商品和服务类收支32.3347万元，占比28.60%.比2020年增加10.038</w:t>
      </w:r>
      <w:r>
        <w:rPr>
          <w:rFonts w:hint="eastAsia" w:ascii="仿宋" w:hAnsi="仿宋" w:eastAsia="仿宋" w:cs="仿宋"/>
          <w:sz w:val="32"/>
          <w:szCs w:val="32"/>
          <w:lang w:val="zh-CN" w:eastAsia="zh-CN"/>
        </w:rPr>
        <w:t>万元，</w:t>
      </w:r>
      <w:r>
        <w:rPr>
          <w:rFonts w:hint="eastAsia" w:ascii="仿宋" w:hAnsi="仿宋" w:eastAsia="仿宋" w:cs="仿宋"/>
          <w:sz w:val="32"/>
          <w:szCs w:val="32"/>
          <w:lang w:val="en-US" w:eastAsia="zh-CN"/>
        </w:rPr>
        <w:t>增加9.74</w:t>
      </w:r>
      <w:r>
        <w:rPr>
          <w:rFonts w:hint="eastAsia" w:ascii="仿宋" w:hAnsi="仿宋" w:eastAsia="仿宋" w:cs="仿宋"/>
          <w:sz w:val="32"/>
          <w:szCs w:val="32"/>
          <w:lang w:val="zh-CN" w:eastAsia="zh-CN"/>
        </w:rPr>
        <w:t>%。增加原因是工资福利待遇增加等。</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eastAsia="zh-CN"/>
        </w:rPr>
        <w:t>（二）</w:t>
      </w:r>
      <w:r>
        <w:rPr>
          <w:rFonts w:hint="eastAsia" w:ascii="仿宋" w:hAnsi="仿宋" w:eastAsia="仿宋" w:cs="仿宋"/>
          <w:sz w:val="32"/>
          <w:szCs w:val="32"/>
          <w:lang w:val="zh-CN"/>
        </w:rPr>
        <w:t>项目支出情况。</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lang w:val="zh-CN"/>
        </w:rPr>
        <w:t>年</w:t>
      </w:r>
      <w:r>
        <w:rPr>
          <w:rFonts w:hint="eastAsia" w:ascii="仿宋" w:hAnsi="仿宋" w:eastAsia="仿宋" w:cs="仿宋"/>
          <w:color w:val="auto"/>
          <w:sz w:val="32"/>
          <w:szCs w:val="32"/>
          <w:lang w:val="zh-CN" w:eastAsia="zh-CN"/>
        </w:rPr>
        <w:t>冷水滩</w:t>
      </w:r>
      <w:r>
        <w:rPr>
          <w:rFonts w:hint="eastAsia" w:ascii="仿宋" w:hAnsi="仿宋" w:eastAsia="仿宋" w:cs="仿宋"/>
          <w:color w:val="auto"/>
          <w:sz w:val="32"/>
          <w:szCs w:val="32"/>
          <w:lang w:val="zh-CN"/>
        </w:rPr>
        <w:t>本级部门预算安排</w:t>
      </w:r>
      <w:r>
        <w:rPr>
          <w:rFonts w:hint="eastAsia" w:ascii="仿宋" w:hAnsi="仿宋" w:eastAsia="仿宋" w:cs="仿宋"/>
          <w:color w:val="auto"/>
          <w:sz w:val="32"/>
          <w:szCs w:val="32"/>
          <w:lang w:val="zh-CN" w:eastAsia="zh-CN"/>
        </w:rPr>
        <w:t>妇联</w:t>
      </w:r>
      <w:r>
        <w:rPr>
          <w:rFonts w:hint="eastAsia" w:ascii="仿宋" w:hAnsi="仿宋" w:eastAsia="仿宋" w:cs="仿宋"/>
          <w:color w:val="auto"/>
          <w:sz w:val="32"/>
          <w:szCs w:val="32"/>
          <w:lang w:val="zh-CN"/>
        </w:rPr>
        <w:t>工作项目经费</w:t>
      </w:r>
      <w:r>
        <w:rPr>
          <w:rFonts w:hint="eastAsia" w:ascii="仿宋" w:hAnsi="仿宋" w:eastAsia="仿宋" w:cs="仿宋"/>
          <w:color w:val="auto"/>
          <w:sz w:val="32"/>
          <w:szCs w:val="32"/>
          <w:lang w:val="en-US" w:eastAsia="zh-CN"/>
        </w:rPr>
        <w:t>27万</w:t>
      </w:r>
      <w:r>
        <w:rPr>
          <w:rFonts w:hint="eastAsia" w:ascii="仿宋" w:hAnsi="仿宋" w:eastAsia="仿宋" w:cs="仿宋"/>
          <w:color w:val="auto"/>
          <w:sz w:val="32"/>
          <w:szCs w:val="32"/>
          <w:lang w:val="zh-CN"/>
        </w:rPr>
        <w:t>元，20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lang w:val="zh-CN"/>
        </w:rPr>
        <w:t>年实际财政资金到位</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lang w:val="zh-CN"/>
        </w:rPr>
        <w:t>万元，项目资金到位率</w:t>
      </w:r>
      <w:r>
        <w:rPr>
          <w:rFonts w:hint="eastAsia" w:eastAsia="仿宋_GB2312"/>
          <w:color w:val="auto"/>
          <w:kern w:val="0"/>
          <w:sz w:val="32"/>
          <w:szCs w:val="32"/>
          <w:lang w:val="en-US" w:eastAsia="zh-CN"/>
        </w:rPr>
        <w:t>48.14</w:t>
      </w:r>
      <w:r>
        <w:rPr>
          <w:rFonts w:hint="eastAsia" w:ascii="宋体" w:hAnsi="宋体"/>
          <w:color w:val="auto"/>
          <w:sz w:val="30"/>
          <w:szCs w:val="30"/>
          <w:lang w:val="zh-CN"/>
        </w:rPr>
        <w:t>%</w:t>
      </w:r>
      <w:r>
        <w:rPr>
          <w:rFonts w:hint="eastAsia" w:ascii="仿宋" w:hAnsi="仿宋" w:eastAsia="仿宋" w:cs="仿宋"/>
          <w:color w:val="auto"/>
          <w:sz w:val="32"/>
          <w:szCs w:val="32"/>
          <w:lang w:val="zh-CN"/>
        </w:rPr>
        <w:t>%。</w:t>
      </w:r>
    </w:p>
    <w:p>
      <w:pPr>
        <w:pStyle w:val="5"/>
        <w:keepNext w:val="0"/>
        <w:keepLines w:val="0"/>
        <w:widowControl w:val="0"/>
        <w:shd w:val="clear" w:color="auto" w:fill="auto"/>
        <w:tabs>
          <w:tab w:val="left" w:pos="1538"/>
        </w:tabs>
        <w:bidi w:val="0"/>
        <w:spacing w:before="0" w:after="0" w:line="614" w:lineRule="exact"/>
        <w:ind w:left="0" w:right="0" w:firstLine="900"/>
        <w:jc w:val="left"/>
        <w:rPr>
          <w:rFonts w:hint="eastAsia" w:ascii="仿宋" w:hAnsi="仿宋" w:eastAsia="仿宋" w:cs="仿宋"/>
          <w:b/>
          <w:bCs/>
          <w:sz w:val="32"/>
          <w:szCs w:val="32"/>
        </w:rPr>
      </w:pPr>
      <w:bookmarkStart w:id="0" w:name="bookmark81"/>
      <w:r>
        <w:rPr>
          <w:rFonts w:hint="eastAsia" w:ascii="仿宋" w:hAnsi="仿宋" w:eastAsia="仿宋" w:cs="仿宋"/>
          <w:b/>
          <w:bCs/>
          <w:color w:val="000000"/>
          <w:spacing w:val="0"/>
          <w:w w:val="100"/>
          <w:position w:val="0"/>
          <w:sz w:val="32"/>
          <w:szCs w:val="32"/>
        </w:rPr>
        <w:t>三</w:t>
      </w:r>
      <w:bookmarkEnd w:id="0"/>
      <w:r>
        <w:rPr>
          <w:rFonts w:hint="eastAsia" w:ascii="仿宋" w:hAnsi="仿宋" w:eastAsia="仿宋" w:cs="仿宋"/>
          <w:b/>
          <w:bCs/>
          <w:color w:val="000000"/>
          <w:spacing w:val="0"/>
          <w:w w:val="100"/>
          <w:position w:val="0"/>
          <w:sz w:val="32"/>
          <w:szCs w:val="32"/>
        </w:rPr>
        <w:t>、政府性基金预算支出情况</w:t>
      </w:r>
    </w:p>
    <w:p>
      <w:p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5"/>
        <w:keepNext w:val="0"/>
        <w:keepLines w:val="0"/>
        <w:widowControl w:val="0"/>
        <w:shd w:val="clear" w:color="auto" w:fill="auto"/>
        <w:tabs>
          <w:tab w:val="left" w:pos="1538"/>
        </w:tabs>
        <w:bidi w:val="0"/>
        <w:spacing w:before="0" w:after="0" w:line="614" w:lineRule="exact"/>
        <w:ind w:left="0" w:right="0" w:firstLine="900"/>
        <w:jc w:val="left"/>
        <w:rPr>
          <w:rFonts w:hint="eastAsia" w:ascii="仿宋" w:hAnsi="仿宋" w:eastAsia="仿宋" w:cs="仿宋"/>
          <w:b/>
          <w:bCs/>
          <w:sz w:val="32"/>
          <w:szCs w:val="32"/>
        </w:rPr>
      </w:pPr>
      <w:bookmarkStart w:id="1" w:name="bookmark82"/>
      <w:r>
        <w:rPr>
          <w:rFonts w:hint="eastAsia" w:ascii="仿宋" w:hAnsi="仿宋" w:eastAsia="仿宋" w:cs="仿宋"/>
          <w:b/>
          <w:bCs/>
          <w:color w:val="000000"/>
          <w:spacing w:val="0"/>
          <w:w w:val="100"/>
          <w:position w:val="0"/>
          <w:sz w:val="32"/>
          <w:szCs w:val="32"/>
        </w:rPr>
        <w:t>四</w:t>
      </w:r>
      <w:bookmarkEnd w:id="1"/>
      <w:r>
        <w:rPr>
          <w:rFonts w:hint="eastAsia" w:ascii="仿宋" w:hAnsi="仿宋" w:eastAsia="仿宋" w:cs="仿宋"/>
          <w:b/>
          <w:bCs/>
          <w:color w:val="000000"/>
          <w:spacing w:val="0"/>
          <w:w w:val="100"/>
          <w:position w:val="0"/>
          <w:sz w:val="32"/>
          <w:szCs w:val="32"/>
        </w:rPr>
        <w:t>、国有资本经营预算支出情</w:t>
      </w:r>
      <w:bookmarkStart w:id="3" w:name="_GoBack"/>
      <w:bookmarkEnd w:id="3"/>
      <w:r>
        <w:rPr>
          <w:rFonts w:hint="eastAsia" w:ascii="仿宋" w:hAnsi="仿宋" w:eastAsia="仿宋" w:cs="仿宋"/>
          <w:b/>
          <w:bCs/>
          <w:color w:val="000000"/>
          <w:spacing w:val="0"/>
          <w:w w:val="100"/>
          <w:position w:val="0"/>
          <w:sz w:val="32"/>
          <w:szCs w:val="32"/>
        </w:rPr>
        <w:t>况</w:t>
      </w:r>
    </w:p>
    <w:p>
      <w:p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pStyle w:val="5"/>
        <w:keepNext w:val="0"/>
        <w:keepLines w:val="0"/>
        <w:widowControl w:val="0"/>
        <w:shd w:val="clear" w:color="auto" w:fill="auto"/>
        <w:tabs>
          <w:tab w:val="left" w:pos="1538"/>
        </w:tabs>
        <w:bidi w:val="0"/>
        <w:spacing w:before="0" w:after="0" w:line="614" w:lineRule="exact"/>
        <w:ind w:left="0" w:right="0" w:firstLine="900"/>
        <w:jc w:val="left"/>
        <w:rPr>
          <w:rFonts w:hint="eastAsia" w:ascii="仿宋" w:hAnsi="仿宋" w:eastAsia="仿宋" w:cs="仿宋"/>
          <w:b/>
          <w:bCs/>
          <w:sz w:val="32"/>
          <w:szCs w:val="32"/>
        </w:rPr>
      </w:pPr>
      <w:bookmarkStart w:id="2" w:name="bookmark83"/>
      <w:r>
        <w:rPr>
          <w:rFonts w:hint="eastAsia" w:ascii="仿宋" w:hAnsi="仿宋" w:eastAsia="仿宋" w:cs="仿宋"/>
          <w:b/>
          <w:bCs/>
          <w:color w:val="000000"/>
          <w:spacing w:val="0"/>
          <w:w w:val="100"/>
          <w:position w:val="0"/>
          <w:sz w:val="32"/>
          <w:szCs w:val="32"/>
        </w:rPr>
        <w:t>五</w:t>
      </w:r>
      <w:bookmarkEnd w:id="2"/>
      <w:r>
        <w:rPr>
          <w:rFonts w:hint="eastAsia" w:ascii="仿宋" w:hAnsi="仿宋" w:eastAsia="仿宋" w:cs="仿宋"/>
          <w:b/>
          <w:bCs/>
          <w:color w:val="000000"/>
          <w:spacing w:val="0"/>
          <w:w w:val="100"/>
          <w:position w:val="0"/>
          <w:sz w:val="32"/>
          <w:szCs w:val="32"/>
        </w:rPr>
        <w:t>、社会保险基金预算支出情况</w:t>
      </w:r>
    </w:p>
    <w:p>
      <w:pPr>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ind w:firstLine="964" w:firstLineChars="300"/>
        <w:rPr>
          <w:rFonts w:hint="eastAsia" w:ascii="仿宋" w:hAnsi="仿宋" w:eastAsia="仿宋" w:cs="仿宋"/>
          <w:b/>
          <w:sz w:val="32"/>
          <w:szCs w:val="32"/>
        </w:rPr>
      </w:pPr>
      <w:r>
        <w:rPr>
          <w:rFonts w:hint="eastAsia" w:ascii="仿宋" w:hAnsi="仿宋" w:eastAsia="仿宋" w:cs="仿宋"/>
          <w:b/>
          <w:sz w:val="32"/>
          <w:szCs w:val="32"/>
          <w:lang w:val="en-US" w:eastAsia="zh-CN"/>
        </w:rPr>
        <w:t>六</w:t>
      </w:r>
      <w:r>
        <w:rPr>
          <w:rFonts w:hint="eastAsia" w:ascii="仿宋" w:hAnsi="仿宋" w:eastAsia="仿宋" w:cs="仿宋"/>
          <w:b/>
          <w:sz w:val="32"/>
          <w:szCs w:val="32"/>
        </w:rPr>
        <w:t>、部门整体支出绩效情况</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数量指标：1、婚调，指标值100%；2、开展家庭教育工作，指标值100%；3、“三八”活动、“六一”活动，指标值100%；4、开展文明创建、平安创建活动，指标值100%；5、贫困妇女、儿童走访，指标值100%；6、全区开展三八维权周宣传活动，指标值100%；7、开展先进表彰，指标值100%；8、其它讲座宣传活动（男女平等、反家庭暴力、预防“两癌”妇女健康、禁毒、妇女十二大、垃圾分类知识、普法宣讲等）等 ，指标值100%；9、全区村（社区）实现妇女儿童之家全覆盖 ，指标值100%；</w:t>
      </w:r>
    </w:p>
    <w:p>
      <w:pPr>
        <w:pStyle w:val="2"/>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经济效益指标：提升全区妇女儿童素质，为经济发展提供动力，指标值100%。</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社会效益：</w:t>
      </w:r>
      <w:r>
        <w:rPr>
          <w:rFonts w:hint="eastAsia" w:ascii="仿宋" w:hAnsi="仿宋" w:eastAsia="仿宋" w:cs="仿宋"/>
          <w:sz w:val="32"/>
          <w:szCs w:val="32"/>
        </w:rPr>
        <w:t>促进妇女全面发展、维护妇女儿童合法权益、提高妇女素质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指标值100%。</w:t>
      </w:r>
    </w:p>
    <w:p>
      <w:pPr>
        <w:numPr>
          <w:ilvl w:val="0"/>
          <w:numId w:val="0"/>
        </w:numPr>
        <w:ind w:firstLine="643" w:firstLineChars="200"/>
        <w:rPr>
          <w:rFonts w:hint="eastAsia" w:ascii="仿宋" w:hAnsi="仿宋" w:eastAsia="仿宋" w:cs="仿宋"/>
          <w:b/>
          <w:sz w:val="32"/>
          <w:szCs w:val="32"/>
        </w:rPr>
      </w:pPr>
      <w:r>
        <w:rPr>
          <w:rFonts w:hint="eastAsia" w:ascii="仿宋" w:hAnsi="仿宋" w:eastAsia="仿宋" w:cs="仿宋"/>
          <w:b/>
          <w:sz w:val="32"/>
          <w:szCs w:val="32"/>
          <w:lang w:val="en-US" w:eastAsia="zh-CN"/>
        </w:rPr>
        <w:t>七、</w:t>
      </w:r>
      <w:r>
        <w:rPr>
          <w:rFonts w:hint="eastAsia" w:ascii="仿宋" w:hAnsi="仿宋" w:eastAsia="仿宋" w:cs="仿宋"/>
          <w:b/>
          <w:sz w:val="32"/>
          <w:szCs w:val="32"/>
        </w:rPr>
        <w:t>绩效自评得分情况及绩效等级。</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妇联2021年绩效自评，各项指标达到预期目标并取得了一定的成效，</w:t>
      </w:r>
      <w:r>
        <w:rPr>
          <w:rFonts w:hint="eastAsia" w:ascii="仿宋" w:hAnsi="仿宋" w:eastAsia="仿宋" w:cs="仿宋"/>
          <w:sz w:val="32"/>
          <w:szCs w:val="32"/>
        </w:rPr>
        <w:t>我单位</w:t>
      </w:r>
      <w:r>
        <w:rPr>
          <w:rFonts w:hint="eastAsia" w:ascii="仿宋" w:hAnsi="仿宋" w:eastAsia="仿宋" w:cs="仿宋"/>
          <w:sz w:val="32"/>
          <w:szCs w:val="32"/>
          <w:lang w:val="en-US" w:eastAsia="zh-CN"/>
        </w:rPr>
        <w:t>2021</w:t>
      </w:r>
      <w:r>
        <w:rPr>
          <w:rFonts w:hint="eastAsia" w:ascii="仿宋" w:hAnsi="仿宋" w:eastAsia="仿宋" w:cs="仿宋"/>
          <w:sz w:val="32"/>
          <w:szCs w:val="32"/>
        </w:rPr>
        <w:t>年度评价得分为</w:t>
      </w:r>
      <w:r>
        <w:rPr>
          <w:rFonts w:hint="eastAsia" w:ascii="仿宋" w:hAnsi="仿宋" w:eastAsia="仿宋" w:cs="仿宋"/>
          <w:sz w:val="32"/>
          <w:szCs w:val="32"/>
          <w:lang w:val="en-US" w:eastAsia="zh-CN"/>
        </w:rPr>
        <w:t>100</w:t>
      </w:r>
      <w:r>
        <w:rPr>
          <w:rFonts w:hint="eastAsia" w:ascii="仿宋" w:hAnsi="仿宋" w:eastAsia="仿宋" w:cs="仿宋"/>
          <w:sz w:val="32"/>
          <w:szCs w:val="32"/>
        </w:rPr>
        <w:t>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绩效自评得分等级为优。自评结束，将按照财政局规定进行公开。</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八、存在的问题</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ind w:firstLine="643" w:firstLineChars="200"/>
        <w:rPr>
          <w:rFonts w:hint="eastAsia" w:ascii="仿宋" w:hAnsi="仿宋" w:eastAsia="仿宋" w:cs="仿宋"/>
          <w:b/>
          <w:sz w:val="32"/>
          <w:szCs w:val="32"/>
        </w:rPr>
      </w:pPr>
      <w:r>
        <w:rPr>
          <w:rFonts w:hint="eastAsia" w:ascii="仿宋" w:hAnsi="仿宋" w:eastAsia="仿宋" w:cs="仿宋"/>
          <w:b/>
          <w:sz w:val="32"/>
          <w:szCs w:val="32"/>
          <w:lang w:val="en-US" w:eastAsia="zh-CN"/>
        </w:rPr>
        <w:t>九、</w:t>
      </w:r>
      <w:r>
        <w:rPr>
          <w:rFonts w:hint="eastAsia" w:ascii="仿宋" w:hAnsi="仿宋" w:eastAsia="仿宋" w:cs="仿宋"/>
          <w:b/>
          <w:sz w:val="32"/>
          <w:szCs w:val="32"/>
        </w:rPr>
        <w:t>改进措施和有关建议</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绩效评价管理制度和流程的建设，进一步深化、完善绩效管理体系，建立全过程的预算绩效管理机制，促进绩效管理工作向广度和深度延伸。规范绩效评价管理资料的收集整理，确保相关信息完整、可靠，客观公正地反映项目资金实际使用和产生的绩效状况，为今后该项目实施方向及管理方式的改进提供指导。</w:t>
      </w:r>
    </w:p>
    <w:p>
      <w:pPr>
        <w:numPr>
          <w:ilvl w:val="0"/>
          <w:numId w:val="1"/>
        </w:numPr>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其他需要说明的情况</w:t>
      </w:r>
    </w:p>
    <w:p>
      <w:pPr>
        <w:pStyle w:val="2"/>
        <w:numPr>
          <w:ilvl w:val="0"/>
          <w:numId w:val="0"/>
        </w:numPr>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 xml:space="preserve">    </w:t>
      </w:r>
      <w:r>
        <w:rPr>
          <w:rFonts w:hint="eastAsia" w:ascii="仿宋" w:hAnsi="仿宋" w:eastAsia="仿宋" w:cs="仿宋"/>
          <w:kern w:val="2"/>
          <w:sz w:val="32"/>
          <w:szCs w:val="32"/>
          <w:lang w:val="en-US" w:eastAsia="zh-CN" w:bidi="ar-SA"/>
        </w:rPr>
        <w:t xml:space="preserve"> 无</w:t>
      </w:r>
    </w:p>
    <w:p>
      <w:pPr>
        <w:numPr>
          <w:ilvl w:val="0"/>
          <w:numId w:val="0"/>
        </w:numPr>
        <w:ind w:leftChars="200"/>
        <w:rPr>
          <w:rFonts w:hint="eastAsia" w:ascii="仿宋" w:hAnsi="仿宋" w:eastAsia="仿宋" w:cs="仿宋"/>
          <w:b/>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4AF1E4"/>
    <w:multiLevelType w:val="singleLevel"/>
    <w:tmpl w:val="3C4AF1E4"/>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3F553639"/>
    <w:rsid w:val="09CE1C45"/>
    <w:rsid w:val="18655BCF"/>
    <w:rsid w:val="196B15DF"/>
    <w:rsid w:val="219F2051"/>
    <w:rsid w:val="22E05902"/>
    <w:rsid w:val="2BB66F92"/>
    <w:rsid w:val="2DC07CED"/>
    <w:rsid w:val="30197886"/>
    <w:rsid w:val="33F60296"/>
    <w:rsid w:val="3D186861"/>
    <w:rsid w:val="3EA43237"/>
    <w:rsid w:val="3F553639"/>
    <w:rsid w:val="556C49F8"/>
    <w:rsid w:val="56084F56"/>
    <w:rsid w:val="61092561"/>
    <w:rsid w:val="623B7A20"/>
    <w:rsid w:val="6BFA709C"/>
    <w:rsid w:val="6F5D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customStyle="1" w:styleId="5">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1696</Words>
  <Characters>1831</Characters>
  <Lines>0</Lines>
  <Paragraphs>0</Paragraphs>
  <TotalTime>0</TotalTime>
  <ScaleCrop>false</ScaleCrop>
  <LinksUpToDate>false</LinksUpToDate>
  <CharactersWithSpaces>1839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2020-06-10T01:21:00Z</dcterms:created>
  <dc:creator>诺言</dc:creator>
  <cp:lastModifiedBy>东来</cp:lastModifiedBy>
  <cp:lastPrinted>2020-06-23T08:39:00Z</cp:lastPrinted>
  <dcterms:modified xsi:type="dcterms:W3CDTF">2023-09-22T08:27:59Z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BD6BA76DF44244CDB0A0DA1FE3441573</vt:lpwstr>
  </property>
</Properties>
</file>