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W w:w="179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微软雅黑" w:hAnsi="微软雅黑" w:eastAsia="微软雅黑" w:cs="微软雅黑"/>
                <w:i w:val="0"/>
                <w:color w:val="4F81BD"/>
                <w:sz w:val="22"/>
                <w:szCs w:val="22"/>
                <w:u w:val="none"/>
              </w:rPr>
            </w:pPr>
            <w:r>
              <w:rPr>
                <w:rFonts w:hint="eastAsia" w:ascii="微软雅黑" w:hAnsi="微软雅黑" w:eastAsia="微软雅黑" w:cs="微软雅黑"/>
                <w:i w:val="0"/>
                <w:color w:val="4F81BD"/>
                <w:kern w:val="0"/>
                <w:sz w:val="22"/>
                <w:szCs w:val="22"/>
                <w:u w:val="none"/>
                <w:bdr w:val="none" w:color="auto" w:sz="0" w:space="0"/>
                <w:lang w:val="en-US" w:eastAsia="zh-CN" w:bidi="ar"/>
              </w:rPr>
              <w:t>厉行节约</w:t>
            </w:r>
          </w:p>
        </w:tc>
      </w:tr>
    </w:tbl>
    <w:p>
      <w:pPr>
        <w:spacing w:before="0" w:beforeAutospacing="0" w:after="2" w:afterAutospacing="0"/>
        <w:jc w:val="center"/>
        <w:rPr>
          <w:rFonts w:hint="default" w:ascii="等线" w:hAnsi="等线" w:eastAsia="等线" w:cs="Times New Roman"/>
          <w:kern w:val="2"/>
          <w:sz w:val="21"/>
          <w:szCs w:val="21"/>
        </w:rPr>
      </w:pPr>
      <w:bookmarkStart w:id="0" w:name="_GoBack"/>
      <w:bookmarkEnd w:id="0"/>
      <w:r>
        <w:rPr>
          <w:rFonts w:hint="eastAsia" w:ascii="宋体" w:hAnsi="宋体" w:eastAsia="宋体" w:cs="宋体"/>
          <w:color w:val="000000"/>
          <w:kern w:val="2"/>
          <w:sz w:val="44"/>
          <w:szCs w:val="44"/>
        </w:rPr>
        <w:t>2021年度冷水滩区行政审批服务局部门决算</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等线"/>
          <w:color w:val="000000"/>
          <w:kern w:val="2"/>
          <w:sz w:val="32"/>
          <w:szCs w:val="32"/>
        </w:rPr>
        <w:t xml:space="preserve"> </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第一部分 冷水滩区行政审批服务局概况</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default" w:ascii="等线" w:hAnsi="等线" w:eastAsia="等线" w:cs="Times New Roman"/>
          <w:color w:val="000000"/>
          <w:kern w:val="2"/>
          <w:sz w:val="21"/>
          <w:szCs w:val="21"/>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第一部分 冷水滩区行政审批服务局概况</w:t>
      </w:r>
      <w:r>
        <w:rPr>
          <w:rFonts w:hint="default" w:ascii="等线" w:hAnsi="等线" w:eastAsia="等线" w:cs="Times New Roman"/>
          <w:b/>
          <w:bCs/>
          <w:color w:val="000000"/>
          <w:kern w:val="2"/>
          <w:sz w:val="21"/>
          <w:szCs w:val="21"/>
        </w:rPr>
        <w:t xml:space="preserve"> </w:t>
      </w:r>
    </w:p>
    <w:p>
      <w:pPr>
        <w:pStyle w:val="18"/>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default" w:ascii="等线" w:hAnsi="等线" w:eastAsia="等线" w:cs="Times New Roman"/>
          <w:color w:val="000000"/>
          <w:kern w:val="2"/>
          <w:sz w:val="27"/>
          <w:szCs w:val="27"/>
        </w:rPr>
        <w:t xml:space="preserve"> </w:t>
      </w:r>
    </w:p>
    <w:p>
      <w:pPr>
        <w:spacing w:before="0" w:beforeAutospacing="0" w:after="2" w:afterAutospacing="0"/>
        <w:ind w:left="0" w:firstLine="63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1）推进、指导、协调、监督全区政务公开(政府信息公开、办事公开)和政务服务体系建设。承担区政务公开领导小组办公室的日常工作;拟订全区政务公开、政务服务工作发展规划和年度计划,建立和完善相应工作机制;统筹推进、协调监督区直各部门和各乡镇(街道)、村(社区)的政务公开和政务服务工作。</w:t>
      </w:r>
    </w:p>
    <w:p>
      <w:pPr>
        <w:spacing w:before="0" w:beforeAutospacing="0" w:after="2" w:afterAutospacing="0"/>
        <w:ind w:left="0" w:firstLine="63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（2）指导、协调、推进全区行政审批制度改革工作。承担区行政审批制度改革领导小组办公室的日常工作;拟订行政审批服务有关制度及管理办法并监督组织实施;牵头负责全区“放管服”改革工作。</w:t>
      </w:r>
    </w:p>
    <w:p>
      <w:pPr>
        <w:spacing w:before="0" w:beforeAutospacing="0" w:after="2" w:afterAutospacing="0"/>
        <w:ind w:left="0" w:firstLine="63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（3）统筹协调、规划指导、监督评估全区电子政务工作;统筹推进、协调监督全区“互联网+政务服务”工作;统筹规划监督考核全区政府系统网站。</w:t>
      </w:r>
    </w:p>
    <w:p>
      <w:pPr>
        <w:spacing w:before="0" w:beforeAutospacing="0" w:after="2" w:afterAutospacing="0"/>
        <w:ind w:left="0" w:firstLine="63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（4）统筹协调、规划指导、监督评估全区政务信息化、大数据建设管理和应用等工作;组织协调推进政务数据资源共享和开放工作,统筹政务数据资源的采集、分类、管理、分析和应用工作。</w:t>
      </w:r>
    </w:p>
    <w:p>
      <w:pPr>
        <w:spacing w:before="0" w:beforeAutospacing="0" w:after="2" w:afterAutospacing="0"/>
        <w:ind w:left="0" w:firstLine="63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（5）承担区优化经济发展环境办公室的日常工作。负责全区优化营商环境工作的组织实施和监督、检查等工作;维护营商政务、法治、信用等环境;协调推进全区行政效能工作。</w:t>
      </w:r>
    </w:p>
    <w:p>
      <w:pPr>
        <w:spacing w:before="0" w:beforeAutospacing="0" w:after="2" w:afterAutospacing="0"/>
        <w:ind w:left="0" w:firstLine="63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6）承担区社会信用体系建设领导小组办公室的日常工作。组织协调、监督推进国家社会信用体系建设相关法律法规和省、市决策部署的贯彻落实。拟订并组织实施全区社会信用体系建设的总体规划、政策措施;统筹推进统一的信用信息平台建设促进信用信息资源的整合与运用,协调社会信用体系建设的重大问题;牵头组织对重点领域和严重失信行为实施联合惩戒。</w:t>
      </w:r>
    </w:p>
    <w:p>
      <w:pPr>
        <w:spacing w:before="0" w:beforeAutospacing="0" w:after="2" w:afterAutospacing="0"/>
        <w:ind w:left="0" w:firstLine="63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（7）承担区政务联动处置领导小组办公室的日常工作。负责拟订全区政务联动处置和城乡网格化建设管理工作规则;统筹规划、指挥协调、管理督导我区12345公共服务热线、政务联动处置和城乡网格化建设。</w:t>
      </w:r>
    </w:p>
    <w:p>
      <w:pPr>
        <w:spacing w:before="0" w:beforeAutospacing="0" w:after="2" w:afterAutospacing="0"/>
        <w:ind w:left="0" w:firstLine="63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（8）完成区委、区政府交办的其他任务。</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jc w:val="both"/>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（一）内设机构设置</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永州市冷水滩区行政审批服务局下设二级机构永州市冷水滩区政务服务中心，副科级公益一类事业单位。5个内设机构分别为：办公室、政务公开股、政务服务和大数据建设管理股、社会信用体系建设股、优化经济发展环境办公室。</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冷水滩区行政审批服务局2021年部门决算汇总公开单位构成包括：1、永州市冷水滩区行政审批服务局本级;2、内设二级机构永州市冷水滩区政务服务中心，副科级单位。</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color w:val="000000"/>
          <w:kern w:val="2"/>
          <w:sz w:val="32"/>
          <w:szCs w:val="32"/>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ind w:left="0" w:firstLine="721"/>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default" w:ascii="等线" w:hAnsi="等线" w:eastAsia="等线" w:cs="Times New Roman"/>
          <w:color w:val="000000"/>
          <w:kern w:val="2"/>
          <w:sz w:val="21"/>
          <w:szCs w:val="21"/>
        </w:rPr>
        <w:t xml:space="preserve"> </w:t>
      </w:r>
    </w:p>
    <w:p>
      <w:pPr>
        <w:pStyle w:val="18"/>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799"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002"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97" w:type="pct"/>
            <w:gridSpan w:val="4"/>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部门：永州市冷水滩区行政审批服务局</w:t>
            </w:r>
          </w:p>
        </w:tc>
        <w:tc>
          <w:tcPr>
            <w:tcW w:w="1002" w:type="pct"/>
            <w:gridSpan w:val="2"/>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收入</w:t>
            </w:r>
          </w:p>
        </w:tc>
        <w:tc>
          <w:tcPr>
            <w:tcW w:w="2500" w:type="pct"/>
            <w:gridSpan w:val="3"/>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金额</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777.09</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一、一般公共服务支出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二、政府性基金预算财政拨款收入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二、外交支出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三、国有资本经营预算财政拨款收入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三、国防支出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四、上级补助收入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四、公共安全支出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五、事业收入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五、教育支出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六、经营收入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六、科学技术支出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七、附属单位上缴收入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七、文化旅游体育与传媒支出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八、其他收入</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八、社会保障和就业支出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九、卫生健康支出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十、节能环保支出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十一、城乡社区支出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十二、农林水支出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十三、交通运输支出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十四、资源勘探工业信息等支出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十五、商业服务业等支出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十六、金融支出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十七、援助其他地区支出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十八、自然资源海洋气象等支出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十九、住房保障支出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二十、粮油物资储备支出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二十一、国有资本经营预算支出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二十二、灾害防治及应急管理支出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23</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二十三、其他支出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24</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二十四、债务还本支出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25</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二十五、债务付息支出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0"/>
                <w:szCs w:val="20"/>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26</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0"/>
                <w:szCs w:val="20"/>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二十六、抗疫特别国债安排的支出</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本年收入合计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27</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本年支出合计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使用非财政拨款结余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28</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结余分配</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年初结转和结余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29</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年末结转和结余</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30</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31</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62</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8"/>
        <w:gridCol w:w="359"/>
        <w:gridCol w:w="369"/>
        <w:gridCol w:w="3192"/>
        <w:gridCol w:w="2175"/>
        <w:gridCol w:w="1591"/>
        <w:gridCol w:w="1591"/>
        <w:gridCol w:w="1591"/>
        <w:gridCol w:w="1617"/>
        <w:gridCol w:w="1591"/>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12"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12"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993"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678"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993"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04" w:type="pct"/>
            <w:gridSpan w:val="9"/>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部门：永州市冷水滩区行政审批服务局</w:t>
            </w:r>
          </w:p>
        </w:tc>
        <w:tc>
          <w:tcPr>
            <w:tcW w:w="993"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本年收入合计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财政拨款收入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上级补助收入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事业收入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经营收入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附属单位上缴收入</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一般公共服务支出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政府办公厅（室）及相关机构事务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行政运行</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166.92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166.92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2010302</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一般行政管理事务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9.29</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9.29</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2010303</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机关服务</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47.80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47.80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2010306</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政务公开审批</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322.40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322.40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2010399</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其他政府办公厅（室）及相关机构事务支出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202.71</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202.71</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社会保障和就业支出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19.10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19.10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20805</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行政事业单位养老支出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2080505</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机关事业单位基本养老保险缴费支出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20827</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财政对其他社会保险基金的补助</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2082702</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财政对工伤保险基金的补助</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20899</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其他社会保障和就业支出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2089999</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其他社会保障和就业支出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210</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卫生健康支出</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21011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行政事业单位医疗</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2101101</w:t>
            </w:r>
          </w:p>
        </w:tc>
        <w:tc>
          <w:tcPr>
            <w:tcW w:w="99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行政单位医疗</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注：本表反映部门本年度取得的各项收入情况。本表金额转换为万元时，因四舍五入可能存在尾数误差。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1"/>
        <w:gridCol w:w="401"/>
        <w:gridCol w:w="3551"/>
        <w:gridCol w:w="2415"/>
        <w:gridCol w:w="1771"/>
        <w:gridCol w:w="1771"/>
        <w:gridCol w:w="1777"/>
        <w:gridCol w:w="1771"/>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2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2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10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753"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105"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部门：永州市冷水滩区行政审批服务局</w:t>
            </w:r>
          </w:p>
        </w:tc>
        <w:tc>
          <w:tcPr>
            <w:tcW w:w="1105"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上缴上级支出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经营支出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565.08</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212.00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一般公共服务支出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537.12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212.00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政府办公厅（室）及相关机构事务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537.12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212.00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行政运行</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166.92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166.92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2010302</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一般行政管理事务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9.29</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9.29</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2010303</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机关服务</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47.80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47.80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2010306</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政务公开审批</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322.40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322.40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2010399</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其他政府办公厅（室）及相关机构事务支出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202.71</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202.71</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社会保障和就业支出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19.10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19.10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20805</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行政事业单位养老支出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2080505</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机关事业单位基本养老保险缴费支出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20827</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财政对其他社会保险基金的补助</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2082702</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财政对工伤保险基金的补助</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20899</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其他社会保障和就业支出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2089999</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其他社会保障和就业支出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210</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卫生健康支出</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21011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行政事业单位医疗</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2101101</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行政单位医疗</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注：本表反映部门本年度各项支出情况。本表金额转换为万元时，因四舍五入可能存在尾数误差。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529"/>
        <w:gridCol w:w="1559"/>
        <w:gridCol w:w="3692"/>
        <w:gridCol w:w="529"/>
        <w:gridCol w:w="2130"/>
        <w:gridCol w:w="1463"/>
        <w:gridCol w:w="145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8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664"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911"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部门：永州市冷水滩区行政审批服务局</w:t>
            </w:r>
          </w:p>
        </w:tc>
        <w:tc>
          <w:tcPr>
            <w:tcW w:w="911" w:type="pct"/>
            <w:gridSpan w:val="2"/>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收 入</w:t>
            </w:r>
          </w:p>
        </w:tc>
        <w:tc>
          <w:tcPr>
            <w:tcW w:w="3349" w:type="pct"/>
            <w:gridSpan w:val="6"/>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金额</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行次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一般公共预算财政拨款</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政府性基金预算财政拨款</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777.09</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一、一般公共服务支出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二、政府性基金预算财政拨款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二、外交支出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三、国有资本经营财政拨款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三、国防支出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四、公共安全支出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五、教育支出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六、科学技术支出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七、文化旅游体育与传媒支出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八、社会保障和就业支出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19.10</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19.10</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九、卫生健康支出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十、节能环保支出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十一、城乡社区支出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十二、农林水支出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十三、交通运输支出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十四、资源勘探工业信息等支出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十五、商业服务业等支出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十六、金融支出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十七、援助其他地区支出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十八、自然资源海洋气象等支出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十九、住房保障支出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二十、粮油物资储备支出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二十一、国有资本经营预算支出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二十二、灾害防治及应急管理支出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23</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二十三、其他支出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55</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24</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二十四、债务还本支出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56</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25</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二十五、债务付息支出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57</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0"/>
                <w:szCs w:val="20"/>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26</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二十六、抗疫特别国债安排的支出</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58</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本年收入合计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27</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本年支出合计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59</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年初财政拨款结转和结余</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28</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年末财政拨款结转和结余</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60</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29</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61</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政府性基金预算财政拨款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30</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62</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国有资本经营预算财政拨款</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31</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63</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32</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总计</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64</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41"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41"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682"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964"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928"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部门：永州市冷水滩区行政审批服务局</w:t>
            </w:r>
          </w:p>
        </w:tc>
        <w:tc>
          <w:tcPr>
            <w:tcW w:w="1928" w:type="pct"/>
            <w:gridSpan w:val="2"/>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892" w:type="pct"/>
            <w:gridSpan w:val="3"/>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777.09</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565.08</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212.00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一般公共服务支出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537.12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政府办公厅（室）及相关机构事务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749.12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537.12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行政运行</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166.92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166.92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2010302</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一般行政管理事务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9.29</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2010303</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机关服务</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47.80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47.80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2010306</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政务公开审批</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322.40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322.40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2010399</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其他政府办公厅（室）及相关机构事务支出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202.71</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社会保障和就业支出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19.10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19.10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20805</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行政事业单位养老支出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2080505</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机关事业单位基本养老保险缴费支出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20827</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财政对其他社会保险基金的补助</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2082702</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财政对工伤保险基金的补助</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0.10</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20899</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其他社会保障和就业支出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2089999</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其他社会保障和就业支出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0.22</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210</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卫生健康支出</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21011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行政事业单位医疗</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2101101</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行政单位医疗</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6"/>
        <w:gridCol w:w="719"/>
        <w:gridCol w:w="2656"/>
        <w:gridCol w:w="1726"/>
        <w:gridCol w:w="725"/>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053"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538"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828"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538"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366"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部门：永州市冷水滩区行政审批服务局</w:t>
            </w:r>
          </w:p>
        </w:tc>
        <w:tc>
          <w:tcPr>
            <w:tcW w:w="1366" w:type="pct"/>
            <w:gridSpan w:val="2"/>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人员经费</w:t>
            </w:r>
          </w:p>
        </w:tc>
        <w:tc>
          <w:tcPr>
            <w:tcW w:w="3182" w:type="pct"/>
            <w:gridSpan w:val="6"/>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科目编码</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科目编码</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工资福利支出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194.88</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商品和服务支出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369.64</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债务利息及费用支出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基本工资</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66.59</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办公费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190.92</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30701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国内债务付息</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津贴补贴</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22.76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印刷费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5.60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30702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国外债务付息</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奖金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2.30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咨询费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310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资本性支出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30106</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伙食补助费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手续费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房屋建筑物购建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30107</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绩效工资</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75.27</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0.40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办公设备购置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30108</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机关事业单位基本养老保险缴费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18.78</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电费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18.47</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专用设备购置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30109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职业年金缴费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邮电费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2.00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基础设施建设</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30110</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职工基本医疗保险缴费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8.86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取暖费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大型修缮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公务员医疗补助缴费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30209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物业管理费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信息网络及软件购置更新</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其他社会保障缴费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0.32</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差旅费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2.80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物资储备</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住房公积金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因公出国（境）费用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31009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土地补偿</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30114</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医疗费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维修（护）费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安置补助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30199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其他工资福利支出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租赁费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地上附着物和青苗补偿</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对个人和家庭的补助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0.56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会议费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拆迁补偿</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离休费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培训费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31013</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30302</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退休费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公务接待费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31019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其他交通工具购置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30303</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退职（役）费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30218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专用材料费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31021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文物和陈列品购置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30304</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抚恤金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30224</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被装购置费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31022</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无形资产购置</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30305</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生活补助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0.56</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30225</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专用燃料费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31099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其他资本性支出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30306</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救济费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劳务费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75.02</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399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其他支出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30307</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医疗费补助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委托业务费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39906</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赠与</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30308</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助学金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工会经费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10.00</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39907</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国家赔偿费用支出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30309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奖励金</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30229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福利费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39908</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对民间非营利组织和群众性自治组织补贴</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30310</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个人农业生产补贴</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30231</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公务用车运行维护费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39999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30311</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代缴社会保险费</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30239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其他交通费用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15.44</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30399</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其他对个人和家庭的补助</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30240</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税金及附加费用</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05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30299</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其他商品和服务支出</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48.98</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人员经费合计</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195.45</w:t>
            </w:r>
          </w:p>
        </w:tc>
        <w:tc>
          <w:tcPr>
            <w:tcW w:w="2645" w:type="pct"/>
            <w:gridSpan w:val="5"/>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公用经费合计</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369.64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1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16"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833"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部门：永州市冷水滩区行政审批服务局</w:t>
            </w:r>
          </w:p>
        </w:tc>
        <w:tc>
          <w:tcPr>
            <w:tcW w:w="833" w:type="pct"/>
            <w:gridSpan w:val="2"/>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预算数</w:t>
            </w:r>
          </w:p>
        </w:tc>
        <w:tc>
          <w:tcPr>
            <w:tcW w:w="2500" w:type="pct"/>
            <w:gridSpan w:val="6"/>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因公出国（境）费</w:t>
            </w:r>
          </w:p>
        </w:tc>
        <w:tc>
          <w:tcPr>
            <w:tcW w:w="1250" w:type="pct"/>
            <w:gridSpan w:val="3"/>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公务接待费</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因公出国（境）费</w:t>
            </w:r>
          </w:p>
        </w:tc>
        <w:tc>
          <w:tcPr>
            <w:tcW w:w="1250" w:type="pct"/>
            <w:gridSpan w:val="3"/>
            <w:tcBorders>
              <w:top w:val="single" w:color="666666" w:sz="6" w:space="0"/>
              <w:left w:val="nil"/>
              <w:bottom w:val="nil"/>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公务用车购置费</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公务用车运行费</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公务用车购置费</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公务用车运行费</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7</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8</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9</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11</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jc w:val="center"/>
              <w:rPr>
                <w:rFonts w:hint="default" w:ascii="宋体" w:hAnsi="等线" w:eastAsia="等线" w:cs="Times New Roman"/>
                <w:b w:val="0"/>
                <w:bCs w:val="0"/>
                <w:kern w:val="2"/>
                <w:sz w:val="22"/>
                <w:szCs w:val="22"/>
              </w:rPr>
            </w:pPr>
            <w:r>
              <w:rPr>
                <w:rFonts w:hint="eastAsia" w:ascii="宋体" w:hAnsi="宋体" w:eastAsia="宋体" w:cs="宋体"/>
                <w:b w:val="0"/>
                <w:bCs w:val="0"/>
                <w:kern w:val="2"/>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单位没有一般公共预算财政拨款收入，也没有使用一般公共预算财政拨款安排的支出，故本表无数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4"/>
        <w:gridCol w:w="334"/>
        <w:gridCol w:w="3458"/>
        <w:gridCol w:w="1180"/>
        <w:gridCol w:w="1969"/>
        <w:gridCol w:w="1075"/>
        <w:gridCol w:w="1524"/>
        <w:gridCol w:w="1517"/>
        <w:gridCol w:w="4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04"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04"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04"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078"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368"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614"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33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816"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部门：永州市冷水滩区行政审批服务局</w:t>
            </w:r>
          </w:p>
        </w:tc>
        <w:tc>
          <w:tcPr>
            <w:tcW w:w="1816"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年初结转和结余</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本年收入</w:t>
            </w:r>
          </w:p>
        </w:tc>
        <w:tc>
          <w:tcPr>
            <w:tcW w:w="1281" w:type="pct"/>
            <w:gridSpan w:val="3"/>
            <w:tcBorders>
              <w:top w:val="single" w:color="666666" w:sz="6" w:space="0"/>
              <w:left w:val="nil"/>
              <w:bottom w:val="nil"/>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小计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4</w:t>
            </w: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5</w:t>
            </w:r>
          </w:p>
        </w:tc>
        <w:tc>
          <w:tcPr>
            <w:tcW w:w="134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注：本表反映部门本年度政府性基金预算财政拨款收入、支出及结转和结余情况。本单位没有政府性基金收入，也没有使用政府性基金安排的支出，故本表无数据。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6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65"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971"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nil"/>
              <w:left w:val="nil"/>
              <w:bottom w:val="nil"/>
              <w:right w:val="nil"/>
            </w:tcBorders>
            <w:shd w:val="clear" w:color="auto" w:fill="auto"/>
            <w:vAlign w:val="center"/>
          </w:tcPr>
          <w:p>
            <w:pPr>
              <w:rPr>
                <w:rFonts w:hint="default" w:ascii="宋体" w:hAnsi="等线" w:eastAsia="等线" w:cs="Times New Roman"/>
                <w:b w:val="0"/>
                <w:bCs w:val="0"/>
                <w:kern w:val="2"/>
                <w:sz w:val="22"/>
                <w:szCs w:val="22"/>
              </w:rPr>
            </w:pPr>
          </w:p>
        </w:tc>
        <w:tc>
          <w:tcPr>
            <w:tcW w:w="1686" w:type="pct"/>
            <w:gridSpan w:val="2"/>
            <w:tcBorders>
              <w:top w:val="nil"/>
              <w:left w:val="nil"/>
              <w:bottom w:val="nil"/>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部门：永州市冷水滩区行政审批服务局</w:t>
            </w:r>
          </w:p>
        </w:tc>
        <w:tc>
          <w:tcPr>
            <w:tcW w:w="1686" w:type="pct"/>
            <w:gridSpan w:val="2"/>
            <w:tcBorders>
              <w:top w:val="nil"/>
              <w:left w:val="nil"/>
              <w:bottom w:val="single" w:color="666666" w:sz="6" w:space="0"/>
              <w:right w:val="nil"/>
            </w:tcBorders>
            <w:shd w:val="clear" w:color="auto" w:fill="auto"/>
            <w:vAlign w:val="center"/>
          </w:tcPr>
          <w:p>
            <w:pPr>
              <w:pStyle w:val="18"/>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w:t>
            </w:r>
          </w:p>
        </w:tc>
        <w:tc>
          <w:tcPr>
            <w:tcW w:w="2530" w:type="pct"/>
            <w:gridSpan w:val="3"/>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功能分类科目编码</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科目名称</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基本支出</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栏次</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1</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2</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8"/>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合计</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bCs/>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rPr>
                <w:rFonts w:hint="default" w:ascii="宋体" w:hAnsi="等线" w:eastAsia="等线" w:cs="Times New Roman"/>
                <w:b w:val="0"/>
                <w:bCs w:val="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7"/>
            <w:tcBorders>
              <w:top w:val="nil"/>
              <w:left w:val="nil"/>
              <w:bottom w:val="nil"/>
              <w:right w:val="nil"/>
            </w:tcBorders>
            <w:shd w:val="clear" w:color="auto" w:fill="auto"/>
            <w:vAlign w:val="center"/>
          </w:tcPr>
          <w:p>
            <w:pPr>
              <w:pStyle w:val="18"/>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rPr>
          <w:rFonts w:hint="default" w:ascii="等线" w:hAnsi="等线" w:eastAsia="等线" w:cs="Times New Roman"/>
          <w:color w:val="000000"/>
          <w:kern w:val="2"/>
          <w:sz w:val="32"/>
          <w:szCs w:val="32"/>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default" w:ascii="等线" w:hAnsi="等线" w:eastAsia="等线" w:cs="Times New Roman"/>
          <w:color w:val="000000"/>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eastAsia" w:ascii="等线" w:hAnsi="等线" w:eastAsia="宋体" w:cs="Times New Roman"/>
          <w:kern w:val="2"/>
          <w:sz w:val="27"/>
          <w:szCs w:val="27"/>
        </w:rPr>
      </w:pPr>
      <w:r>
        <w:rPr>
          <w:rFonts w:hint="eastAsia" w:ascii="宋体" w:hAnsi="宋体" w:eastAsia="宋体" w:cs="宋体"/>
          <w:color w:val="000000"/>
          <w:kern w:val="2"/>
          <w:sz w:val="32"/>
          <w:szCs w:val="32"/>
        </w:rPr>
        <w:t>2021年度收、支总计777.09万元。与上一年度相比，收、支总计各增加253.15万元，增长48.32%。主要是因为其一是2021年新进人员7人，人员经费增加以及项目经费增加；其二是创信办、梧桐东路指挥部、企改办项目经费增加。</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2021年度收入合计777.09万元，其中：财政拨款收入777.09万元，占100%；上级补助收入0万元，占0%；事业收入0万元，占0%；经营收入0万元，占0%；附属单位上缴收入0万元，占0%；其他收入0万元，占0%。</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2021年度支出合计777.09万元，其中：基本支出565.08万元，占72.72%；项目支出212万元，占27.28%；上缴上级支出0万元，占0%；经营支出0万元，占0%；对附属单位补助支出0万元，占0%。</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777.09万元。与上一年度相比，财政拨款收、支总计各增加253.15万元，增长48.32%。主要是因为其一是2021年新进人员7人，人员经费增加以及项目经费增加；其二是创信办、梧桐东路指挥部、企改办项目经费增加。</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855"/>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777.09万元，占本年支出合计的100%。与上一年度相比，财政拨款支出增加253.15万元，增长48.32%。主要是因为其一是2021年新进人员7人，人员经费增加以及项目经费增加；其二是创信办、梧桐东路指挥部、企改办项目经费增加。</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2021年度财政拨款支出777.09万元，主要用于以下方面：一般公共服务支出749.12万元，占96.4%；社会保障和就业支出19.1万元，占2.46%；卫生健康支出8.86万元，占1.14%。</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2021年度财政拨款支出年初预算数为512.4万元，支出决算数为777.09万元，完成年初预算的151.66%，其中：</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Style w:val="24"/>
          <w:rFonts w:hint="eastAsia" w:ascii="宋体" w:hAnsi="宋体" w:eastAsia="宋体" w:cs="宋体"/>
          <w:b/>
          <w:bCs w:val="0"/>
          <w:color w:val="000000"/>
          <w:sz w:val="32"/>
          <w:szCs w:val="32"/>
        </w:rPr>
        <w:t>1、一般公共服务支出（类）政府办公厅（室）及相关机构事务（款）行政运行（项）</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年初预算为0万元，支出决算为166.92万元，由于预算数为 0，无法计算百分比。决算数大于年初预算数的主要原因是：人员增加，人员经费增加。</w:t>
      </w:r>
    </w:p>
    <w:p>
      <w:pPr>
        <w:pStyle w:val="26"/>
        <w:spacing w:before="0" w:beforeAutospacing="0" w:after="2" w:afterAutospacing="0"/>
        <w:ind w:left="0" w:firstLine="641"/>
        <w:rPr>
          <w:rFonts w:hint="default" w:ascii="等线" w:hAnsi="等线" w:eastAsia="等线" w:cs="Times New Roman"/>
          <w:kern w:val="2"/>
          <w:sz w:val="27"/>
          <w:szCs w:val="27"/>
        </w:rPr>
      </w:pPr>
      <w:r>
        <w:rPr>
          <w:rStyle w:val="24"/>
          <w:rFonts w:hint="eastAsia" w:ascii="宋体" w:hAnsi="宋体" w:eastAsia="宋体" w:cs="宋体"/>
          <w:b/>
          <w:bCs w:val="0"/>
          <w:color w:val="000000"/>
          <w:sz w:val="32"/>
          <w:szCs w:val="32"/>
        </w:rPr>
        <w:t>2、一般公共服务支出（类）政府办公厅（室）及相关机构事务（款）一般行政管理事务（项）</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年初预算为0万元，支出决算为9.29万元，由于预算数为 0，无法计算百分比。决算数大于年初预算数的主要原因是：项目经费增加。</w:t>
      </w:r>
    </w:p>
    <w:p>
      <w:pPr>
        <w:pStyle w:val="26"/>
        <w:spacing w:before="0" w:beforeAutospacing="0" w:after="2" w:afterAutospacing="0"/>
        <w:ind w:left="0" w:firstLine="641"/>
        <w:rPr>
          <w:rFonts w:hint="default" w:ascii="等线" w:hAnsi="等线" w:eastAsia="等线" w:cs="Times New Roman"/>
          <w:kern w:val="2"/>
          <w:sz w:val="27"/>
          <w:szCs w:val="27"/>
        </w:rPr>
      </w:pPr>
      <w:r>
        <w:rPr>
          <w:rStyle w:val="24"/>
          <w:rFonts w:hint="eastAsia" w:ascii="宋体" w:hAnsi="宋体" w:eastAsia="宋体" w:cs="宋体"/>
          <w:b/>
          <w:bCs w:val="0"/>
          <w:color w:val="000000"/>
          <w:sz w:val="32"/>
          <w:szCs w:val="32"/>
        </w:rPr>
        <w:t>3、一般公共服务支出（类）政府办公厅（室）及相关机构事务（款）机关服务（项）</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年初预算为0万元，支出决算为47.8万元，由于预算数为 0，无法计算百分比。决算数大于年初预算数的主要原因是：电子政务外网项目运维费增加。</w:t>
      </w:r>
    </w:p>
    <w:p>
      <w:pPr>
        <w:pStyle w:val="26"/>
        <w:spacing w:before="0" w:beforeAutospacing="0" w:after="2" w:afterAutospacing="0"/>
        <w:ind w:left="0" w:firstLine="641"/>
        <w:rPr>
          <w:rFonts w:hint="default" w:ascii="等线" w:hAnsi="等线" w:eastAsia="等线" w:cs="Times New Roman"/>
          <w:kern w:val="2"/>
          <w:sz w:val="27"/>
          <w:szCs w:val="27"/>
        </w:rPr>
      </w:pPr>
      <w:r>
        <w:rPr>
          <w:rStyle w:val="24"/>
          <w:rFonts w:hint="eastAsia" w:ascii="宋体" w:hAnsi="宋体" w:eastAsia="宋体" w:cs="宋体"/>
          <w:b/>
          <w:bCs w:val="0"/>
          <w:color w:val="000000"/>
          <w:sz w:val="32"/>
          <w:szCs w:val="32"/>
        </w:rPr>
        <w:t>4、一般公共服务支出（类）政府办公厅（室）及相关机构事务（款）政务公开审批（项）</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年初预算为500.25万元，支出决算为322.4万元，完成年初预算的64.45%。决算数小于年初预算数的主要原因是：单位厉行节俭，节约开支。</w:t>
      </w:r>
    </w:p>
    <w:p>
      <w:pPr>
        <w:pStyle w:val="26"/>
        <w:spacing w:before="0" w:beforeAutospacing="0" w:after="2" w:afterAutospacing="0"/>
        <w:ind w:left="0" w:firstLine="641"/>
        <w:rPr>
          <w:rFonts w:hint="default" w:ascii="等线" w:hAnsi="等线" w:eastAsia="等线" w:cs="Times New Roman"/>
          <w:kern w:val="2"/>
          <w:sz w:val="27"/>
          <w:szCs w:val="27"/>
        </w:rPr>
      </w:pPr>
      <w:r>
        <w:rPr>
          <w:rStyle w:val="24"/>
          <w:rFonts w:hint="eastAsia" w:ascii="宋体" w:hAnsi="宋体" w:eastAsia="宋体" w:cs="宋体"/>
          <w:b/>
          <w:bCs w:val="0"/>
          <w:color w:val="000000"/>
          <w:sz w:val="32"/>
          <w:szCs w:val="32"/>
        </w:rPr>
        <w:t>5、一般公共服务支出（类）政府办公厅（室）及相关机构事务（款）其他政府办公厅（室）及相关机构事务支出（项）</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年初预算为0万元，支出决算为202.71万元，由于预算数为 0，无法计算百分比。决算数大于年初预算数的主要原因是：企改办项目经费增加。</w:t>
      </w:r>
    </w:p>
    <w:p>
      <w:pPr>
        <w:pStyle w:val="26"/>
        <w:spacing w:before="0" w:beforeAutospacing="0" w:after="2" w:afterAutospacing="0"/>
        <w:ind w:left="0" w:firstLine="641"/>
        <w:rPr>
          <w:rFonts w:hint="default" w:ascii="等线" w:hAnsi="等线" w:eastAsia="等线" w:cs="Times New Roman"/>
          <w:kern w:val="2"/>
          <w:sz w:val="27"/>
          <w:szCs w:val="27"/>
        </w:rPr>
      </w:pPr>
      <w:r>
        <w:rPr>
          <w:rStyle w:val="24"/>
          <w:rFonts w:hint="eastAsia" w:ascii="宋体" w:hAnsi="宋体" w:eastAsia="宋体" w:cs="宋体"/>
          <w:b/>
          <w:bCs w:val="0"/>
          <w:color w:val="000000"/>
          <w:sz w:val="32"/>
          <w:szCs w:val="32"/>
        </w:rPr>
        <w:t>6、社会保障和就业支出（类）行政事业单位养老支出（款）机关事业单位基本养老保险缴费支出（项）</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年初预算为0万元，支出决算为18.78万元，由于预算数为 0，无法计算百分比。决算数大于年初预算数的主要原因是：人员增加，单位负担养老保险经费增加。</w:t>
      </w:r>
    </w:p>
    <w:p>
      <w:pPr>
        <w:pStyle w:val="26"/>
        <w:spacing w:before="0" w:beforeAutospacing="0" w:after="2" w:afterAutospacing="0"/>
        <w:ind w:left="0" w:firstLine="641"/>
        <w:rPr>
          <w:rFonts w:hint="default" w:ascii="等线" w:hAnsi="等线" w:eastAsia="等线" w:cs="Times New Roman"/>
          <w:kern w:val="2"/>
          <w:sz w:val="27"/>
          <w:szCs w:val="27"/>
        </w:rPr>
      </w:pPr>
      <w:r>
        <w:rPr>
          <w:rStyle w:val="24"/>
          <w:rFonts w:hint="eastAsia" w:ascii="宋体" w:hAnsi="宋体" w:eastAsia="宋体" w:cs="宋体"/>
          <w:b/>
          <w:bCs w:val="0"/>
          <w:color w:val="000000"/>
          <w:sz w:val="32"/>
          <w:szCs w:val="32"/>
        </w:rPr>
        <w:t>7、社会保障和就业支出（类）财政对其他社会保险基金的补助（款）财政对工伤保险基金的补助（项）</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年初预算为0万元，支出决算为0.1万元，由于预算数为 0，无法计算百分比。决算数大于年初预算数的主要原因是：人员增加，单位负担工伤保险经费增加。</w:t>
      </w:r>
    </w:p>
    <w:p>
      <w:pPr>
        <w:pStyle w:val="26"/>
        <w:spacing w:before="0" w:beforeAutospacing="0" w:after="2" w:afterAutospacing="0"/>
        <w:ind w:left="0" w:firstLine="641"/>
        <w:rPr>
          <w:rFonts w:hint="default" w:ascii="等线" w:hAnsi="等线" w:eastAsia="等线" w:cs="Times New Roman"/>
          <w:kern w:val="2"/>
          <w:sz w:val="27"/>
          <w:szCs w:val="27"/>
        </w:rPr>
      </w:pPr>
      <w:r>
        <w:rPr>
          <w:rStyle w:val="24"/>
          <w:rFonts w:hint="eastAsia" w:ascii="宋体" w:hAnsi="宋体" w:eastAsia="宋体" w:cs="宋体"/>
          <w:b/>
          <w:bCs w:val="0"/>
          <w:color w:val="000000"/>
          <w:sz w:val="32"/>
          <w:szCs w:val="32"/>
        </w:rPr>
        <w:t>8、社会保障和就业支出（类）其他社会保障和就业支出（款）其他社会保障和就业支出（项）</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年初预算为0万元，支出决算为0.22万元，由于预算数为 0，无法计算百分比。决算数大于年初预算数的主要原因是：单位应负担工伤保险部分增加。</w:t>
      </w:r>
    </w:p>
    <w:p>
      <w:pPr>
        <w:pStyle w:val="26"/>
        <w:spacing w:before="0" w:beforeAutospacing="0" w:after="2" w:afterAutospacing="0"/>
        <w:ind w:left="0" w:firstLine="641"/>
        <w:rPr>
          <w:rFonts w:hint="default" w:ascii="等线" w:hAnsi="等线" w:eastAsia="等线" w:cs="Times New Roman"/>
          <w:kern w:val="2"/>
          <w:sz w:val="27"/>
          <w:szCs w:val="27"/>
        </w:rPr>
      </w:pPr>
      <w:r>
        <w:rPr>
          <w:rStyle w:val="24"/>
          <w:rFonts w:hint="eastAsia" w:ascii="宋体" w:hAnsi="宋体" w:eastAsia="宋体" w:cs="宋体"/>
          <w:b/>
          <w:bCs w:val="0"/>
          <w:color w:val="000000"/>
          <w:sz w:val="32"/>
          <w:szCs w:val="32"/>
        </w:rPr>
        <w:t>9、卫生健康支出（类）行政事业单位医疗（款）行政单位医疗（项）</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年初预算为0万元，支出决算为8.86万元，由于预算数为 0，无法计算百分比。决算数大于年初预算数的主要原因是：人员增加，医疗保险单位部分增加。</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565.08万元，其中：人员经费195.45万元，占基本支出的34.59%，主要包括：基本工资、津贴补贴、奖金、绩效工资、机关事业单位基本养老保险缴费、职工基本医疗保险缴费、其他社会保障缴费、生活补助。公用经费369.64万元，占基本支出的65.41%，主要包括：办公费、印刷费、水费、电费、邮电费、差旅费、劳务费、工会经费、其他交通费用、其他商品和服务支出。</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eastAsia" w:ascii="等线" w:hAnsi="等线" w:eastAsia="宋体" w:cs="Times New Roman"/>
          <w:kern w:val="2"/>
          <w:sz w:val="27"/>
          <w:szCs w:val="27"/>
        </w:rPr>
      </w:pPr>
      <w:r>
        <w:rPr>
          <w:rFonts w:hint="eastAsia" w:ascii="宋体" w:hAnsi="宋体" w:eastAsia="宋体" w:cs="宋体"/>
          <w:color w:val="000000"/>
          <w:kern w:val="2"/>
          <w:sz w:val="32"/>
          <w:szCs w:val="32"/>
        </w:rPr>
        <w:t>2021年度“三公”经费财政拨款支出预算为0万元，支出决算为0万元，由于预算数为 0，无法计算百分比。</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其中：</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公务接待费支出预算为0万元，支出决算为0万元，决算数与预算数一致，我单位严格按预算执行决算，公务接待费支出与上年持平。</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公务用车运行维护费支出预算为0万元，支出决算为0万元，决算数与预算数一致，我单位严格按预算执行决算，公务用车运行维护费支出与上年持平。</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2021年度“三公”经费财政拨款支出决算中，公务接待费支出决算0万元，占0%，因公出国（境）费支出决算0万元，占0%，公务用车购置费及运行维护费支出决算0万元，占0%。其中：</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2、公务接待费支出决算为0万元，全年共接待来访团组0个、来宾0人次，我单位2021年度无公务接待费支出。</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冷水滩区行政审批服务局2021年度没有政府性基金收入，也没有使用政府性基金安排的支出，并已公开空表。 </w:t>
      </w:r>
    </w:p>
    <w:p>
      <w:pPr>
        <w:pStyle w:val="26"/>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冷水滩区行政审批服务局2021年度机关运行经费支出369.64万元，比年初预算数增加55.02万元，增长17.49%。主要原因是：人员增加，办公经费增加。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十、一般性支出情况</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2021年度冷水滩区行政审批服务局开支会议费0万元，我单位2021年度无会议费支出；开支培训费0万元，我单位2021年度无培训费支出；举办0场节庆、晚会、论坛、赛事活动，开支0万元，无相关活动计划。</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十一、关于政府采购支出说明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jc w:val="both"/>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行政审批服务局2021年度政府采购支出总额0.01万元，其中：政府采购货物支出0.01万元、政府采购工程支出0万元、政府采购服务支出0万元。授予中小企业合同金额0万元，占政府采购支出总额的0%，其中：授予小微企业合同金额0万元，占政府采购支出总额的0%。货物采购授予中小企业合同金额占货物支出金额的100%，工程采购授予中小企业合同金额占工程支出金额的0%，服务采购授予中小企业合同金额占服务支出金额的0%。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十二、关于国有资产占用情况说明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截至2021年12月31日，冷水滩区行政审批服务局共有车辆0辆（台），其中：机要通信用车0辆、应急保障用车0辆、执法执勤用车0辆、特种专业技术用车0辆、其他用车0辆；单价50万元（含）以上通用设备0台（套），单价100万元（含）以上专用设备0台（套）。</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十三、关于2021年度预算绩效情况说明</w:t>
      </w:r>
      <w:r>
        <w:rPr>
          <w:rFonts w:hint="default" w:ascii="等线" w:hAnsi="等线" w:eastAsia="等线" w:cs="Times New Roman"/>
          <w:color w:val="000000"/>
          <w:kern w:val="2"/>
          <w:sz w:val="27"/>
          <w:szCs w:val="27"/>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Style w:val="24"/>
          <w:rFonts w:hint="eastAsia" w:ascii="宋体" w:hAnsi="宋体" w:eastAsia="宋体" w:cs="宋体"/>
          <w:b/>
          <w:bCs w:val="0"/>
          <w:color w:val="000000"/>
          <w:sz w:val="36"/>
          <w:szCs w:val="36"/>
        </w:rPr>
        <w:t>（1）绩效管理评价工作开展情况。</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一、部门概况</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（一）部门基本情况。</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冷水滩区行政审批服务局，正科级单位，是冷水滩区政府工作部门。冷水滩区行政审批服务局主要职责是推进、指导、协调、监督全区政务公开和政务服务体系建设、推进全区行政审批制度改革工作、监督评估全区电子政务工作、承担区优化经济发展环境办公室的日常工作、承担区社会信用体系建设领导小组办公室的日常工作以及承担区政务联动处置领导小组办公室的日常工作。</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（二）2021年的重点工作</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1、持续推进“三集中三到位”。</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三集中三到位”即审批事项向审批股集中、审批股向大厅集中、事项向一体化平台集中，事项进驻大厅到位、审批授权窗口到位、电子监察到位，是行政审批制度改革的重点和成功与否的标志。</w:t>
      </w:r>
    </w:p>
    <w:p>
      <w:pPr>
        <w:pStyle w:val="26"/>
        <w:spacing w:before="0" w:beforeAutospacing="0" w:after="2" w:afterAutospacing="0"/>
        <w:ind w:left="0" w:firstLine="640"/>
        <w:rPr>
          <w:rFonts w:hint="eastAsia" w:ascii="宋体" w:hAnsi="宋体" w:eastAsia="宋体" w:cs="宋体"/>
          <w:color w:val="000000"/>
          <w:kern w:val="2"/>
          <w:sz w:val="32"/>
          <w:szCs w:val="32"/>
          <w:lang w:eastAsia="zh-CN"/>
        </w:rPr>
      </w:pPr>
      <w:r>
        <w:rPr>
          <w:rFonts w:hint="eastAsia" w:ascii="宋体" w:hAnsi="宋体" w:eastAsia="宋体" w:cs="宋体"/>
          <w:color w:val="000000"/>
          <w:kern w:val="2"/>
          <w:sz w:val="32"/>
          <w:szCs w:val="32"/>
        </w:rPr>
        <w:t>2、深化</w:t>
      </w:r>
      <w:r>
        <w:rPr>
          <w:rFonts w:hint="eastAsia" w:ascii="宋体" w:hAnsi="宋体" w:eastAsia="宋体" w:cs="宋体"/>
          <w:color w:val="000000"/>
          <w:kern w:val="2"/>
          <w:sz w:val="32"/>
          <w:szCs w:val="32"/>
          <w:lang w:eastAsia="zh-CN"/>
        </w:rPr>
        <w:t>“放管服”改革</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大力推进网上申报、网上办理、网端推送等办理模式，力争实现全网办理。打响一字品牌，实行一件事一次办、一站办理、一窗办结、一网通办、一人代办、一次告知、一章审批、帮代办以及就近帮等服务，精简审批流程，放权窗口，提高政务服务效率。</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3、积极推进简政放权</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按照“能放尽放”的原则，采取直接赋权、委托下放、服务前移等方式，共向乡镇（街道）赋权政务服务事项110项（2021年根据市里标准下放了32项），向城市村（社区）赋权政务服务事项46项，统一印制事项清单及办事指南，实现了村民办事“小事不出村，大事不出镇”。</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二、一般公共预算支出情况</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本单位严格按照财政局的要求进行财务管理、决算组织、编报、审核。严格执行财政局决算公开、按照主管部门的规定、批复进行决算工作开展。</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（一）基本支出情况</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基本支出为565.08万元，包含人员经费195.45万元，日常公用经费369.64万元。</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（二）项目支出情况</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项目支出212.00万，主要用于单位运转、互联网+监督政务服务建设、电子政务外网维护等方面。</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（三）“三公”经费情况</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1．因公出国（境）费用：无因公出国（境）费用。</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2．公务接待费：2021年无三公经费支出。</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3．公务用车购置及运行费：无公车购置及运行费用。</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三、部门整体支出绩效情况</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1、全面推进“三化”攻坚行动。一是加强事项梳理与公示。按照事项管理“三化”、“四减”的要求，精简办事流程，在原有的办件期限上压缩两个三分之一，目前，36个部门“三化”梳理工作已经完成。二是不让办事群众空手离开。今年发放一次性告知书182份，签订承诺书2980余份，容缺受理事项860余件。三是推动线上线下互为支撑。窗口工作人员积极引导帮助企业群众网上办理，区本级网上可办率达100%。</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2、持续推进“三集中三到位”。一是“审批事项向审批股集中”。我区共有审批部门36个，区直20个部门设立了审批股，另8个只有几项或行政审批事项较集中的部门由专门股室负责，没有另设审批股，8个省、市驻冷单位按省市相关文件要求执行，实现了“事项向审批股集中”。二是“审批股向大厅集中”。</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3、简政放权方便民众。一是积极开展放权赋权回头看。下发了《冷水滩区关于全面开展放权赋权“回头看”的通知》和《冷水滩区放权赋权“回头看”自查整改方案》，通知下发区直24个部门及20个乡镇街道。从各单位反馈情况来看，我区大部分单位都按《通知》、要求对标对表开展了自查整改工作，《通知》附件中的放权赋权“回头看”相关文件中的涉及下放及赋权事项的基本上做到了“应放就放、应接尽接”，涉及取消事项的全部取消。二是全面贯彻落实《关于调整一批行政权力及公共服务事项的通知》(湘审改发[2021)5号)、《湖南省人民政府关于调整一枇行政权力事项的通知》。根据《通知》要求，对涉及我区事项及时进行了调整，并在省“互联网+政务服务”一体化平上进行了填报、发布和公示。三是下发了《关于规范提升乡镇（街道）便民服务中心服务能力的通知》，规范统一乡镇（街道）、村（社区）大厅设置，统一标识标牌，推进综合窗口受理改革，为每个乡镇（街道）配备了2台好差评评价平板。</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4、强化电子监督考核。落实落实“好差评”制度。大厅内窗口均设置了好差评设备，在醒目位置张贴宣传标识，提醒引导办事群众主动评价。强化评价数据综合分析和结果运用，加强了对进驻单位“三集中三到位”、流程优化、事项办理等情况和窗口人员具体服务行为的监督、评价，全年群众主动评价率99%，群众满意度99.99%。</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四、绩效自评得分情况及绩效等级。</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绩效自评得分91分，等级为优。</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五、存在的问题及原因分析</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预算编制工作有待细化。预算编制不够明确和细化，预算编制的合理性需要提高，预算执行力度还要进一步加强。</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六、改进措施和有关建议</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针对上述存在的问题及对外整体支出管理工作的需要，拟实施的改进措施如下：</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1、细化预算编制工作，认真做好预算的编制。全面编制预算项目，进一步提高预算编制的科学性、严谨性和可控性。加强内部预算编制的审核和预算控制指标的下达。</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2、加强财务管理，严格财务审核。加强单位财务管理，健全单位财务管理制度体系，规范单位财务行为。</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3、完善资产管理，抓好“三公”经费控制。严格编制政府采度、资产采购制度等，加强单位内部的资产管理工作。进一步细化“三公”经费管理，合理压缩“三公”经费支出。</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4、对相关人员加强培训。加强财务会计人员业务培训，特别是针对《预算法》、《行政事业单位会计制度》等学习培训，规范部门预算收支核算，切实提高部门预算收支管理水平。</w:t>
      </w:r>
    </w:p>
    <w:p>
      <w:pPr>
        <w:pStyle w:val="26"/>
        <w:spacing w:before="0" w:beforeAutospacing="0" w:after="2" w:afterAutospacing="0"/>
        <w:ind w:left="0" w:firstLine="64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七、其他需要说明的情况</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无 </w:t>
      </w:r>
      <w:r>
        <w:rPr>
          <w:rFonts w:hint="default" w:ascii="等线" w:hAnsi="等线" w:eastAsia="等线" w:cs="Times New Roman"/>
          <w:color w:val="000000"/>
          <w:kern w:val="2"/>
          <w:sz w:val="27"/>
          <w:szCs w:val="27"/>
        </w:rPr>
        <w:t xml:space="preserve"> </w:t>
      </w:r>
    </w:p>
    <w:p>
      <w:pPr>
        <w:pStyle w:val="26"/>
        <w:numPr>
          <w:ilvl w:val="0"/>
          <w:numId w:val="1"/>
        </w:numPr>
        <w:spacing w:before="0" w:beforeAutospacing="0" w:after="2" w:afterAutospacing="0"/>
        <w:ind w:left="0" w:firstLine="640"/>
        <w:rPr>
          <w:rFonts w:hint="eastAsia" w:ascii="宋体" w:hAnsi="宋体" w:eastAsia="宋体" w:cs="宋体"/>
          <w:b/>
          <w:bCs w:val="0"/>
          <w:color w:val="000000"/>
          <w:kern w:val="2"/>
          <w:sz w:val="36"/>
          <w:szCs w:val="36"/>
        </w:rPr>
      </w:pPr>
      <w:r>
        <w:rPr>
          <w:rStyle w:val="24"/>
          <w:rFonts w:hint="eastAsia" w:ascii="宋体" w:hAnsi="宋体" w:eastAsia="宋体" w:cs="宋体"/>
          <w:b/>
          <w:bCs w:val="0"/>
          <w:color w:val="000000"/>
          <w:sz w:val="36"/>
          <w:szCs w:val="36"/>
        </w:rPr>
        <w:t>部门决算中项目绩效自评结果（如有）。</w:t>
      </w:r>
    </w:p>
    <w:p>
      <w:pPr>
        <w:pStyle w:val="26"/>
        <w:spacing w:before="0" w:beforeAutospacing="0" w:after="2" w:afterAutospacing="0"/>
        <w:ind w:left="0" w:firstLine="640"/>
        <w:jc w:val="both"/>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 </w:t>
      </w:r>
    </w:p>
    <w:p>
      <w:pPr>
        <w:pStyle w:val="26"/>
        <w:spacing w:before="0" w:beforeAutospacing="0" w:after="2" w:afterAutospacing="0"/>
        <w:ind w:left="0" w:firstLine="640"/>
        <w:jc w:val="both"/>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详情见附件</w:t>
      </w:r>
    </w:p>
    <w:p>
      <w:pPr>
        <w:pStyle w:val="26"/>
        <w:spacing w:before="0" w:beforeAutospacing="0" w:after="2" w:afterAutospacing="0"/>
        <w:ind w:left="0" w:firstLine="640"/>
        <w:jc w:val="both"/>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 </w:t>
      </w:r>
    </w:p>
    <w:p>
      <w:pPr>
        <w:pStyle w:val="26"/>
        <w:spacing w:before="0" w:beforeAutospacing="0" w:after="2" w:afterAutospacing="0"/>
        <w:ind w:left="0" w:firstLine="640"/>
        <w:rPr>
          <w:rFonts w:hint="default" w:ascii="等线" w:hAnsi="等线" w:eastAsia="等线" w:cs="Times New Roman"/>
          <w:kern w:val="2"/>
          <w:sz w:val="27"/>
          <w:szCs w:val="27"/>
        </w:rPr>
      </w:pPr>
      <w:r>
        <w:rPr>
          <w:rStyle w:val="24"/>
          <w:rFonts w:hint="eastAsia" w:ascii="宋体" w:hAnsi="宋体" w:eastAsia="宋体" w:cs="宋体"/>
          <w:b/>
          <w:bCs w:val="0"/>
          <w:color w:val="000000"/>
          <w:sz w:val="36"/>
          <w:szCs w:val="36"/>
        </w:rPr>
        <w:t>（3）部门评价项目绩效评价结果。</w:t>
      </w:r>
    </w:p>
    <w:p>
      <w:pPr>
        <w:pStyle w:val="26"/>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default" w:ascii="等线" w:hAnsi="等线" w:eastAsia="等线" w:cs="Times New Roman"/>
          <w:color w:val="000000"/>
          <w:kern w:val="2"/>
          <w:sz w:val="27"/>
          <w:szCs w:val="27"/>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第四部分 名词解释</w:t>
      </w:r>
      <w:r>
        <w:rPr>
          <w:rFonts w:hint="default" w:ascii="等线" w:hAnsi="等线" w:eastAsia="等线" w:cs="Times New Roman"/>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第五部分 附件</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8"/>
          <w:szCs w:val="28"/>
          <w:shd w:val="clear" w:fill="FFFFFF"/>
        </w:rPr>
      </w:pPr>
      <w:r>
        <w:fldChar w:fldCharType="begin"/>
      </w:r>
      <w:r>
        <w:instrText xml:space="preserve"> HYPERLINK "http://10.105.181.49/home/downloadAttachment?attachGUID=aa9b11c2661743bba783f492d9a4e0c7" </w:instrText>
      </w:r>
      <w:r>
        <w:fldChar w:fldCharType="separate"/>
      </w:r>
      <w:r>
        <w:rPr>
          <w:rStyle w:val="12"/>
          <w:rFonts w:hint="eastAsia" w:ascii="宋体" w:hAnsi="宋体" w:eastAsia="宋体" w:cs="宋体"/>
          <w:color w:val="0000FF"/>
          <w:sz w:val="28"/>
          <w:szCs w:val="28"/>
          <w:u w:val="single"/>
          <w:shd w:val="clear" w:fill="FFFFFF"/>
        </w:rPr>
        <w:t>2021年度永州市冷水滩区行政审批服务局整体支出绩效自评报告.docx</w:t>
      </w:r>
      <w:r>
        <w:fldChar w:fldCharType="end"/>
      </w:r>
    </w:p>
    <w:p>
      <w:pPr>
        <w:spacing w:before="0" w:beforeAutospacing="0" w:after="2" w:afterAutospacing="0"/>
        <w:jc w:val="center"/>
        <w:rPr>
          <w:rFonts w:hint="default" w:ascii="等线" w:hAnsi="等线" w:eastAsia="等线" w:cs="Times New Roman"/>
          <w:kern w:val="2"/>
          <w:sz w:val="21"/>
          <w:szCs w:val="21"/>
        </w:rPr>
      </w:pPr>
      <w:r>
        <w:fldChar w:fldCharType="begin"/>
      </w:r>
      <w:r>
        <w:instrText xml:space="preserve"> HYPERLINK "http://10.105.181.49/home/downloadAttachment?attachGUID=61db8afe1b9347fe969610a539c3fb74" </w:instrText>
      </w:r>
      <w:r>
        <w:fldChar w:fldCharType="separate"/>
      </w:r>
      <w:r>
        <w:rPr>
          <w:rStyle w:val="12"/>
          <w:rFonts w:hint="eastAsia" w:ascii="宋体" w:hAnsi="宋体" w:eastAsia="宋体" w:cs="宋体"/>
          <w:color w:val="0000FF"/>
          <w:sz w:val="28"/>
          <w:szCs w:val="28"/>
          <w:u w:val="single"/>
          <w:shd w:val="clear" w:fill="FFFFFF"/>
        </w:rPr>
        <w:t>2021年度永州市冷水滩区行政审批服务局专项（项目）资金绩效自评报告.docx</w:t>
      </w:r>
      <w:r>
        <w:fldChar w:fldCharType="end"/>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sectPr>
      <w:pgSz w:w="11906" w:h="16838" w:orient="landscape"/>
      <w:pgMar w:top="1440" w:right="1800" w:bottom="1440" w:left="180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53E7D"/>
    <w:multiLevelType w:val="multilevel"/>
    <w:tmpl w:val="B7553E7D"/>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false"/>
  <w:bordersDoNotSurroundFooter w:val="false"/>
  <w:documentProtection w:enforcement="0"/>
  <w:defaultTabStop w:val="420"/>
  <w:drawingGridVerticalSpacing w:val="157"/>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3EDF1B7F"/>
    <w:rsid w:val="49E549EA"/>
    <w:rsid w:val="761147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qFormat/>
    <w:uiPriority w:val="0"/>
    <w:rPr>
      <w:color w:val="0000FF"/>
      <w:u w:val="single"/>
    </w:rPr>
  </w:style>
  <w:style w:type="character" w:customStyle="1" w:styleId="13">
    <w:name w:val="16"/>
    <w:basedOn w:val="11"/>
    <w:qFormat/>
    <w:uiPriority w:val="0"/>
    <w:rPr>
      <w:rFonts w:hint="default" w:ascii="Times New Roman" w:hAnsi="Times New Roman" w:cs="Times New Roman"/>
    </w:rPr>
  </w:style>
  <w:style w:type="paragraph" w:customStyle="1" w:styleId="14">
    <w:name w:val="HTML 预设格式 Char"/>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5">
    <w:name w:val="18"/>
    <w:basedOn w:val="11"/>
    <w:qFormat/>
    <w:uiPriority w:val="0"/>
    <w:rPr>
      <w:rFonts w:hint="default" w:ascii="Times New Roman" w:hAnsi="Times New Roman" w:cs="Times New Roman"/>
    </w:rPr>
  </w:style>
  <w:style w:type="paragraph" w:customStyle="1" w:styleId="16">
    <w:name w:val="HTML 预设格式 Char Char"/>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7">
    <w:name w:val="10"/>
    <w:basedOn w:val="11"/>
    <w:qFormat/>
    <w:uiPriority w:val="0"/>
    <w:rPr>
      <w:rFonts w:hint="default" w:ascii="Times New Roman" w:hAnsi="Times New Roman" w:cs="Times New Roman"/>
    </w:rPr>
  </w:style>
  <w:style w:type="paragraph" w:customStyle="1" w:styleId="18">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9">
    <w:name w:val="15"/>
    <w:basedOn w:val="11"/>
    <w:qFormat/>
    <w:uiPriority w:val="0"/>
    <w:rPr>
      <w:rFonts w:hint="default" w:ascii="Times New Roman" w:hAnsi="Times New Roman" w:cs="Times New Roman"/>
    </w:rPr>
  </w:style>
  <w:style w:type="character" w:customStyle="1" w:styleId="20">
    <w:name w:val="17"/>
    <w:basedOn w:val="11"/>
    <w:qFormat/>
    <w:uiPriority w:val="0"/>
    <w:rPr>
      <w:rFonts w:hint="default" w:ascii="Times New Roman" w:hAnsi="Times New Roman" w:cs="Times New Roman"/>
      <w:color w:val="0000FF"/>
      <w:u w:val="single"/>
    </w:rPr>
  </w:style>
  <w:style w:type="character" w:customStyle="1" w:styleId="21">
    <w:name w:val="19"/>
    <w:basedOn w:val="11"/>
    <w:qFormat/>
    <w:uiPriority w:val="0"/>
    <w:rPr>
      <w:rFonts w:hint="default" w:ascii="Times New Roman" w:hAnsi="Times New Roman" w:cs="Times New Roman"/>
      <w:color w:val="0000FF"/>
      <w:u w:val="single"/>
    </w:rPr>
  </w:style>
  <w:style w:type="character" w:customStyle="1" w:styleId="22">
    <w:name w:val="20"/>
    <w:basedOn w:val="11"/>
    <w:qFormat/>
    <w:uiPriority w:val="0"/>
    <w:rPr>
      <w:rFonts w:hint="default" w:ascii="Times New Roman" w:hAnsi="Times New Roman" w:cs="Times New Roman"/>
      <w:color w:val="0000FF"/>
      <w:u w:val="single"/>
    </w:rPr>
  </w:style>
  <w:style w:type="character" w:customStyle="1" w:styleId="23">
    <w:name w:val="21"/>
    <w:basedOn w:val="11"/>
    <w:qFormat/>
    <w:uiPriority w:val="0"/>
    <w:rPr>
      <w:rFonts w:hint="default" w:ascii="Times New Roman" w:hAnsi="Times New Roman" w:cs="Times New Roman"/>
      <w:color w:val="0000FF"/>
      <w:u w:val="single"/>
    </w:rPr>
  </w:style>
  <w:style w:type="character" w:customStyle="1" w:styleId="24">
    <w:name w:val="22"/>
    <w:basedOn w:val="11"/>
    <w:qFormat/>
    <w:uiPriority w:val="0"/>
    <w:rPr>
      <w:rFonts w:hint="default" w:ascii="Times New Roman" w:hAnsi="Times New Roman" w:cs="Times New Roman"/>
      <w:b/>
    </w:rPr>
  </w:style>
  <w:style w:type="paragraph" w:customStyle="1" w:styleId="25">
    <w:name w:val="普通(网站) Char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6">
    <w:name w:val="181"/>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11397</Words>
  <Characters>13122</Characters>
  <Lines>1</Lines>
  <Paragraphs>1</Paragraphs>
  <TotalTime>4</TotalTime>
  <ScaleCrop>false</ScaleCrop>
  <LinksUpToDate>false</LinksUpToDate>
  <CharactersWithSpaces>13281</CharactersWithSpaces>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2023-11-08T10:09:00Z</dcterms:created>
  <dc:creator>ZWZX</dc:creator>
  <cp:lastModifiedBy>lst</cp:lastModifiedBy>
  <dcterms:modified xsi:type="dcterms:W3CDTF">2024-12-23T10:18:00Z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EA9E25ECF2B541F4937CA6F6C2907A2E</vt:lpwstr>
  </property>
</Properties>
</file>