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61" w:beforeLines="50" w:line="600" w:lineRule="exact"/>
        <w:jc w:val="center"/>
        <w:textAlignment w:val="auto"/>
        <w:rPr>
          <w:sz w:val="36"/>
          <w:szCs w:val="36"/>
        </w:rPr>
      </w:pPr>
      <w:r>
        <w:rPr>
          <w:rFonts w:hint="eastAsia" w:ascii="方正小标宋简体" w:eastAsia="方正小标宋简体"/>
          <w:color w:val="000000"/>
          <w:sz w:val="44"/>
          <w:szCs w:val="44"/>
          <w:lang w:eastAsia="zh-CN"/>
        </w:rPr>
        <w:t>202</w:t>
      </w:r>
      <w:r>
        <w:rPr>
          <w:rFonts w:hint="eastAsia" w:ascii="方正小标宋简体" w:eastAsia="方正小标宋简体"/>
          <w:color w:val="000000"/>
          <w:sz w:val="44"/>
          <w:szCs w:val="44"/>
          <w:lang w:val="en-US" w:eastAsia="zh-CN"/>
        </w:rPr>
        <w:t>1</w:t>
      </w:r>
      <w:r>
        <w:rPr>
          <w:rFonts w:eastAsia="方正小标宋简体"/>
          <w:sz w:val="44"/>
          <w:szCs w:val="44"/>
        </w:rPr>
        <w:t>年度</w:t>
      </w:r>
      <w:r>
        <w:rPr>
          <w:rFonts w:hint="eastAsia" w:eastAsia="方正小标宋简体"/>
          <w:sz w:val="44"/>
          <w:szCs w:val="44"/>
          <w:lang w:val="en-US" w:eastAsia="zh-CN"/>
        </w:rPr>
        <w:t>永州市冷水滩</w:t>
      </w:r>
      <w:r>
        <w:rPr>
          <w:rFonts w:hint="eastAsia" w:eastAsia="方正小标宋简体"/>
          <w:sz w:val="44"/>
          <w:szCs w:val="44"/>
          <w:lang w:eastAsia="zh-CN"/>
        </w:rPr>
        <w:t>区行政审批服务局</w:t>
      </w:r>
      <w:r>
        <w:rPr>
          <w:rFonts w:eastAsia="方正小标宋简体"/>
          <w:sz w:val="44"/>
          <w:szCs w:val="44"/>
        </w:rPr>
        <w:t>整体支出绩效自评报告</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3" w:firstLineChars="200"/>
        <w:jc w:val="both"/>
        <w:textAlignment w:val="auto"/>
        <w:rPr>
          <w:rFonts w:hint="eastAsia" w:ascii="黑体" w:hAnsi="黑体" w:eastAsia="黑体" w:cs="黑体"/>
          <w:b/>
          <w:sz w:val="32"/>
          <w:szCs w:val="32"/>
        </w:rPr>
      </w:pPr>
      <w:r>
        <w:rPr>
          <w:rFonts w:hint="eastAsia" w:ascii="黑体" w:hAnsi="黑体" w:eastAsia="黑体" w:cs="黑体"/>
          <w:b/>
          <w:sz w:val="32"/>
          <w:szCs w:val="32"/>
        </w:rPr>
        <w:t>一、部门概况</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（一）部门基本情况。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冷水滩区行政审批服务局，正科级单位，是冷水滩区政府工作部门。冷水滩区行政审批服务局主要职责是推进、指导、协调、监督全区政务公开和政务服务体系建设、推进全区行政审批制度改革工作、监督评估全区电子政务工作、承担区优化经济发展环境办公室的日常工作、承担区社会信用体系建设领导小组办公室的日常工作以及承担区政务联动处置领导小组办公室的日常工作。</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（二）2021年的重点工作</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1、持续推进</w:t>
      </w:r>
      <w:r>
        <w:rPr>
          <w:rFonts w:hint="eastAsia" w:ascii="仿宋" w:hAnsi="仿宋" w:eastAsia="仿宋" w:cs="仿宋"/>
          <w:b w:val="0"/>
          <w:bCs w:val="0"/>
          <w:sz w:val="32"/>
          <w:szCs w:val="32"/>
          <w:lang w:eastAsia="zh-CN"/>
        </w:rPr>
        <w:t>“三集中三到位”。</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三集中三到位”即审批事项向审批股集中、审批股向大厅集中、事项向一体化平台集中，事项进驻大厅</w:t>
      </w:r>
      <w:r>
        <w:rPr>
          <w:rFonts w:hint="eastAsia" w:ascii="仿宋" w:hAnsi="仿宋" w:eastAsia="仿宋" w:cs="仿宋"/>
          <w:b w:val="0"/>
          <w:bCs w:val="0"/>
          <w:sz w:val="32"/>
          <w:szCs w:val="32"/>
          <w:lang w:val="en-US" w:eastAsia="zh-CN"/>
        </w:rPr>
        <w:t>到位、</w:t>
      </w:r>
      <w:r>
        <w:rPr>
          <w:rFonts w:hint="eastAsia" w:ascii="仿宋" w:hAnsi="仿宋" w:eastAsia="仿宋" w:cs="仿宋"/>
          <w:b w:val="0"/>
          <w:bCs w:val="0"/>
          <w:sz w:val="32"/>
          <w:szCs w:val="32"/>
          <w:lang w:eastAsia="zh-CN"/>
        </w:rPr>
        <w:t>审批授权窗口到位、电子监察到位，是行政审批制度改革的重点和成功与否的标志。</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2、深化</w:t>
      </w:r>
      <w:bookmarkStart w:id="0" w:name="_GoBack"/>
      <w:bookmarkEnd w:id="0"/>
      <w:r>
        <w:rPr>
          <w:rFonts w:hint="eastAsia" w:ascii="仿宋" w:hAnsi="仿宋" w:eastAsia="仿宋" w:cs="仿宋"/>
          <w:b w:val="0"/>
          <w:bCs w:val="0"/>
          <w:sz w:val="32"/>
          <w:szCs w:val="32"/>
          <w:lang w:val="en-US" w:eastAsia="zh-CN"/>
        </w:rPr>
        <w:t>“放管服”改革</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大力推进网上申报、网上办理、网端推送等办理模式，力争实现全网办理。打响一字品牌，实行一件事一次办、一站办理、一窗办结、一网通办、一人代办、一次告知、一章审批、帮代办以及就近帮等服务，精简审批流程，放权窗口，</w:t>
      </w:r>
      <w:r>
        <w:rPr>
          <w:rFonts w:hint="eastAsia" w:ascii="仿宋" w:hAnsi="仿宋" w:eastAsia="仿宋" w:cs="仿宋"/>
          <w:b w:val="0"/>
          <w:bCs w:val="0"/>
          <w:sz w:val="32"/>
          <w:szCs w:val="32"/>
          <w:lang w:eastAsia="zh-CN"/>
        </w:rPr>
        <w:t>提高政务服务效率。</w:t>
      </w:r>
    </w:p>
    <w:p>
      <w:pPr>
        <w:keepNext w:val="0"/>
        <w:keepLines w:val="0"/>
        <w:pageBreakBefore w:val="0"/>
        <w:widowControl w:val="0"/>
        <w:numPr>
          <w:ilvl w:val="0"/>
          <w:numId w:val="1"/>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积极推进简政放权</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能放尽放”的原则，采取直接赋权、委托下放、服务前移等方式，共向乡镇（街道）赋权政务服务事项110项（2021年根据市里标准下放了32项），向城市村（社区）赋权政务服务事项46项，统一印制事项清单及办事指南，实现了村民办事“小事不出村，大事不出镇”。</w:t>
      </w:r>
    </w:p>
    <w:p>
      <w:pPr>
        <w:keepNext w:val="0"/>
        <w:keepLines w:val="0"/>
        <w:pageBreakBefore w:val="0"/>
        <w:widowControl w:val="0"/>
        <w:numPr>
          <w:ilvl w:val="0"/>
          <w:numId w:val="2"/>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一般公共预算</w:t>
      </w:r>
      <w:r>
        <w:rPr>
          <w:rFonts w:hint="eastAsia" w:ascii="黑体" w:hAnsi="黑体" w:eastAsia="黑体" w:cs="黑体"/>
          <w:b w:val="0"/>
          <w:bCs/>
          <w:sz w:val="32"/>
          <w:szCs w:val="32"/>
        </w:rPr>
        <w:t>支出情况</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pPr>
      <w:r>
        <w:rPr>
          <w:rFonts w:hint="eastAsia" w:ascii="仿宋" w:hAnsi="仿宋" w:eastAsia="仿宋" w:cs="仿宋"/>
          <w:b w:val="0"/>
          <w:bCs w:val="0"/>
          <w:sz w:val="32"/>
          <w:szCs w:val="32"/>
        </w:rPr>
        <w:t>本单位严格按照财政局的要求进行财务管理、决算组织、编报、审核。严格执行财政局决算公开、按照主管部门的规定、批复进行决算工作开展。</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（一）基本支出情况</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基本支出为565.08万元，包含人员经费195.45万元，日常公用经费369.64万元。</w:t>
      </w:r>
    </w:p>
    <w:p>
      <w:pPr>
        <w:keepNext w:val="0"/>
        <w:keepLines w:val="0"/>
        <w:pageBreakBefore w:val="0"/>
        <w:widowControl w:val="0"/>
        <w:numPr>
          <w:ilvl w:val="0"/>
          <w:numId w:val="3"/>
        </w:numPr>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项目支出212.00万，主要用于单位运转、互联网+监督政务服务建设、电子政务外网维护等方面。</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（三）“三公”经费情况</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1．因公出国（境）费用；</w:t>
      </w:r>
      <w:r>
        <w:rPr>
          <w:rFonts w:hint="eastAsia" w:ascii="仿宋" w:hAnsi="仿宋" w:eastAsia="仿宋" w:cs="仿宋"/>
          <w:b w:val="0"/>
          <w:bCs w:val="0"/>
          <w:sz w:val="32"/>
          <w:szCs w:val="32"/>
          <w:lang w:val="en-US" w:eastAsia="zh-CN"/>
        </w:rPr>
        <w:t>无因公出国（境）费用</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2．公务接待费；</w:t>
      </w:r>
      <w:r>
        <w:rPr>
          <w:rFonts w:hint="eastAsia" w:ascii="仿宋" w:hAnsi="仿宋" w:eastAsia="仿宋" w:cs="仿宋"/>
          <w:b w:val="0"/>
          <w:bCs w:val="0"/>
          <w:sz w:val="32"/>
          <w:szCs w:val="32"/>
          <w:lang w:val="en-US" w:eastAsia="zh-CN"/>
        </w:rPr>
        <w:t>2021年无三公经费支出。</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ascii="宋体" w:hAnsi="宋体"/>
          <w:sz w:val="30"/>
          <w:szCs w:val="30"/>
        </w:rPr>
      </w:pPr>
      <w:r>
        <w:rPr>
          <w:rFonts w:hint="eastAsia" w:ascii="仿宋" w:hAnsi="仿宋" w:eastAsia="仿宋" w:cs="仿宋"/>
          <w:b w:val="0"/>
          <w:bCs w:val="0"/>
          <w:sz w:val="32"/>
          <w:szCs w:val="32"/>
        </w:rPr>
        <w:t>3．公务用车购置及运行费。</w:t>
      </w:r>
      <w:r>
        <w:rPr>
          <w:rFonts w:hint="eastAsia" w:ascii="仿宋" w:hAnsi="仿宋" w:eastAsia="仿宋" w:cs="仿宋"/>
          <w:b w:val="0"/>
          <w:bCs w:val="0"/>
          <w:sz w:val="32"/>
          <w:szCs w:val="32"/>
          <w:lang w:val="en-US" w:eastAsia="zh-CN"/>
        </w:rPr>
        <w:t>无公车购置及运行费用</w:t>
      </w:r>
    </w:p>
    <w:p>
      <w:pPr>
        <w:pStyle w:val="8"/>
        <w:keepNext w:val="0"/>
        <w:keepLines w:val="0"/>
        <w:pageBreakBefore w:val="0"/>
        <w:widowControl w:val="0"/>
        <w:shd w:val="clear" w:color="auto" w:fill="auto"/>
        <w:tabs>
          <w:tab w:val="left" w:pos="1538"/>
        </w:tabs>
        <w:kinsoku/>
        <w:wordWrap/>
        <w:overflowPunct/>
        <w:topLinePunct w:val="0"/>
        <w:autoSpaceDE/>
        <w:autoSpaceDN/>
        <w:bidi w:val="0"/>
        <w:adjustRightInd/>
        <w:snapToGrid/>
        <w:spacing w:before="161" w:beforeLines="50" w:after="161" w:afterLines="50" w:line="60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lang w:val="en-US" w:eastAsia="zh-CN"/>
        </w:rPr>
        <w:t>三</w:t>
      </w:r>
      <w:r>
        <w:rPr>
          <w:rFonts w:hint="eastAsia" w:ascii="黑体" w:hAnsi="黑体" w:eastAsia="黑体" w:cs="黑体"/>
          <w:color w:val="000000"/>
          <w:spacing w:val="0"/>
          <w:w w:val="100"/>
          <w:position w:val="0"/>
          <w:sz w:val="32"/>
          <w:szCs w:val="32"/>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00" w:firstLineChars="200"/>
        <w:rPr>
          <w:rStyle w:val="9"/>
          <w:rFonts w:hint="eastAsia" w:ascii="仿宋" w:hAnsi="仿宋" w:eastAsia="仿宋" w:cs="仿宋"/>
          <w:b w:val="0"/>
          <w:bCs w:val="0"/>
          <w:i w:val="0"/>
          <w:caps w:val="0"/>
          <w:color w:val="auto"/>
          <w:spacing w:val="0"/>
          <w:w w:val="100"/>
          <w:sz w:val="32"/>
          <w:szCs w:val="32"/>
          <w:lang w:val="en-US" w:eastAsia="zh-CN"/>
        </w:rPr>
      </w:pPr>
      <w:r>
        <w:rPr>
          <w:rFonts w:hint="eastAsia" w:ascii="宋体" w:hAnsi="宋体"/>
          <w:b w:val="0"/>
          <w:bCs w:val="0"/>
          <w:sz w:val="30"/>
          <w:szCs w:val="30"/>
          <w:lang w:val="en-US" w:eastAsia="zh-CN"/>
        </w:rPr>
        <w:t xml:space="preserve">  </w:t>
      </w:r>
      <w:r>
        <w:rPr>
          <w:rFonts w:hint="eastAsia" w:ascii="仿宋" w:hAnsi="仿宋" w:eastAsia="仿宋" w:cs="仿宋"/>
          <w:b w:val="0"/>
          <w:bCs w:val="0"/>
          <w:i w:val="0"/>
          <w:caps w:val="0"/>
          <w:color w:val="auto"/>
          <w:spacing w:val="0"/>
          <w:sz w:val="32"/>
          <w:szCs w:val="32"/>
          <w:shd w:val="clear" w:color="auto" w:fill="FFFFFF"/>
          <w:lang w:val="en-US" w:eastAsia="zh-CN"/>
        </w:rPr>
        <w:t>1、全面推进“三化”攻坚行动。</w:t>
      </w:r>
      <w:r>
        <w:rPr>
          <w:rFonts w:hint="eastAsia" w:ascii="仿宋" w:hAnsi="仿宋" w:eastAsia="仿宋" w:cs="仿宋"/>
          <w:b w:val="0"/>
          <w:bCs w:val="0"/>
          <w:sz w:val="32"/>
          <w:szCs w:val="32"/>
          <w:lang w:val="en-US" w:eastAsia="zh-CN"/>
        </w:rPr>
        <w:t>一是</w:t>
      </w:r>
      <w:r>
        <w:rPr>
          <w:rFonts w:hint="eastAsia" w:ascii="仿宋" w:hAnsi="仿宋" w:eastAsia="仿宋" w:cs="仿宋"/>
          <w:b w:val="0"/>
          <w:bCs w:val="0"/>
          <w:sz w:val="32"/>
          <w:szCs w:val="32"/>
        </w:rPr>
        <w:t>加强事项梳理与公示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按照事项管理“三化”</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四减”的要求，精简办事流程</w:t>
      </w:r>
      <w:r>
        <w:rPr>
          <w:rFonts w:hint="eastAsia" w:ascii="仿宋" w:hAnsi="仿宋" w:eastAsia="仿宋" w:cs="仿宋"/>
          <w:b w:val="0"/>
          <w:bCs w:val="0"/>
          <w:sz w:val="32"/>
          <w:szCs w:val="32"/>
          <w:lang w:val="en-US" w:eastAsia="zh-CN"/>
        </w:rPr>
        <w:t>，在原有的办件期限上</w:t>
      </w:r>
      <w:r>
        <w:rPr>
          <w:rFonts w:hint="eastAsia" w:ascii="仿宋" w:hAnsi="仿宋" w:eastAsia="仿宋" w:cs="仿宋"/>
          <w:b w:val="0"/>
          <w:bCs w:val="0"/>
          <w:sz w:val="32"/>
          <w:szCs w:val="32"/>
        </w:rPr>
        <w:t>压缩两个三分之一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目前，36个部门“三化”梳理工作已经完成。二是</w:t>
      </w:r>
      <w:r>
        <w:rPr>
          <w:rFonts w:hint="eastAsia" w:ascii="仿宋" w:hAnsi="仿宋" w:eastAsia="仿宋" w:cs="仿宋"/>
          <w:b w:val="0"/>
          <w:bCs w:val="0"/>
          <w:sz w:val="32"/>
          <w:szCs w:val="32"/>
        </w:rPr>
        <w:t>不让办事群众空手离开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今年发放一次性告知书</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82份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签订承诺书2980余份，容缺受理事项860余件。三是推动线上线下互为支撑。窗口工作人员积极引导帮助企业群众网上办理，区本级网上</w:t>
      </w:r>
      <w:r>
        <w:rPr>
          <w:rStyle w:val="9"/>
          <w:rFonts w:hint="eastAsia" w:ascii="仿宋" w:hAnsi="仿宋" w:eastAsia="仿宋" w:cs="仿宋"/>
          <w:b w:val="0"/>
          <w:bCs w:val="0"/>
          <w:i w:val="0"/>
          <w:caps w:val="0"/>
          <w:color w:val="auto"/>
          <w:spacing w:val="0"/>
          <w:w w:val="100"/>
          <w:sz w:val="32"/>
          <w:szCs w:val="32"/>
          <w:lang w:val="en-US" w:eastAsia="zh-CN"/>
        </w:rPr>
        <w:t>可办率达100%。</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2、持续推进“三集中三到位”。一是</w:t>
      </w:r>
      <w:r>
        <w:rPr>
          <w:rFonts w:hint="eastAsia" w:ascii="仿宋" w:hAnsi="仿宋" w:eastAsia="仿宋" w:cs="仿宋"/>
          <w:b w:val="0"/>
          <w:bCs w:val="0"/>
          <w:sz w:val="32"/>
          <w:szCs w:val="32"/>
          <w:lang w:eastAsia="zh-CN"/>
        </w:rPr>
        <w:t>“审批</w:t>
      </w:r>
      <w:r>
        <w:rPr>
          <w:rFonts w:hint="eastAsia" w:ascii="仿宋" w:hAnsi="仿宋" w:eastAsia="仿宋" w:cs="仿宋"/>
          <w:b w:val="0"/>
          <w:bCs w:val="0"/>
          <w:sz w:val="32"/>
          <w:szCs w:val="32"/>
        </w:rPr>
        <w:t>事项</w:t>
      </w:r>
      <w:r>
        <w:rPr>
          <w:rFonts w:hint="eastAsia" w:ascii="仿宋" w:hAnsi="仿宋" w:eastAsia="仿宋" w:cs="仿宋"/>
          <w:b w:val="0"/>
          <w:bCs w:val="0"/>
          <w:sz w:val="32"/>
          <w:szCs w:val="32"/>
          <w:lang w:eastAsia="zh-CN"/>
        </w:rPr>
        <w:t>向审批股</w:t>
      </w:r>
      <w:r>
        <w:rPr>
          <w:rFonts w:hint="eastAsia" w:ascii="仿宋" w:hAnsi="仿宋" w:eastAsia="仿宋" w:cs="仿宋"/>
          <w:b w:val="0"/>
          <w:bCs w:val="0"/>
          <w:sz w:val="32"/>
          <w:szCs w:val="32"/>
        </w:rPr>
        <w:t>集中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我区</w:t>
      </w:r>
      <w:r>
        <w:rPr>
          <w:rFonts w:hint="eastAsia" w:ascii="仿宋" w:hAnsi="仿宋" w:eastAsia="仿宋" w:cs="仿宋"/>
          <w:b w:val="0"/>
          <w:bCs w:val="0"/>
          <w:sz w:val="32"/>
          <w:szCs w:val="32"/>
          <w:lang w:val="en-US" w:eastAsia="zh-CN"/>
        </w:rPr>
        <w:t>共有</w:t>
      </w:r>
      <w:r>
        <w:rPr>
          <w:rFonts w:hint="eastAsia" w:ascii="仿宋" w:hAnsi="仿宋" w:eastAsia="仿宋" w:cs="仿宋"/>
          <w:b w:val="0"/>
          <w:bCs w:val="0"/>
          <w:sz w:val="32"/>
          <w:szCs w:val="32"/>
          <w:lang w:eastAsia="zh-CN"/>
        </w:rPr>
        <w:t>审批部门</w:t>
      </w:r>
      <w:r>
        <w:rPr>
          <w:rFonts w:hint="eastAsia" w:ascii="仿宋" w:hAnsi="仿宋" w:eastAsia="仿宋" w:cs="仿宋"/>
          <w:b w:val="0"/>
          <w:bCs w:val="0"/>
          <w:sz w:val="32"/>
          <w:szCs w:val="32"/>
          <w:lang w:val="en-US" w:eastAsia="zh-CN"/>
        </w:rPr>
        <w:t>36个，区直20个部门设立了审批股，另8个只有几项或行政审批事项较集中的部门由专门股室负责，没有另设审批股，8个省、市驻冷单位按省市相关文件要求执行，实现了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事项</w:t>
      </w:r>
      <w:r>
        <w:rPr>
          <w:rFonts w:hint="eastAsia" w:ascii="仿宋" w:hAnsi="仿宋" w:eastAsia="仿宋" w:cs="仿宋"/>
          <w:b w:val="0"/>
          <w:bCs w:val="0"/>
          <w:sz w:val="32"/>
          <w:szCs w:val="32"/>
          <w:lang w:eastAsia="zh-CN"/>
        </w:rPr>
        <w:t>向审批股</w:t>
      </w:r>
      <w:r>
        <w:rPr>
          <w:rFonts w:hint="eastAsia" w:ascii="仿宋" w:hAnsi="仿宋" w:eastAsia="仿宋" w:cs="仿宋"/>
          <w:b w:val="0"/>
          <w:bCs w:val="0"/>
          <w:sz w:val="32"/>
          <w:szCs w:val="32"/>
        </w:rPr>
        <w:t>集中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。二是“</w:t>
      </w:r>
      <w:r>
        <w:rPr>
          <w:rFonts w:hint="eastAsia" w:ascii="仿宋" w:hAnsi="仿宋" w:eastAsia="仿宋" w:cs="仿宋"/>
          <w:b w:val="0"/>
          <w:bCs w:val="0"/>
          <w:sz w:val="32"/>
          <w:szCs w:val="32"/>
        </w:rPr>
        <w:t>审批股</w:t>
      </w:r>
      <w:r>
        <w:rPr>
          <w:rFonts w:hint="eastAsia" w:ascii="仿宋" w:hAnsi="仿宋" w:eastAsia="仿宋" w:cs="仿宋"/>
          <w:b w:val="0"/>
          <w:bCs w:val="0"/>
          <w:sz w:val="32"/>
          <w:szCs w:val="32"/>
          <w:lang w:eastAsia="zh-CN"/>
        </w:rPr>
        <w:t>向</w:t>
      </w:r>
      <w:r>
        <w:rPr>
          <w:rFonts w:hint="eastAsia" w:ascii="仿宋" w:hAnsi="仿宋" w:eastAsia="仿宋" w:cs="仿宋"/>
          <w:b w:val="0"/>
          <w:bCs w:val="0"/>
          <w:sz w:val="32"/>
          <w:szCs w:val="32"/>
        </w:rPr>
        <w:t>大厅集中</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3、简政放权方便民众。</w:t>
      </w:r>
      <w:r>
        <w:rPr>
          <w:rFonts w:hint="eastAsia" w:ascii="仿宋" w:hAnsi="仿宋" w:eastAsia="仿宋" w:cs="仿宋"/>
          <w:b w:val="0"/>
          <w:bCs w:val="0"/>
          <w:sz w:val="32"/>
          <w:szCs w:val="32"/>
        </w:rPr>
        <w:t>一是积极开展放权赋权回头看。下发了《冷水滩区关于全面开展放权赋权“回头看”的通知》和《冷水滩区放权赋权“回头看”自查整改方案》，通知下发区直24个部门及20个乡镇街道。从各单位反馈情况来看，我区大部分单位都按《通知》、要求对标对表开展了自查整改工作，《通知》附件中的放权赋权“回头看”相关文件中的涉及下放及赋权事项的基本上做到了“应放就放、应接尽接”，涉及取消事项的全部取消。二是全面贯彻落实《关于调整一批行政权力及公共服务事项的通知》(湘审改发[2021)5号)、《湖南省人民政府关于调整一枇行政权力事项的通知》。根据《通知》要求，对涉及我区事项及时进行了调整，并在省“互联网+政务服务”一体化平上进行了填报、发布和公示。三是下发了《关于规范提升乡镇（街道）便民服务中心服务能力的通知》，规范统一乡镇（街道）、村（社区）大厅设置，统一标识标牌，推进综合窗口受理改革，为每个乡镇（街道）配备了2台好差评评价平板。</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rPr>
          <w:rFonts w:hint="default" w:ascii="宋体" w:hAnsi="宋体"/>
          <w:sz w:val="30"/>
          <w:szCs w:val="30"/>
          <w:lang w:val="en-US" w:eastAsia="zh-CN"/>
        </w:rPr>
      </w:pPr>
      <w:r>
        <w:rPr>
          <w:rFonts w:hint="eastAsia" w:ascii="仿宋" w:hAnsi="仿宋" w:eastAsia="仿宋" w:cs="仿宋"/>
          <w:b w:val="0"/>
          <w:bCs w:val="0"/>
          <w:sz w:val="32"/>
          <w:szCs w:val="32"/>
          <w:lang w:val="en-US" w:eastAsia="zh-CN"/>
        </w:rPr>
        <w:t>4、强化电子监督考核。落实落实“好差评”制度。</w:t>
      </w:r>
      <w:r>
        <w:rPr>
          <w:rStyle w:val="9"/>
          <w:rFonts w:hint="eastAsia" w:ascii="仿宋_GB2312" w:hAnsi="仿宋_GB2312" w:eastAsia="仿宋_GB2312" w:cs="Times New Roman"/>
          <w:b w:val="0"/>
          <w:bCs w:val="0"/>
          <w:i w:val="0"/>
          <w:caps w:val="0"/>
          <w:color w:val="auto"/>
          <w:spacing w:val="0"/>
          <w:w w:val="100"/>
          <w:sz w:val="32"/>
          <w:szCs w:val="32"/>
          <w:lang w:val="en-US" w:eastAsia="zh-CN"/>
        </w:rPr>
        <w:t>大厅</w:t>
      </w:r>
      <w:r>
        <w:rPr>
          <w:rStyle w:val="9"/>
          <w:rFonts w:hint="eastAsia" w:ascii="仿宋_GB2312" w:hAnsi="仿宋_GB2312" w:eastAsia="仿宋_GB2312" w:cs="Times New Roman"/>
          <w:b w:val="0"/>
          <w:i w:val="0"/>
          <w:caps w:val="0"/>
          <w:color w:val="auto"/>
          <w:spacing w:val="0"/>
          <w:w w:val="100"/>
          <w:sz w:val="32"/>
          <w:szCs w:val="32"/>
          <w:lang w:val="en-US" w:eastAsia="zh-CN"/>
        </w:rPr>
        <w:t>内窗口均设置了好差评设备，在醒目位置张贴宣传标识，提醒引导办事群众主动评价。强化评价数据综合分析和结果运用，加强了对进驻单位“三集中三到位”、流程优化、事项办理等情况和窗口人员具体服务行为的监督、评价，全年群众主动评价率99%，群众满意度99.99%。</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、绩效自评得分情况及绩效等级。</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3" w:firstLineChars="200"/>
        <w:textAlignment w:val="auto"/>
        <w:rPr>
          <w:rFonts w:hint="eastAsia" w:eastAsia="宋体"/>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val="0"/>
          <w:bCs w:val="0"/>
          <w:sz w:val="32"/>
          <w:szCs w:val="32"/>
        </w:rPr>
        <w:t>绩效自评得分</w:t>
      </w:r>
      <w:r>
        <w:rPr>
          <w:rFonts w:hint="eastAsia" w:ascii="仿宋" w:hAnsi="仿宋" w:eastAsia="仿宋" w:cs="仿宋"/>
          <w:b w:val="0"/>
          <w:bCs w:val="0"/>
          <w:sz w:val="32"/>
          <w:szCs w:val="32"/>
          <w:lang w:val="en-US" w:eastAsia="zh-CN"/>
        </w:rPr>
        <w:t>91</w:t>
      </w:r>
      <w:r>
        <w:rPr>
          <w:rFonts w:hint="eastAsia" w:ascii="仿宋" w:hAnsi="仿宋" w:eastAsia="仿宋" w:cs="仿宋"/>
          <w:b w:val="0"/>
          <w:bCs w:val="0"/>
          <w:sz w:val="32"/>
          <w:szCs w:val="32"/>
        </w:rPr>
        <w:t>分，等级为</w:t>
      </w:r>
      <w:r>
        <w:rPr>
          <w:rFonts w:hint="eastAsia" w:ascii="仿宋" w:hAnsi="仿宋" w:eastAsia="仿宋" w:cs="仿宋"/>
          <w:b w:val="0"/>
          <w:bCs w:val="0"/>
          <w:sz w:val="32"/>
          <w:szCs w:val="32"/>
          <w:lang w:val="en-US" w:eastAsia="zh-CN"/>
        </w:rPr>
        <w:t>优</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五、存在的问题及原因分析</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lang w:eastAsia="zh-CN"/>
        </w:rPr>
      </w:pPr>
      <w:r>
        <w:rPr>
          <w:rFonts w:hint="eastAsia" w:ascii="仿宋" w:hAnsi="仿宋" w:eastAsia="仿宋" w:cs="仿宋"/>
          <w:b w:val="0"/>
          <w:bCs w:val="0"/>
          <w:sz w:val="32"/>
          <w:szCs w:val="32"/>
          <w:lang w:val="en-US" w:eastAsia="zh-CN"/>
        </w:rPr>
        <w:t>预算编制工作有待细化。预算编制不够明确和细化，预算编制的合理性需要提高，预算执行力度还要进一步加强。</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改进措施和有关建议</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针对上述存在的问题及对外整体支出管理工作的需要，拟实施的改进措施如下：</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1、细化预算编制工作，认真做好预算的编制。全面编制预算项目，进一步提高预算编制的科学性、严谨性和可控性。加强内部预算编制的审核和预算控制指标的下达。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2、加强财务管理，严格财务审核。加强单位财务管理，健全单位财务管理制度体系，规范单位财务行为。</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3、完善资产管理，抓好“三公”经费控制。严格编制政府采度、资产采购制度等，加强单位内部的资产管理工作。进一步细化“三公”经费管理，合理压缩“三公”经费支出。</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4、对相关人员加强培训。加强财务会计人员业务培训，特别是针对《预算法》、《行政事业单位会计制度》等学习培训，规范部门预算收支核算，切实提高部门预算收支管理水平。</w:t>
      </w:r>
    </w:p>
    <w:p>
      <w:pPr>
        <w:keepNext w:val="0"/>
        <w:keepLines w:val="0"/>
        <w:pageBreakBefore w:val="0"/>
        <w:widowControl w:val="0"/>
        <w:numPr>
          <w:ilvl w:val="0"/>
          <w:numId w:val="0"/>
        </w:numPr>
        <w:kinsoku/>
        <w:wordWrap/>
        <w:overflowPunct/>
        <w:topLinePunct w:val="0"/>
        <w:autoSpaceDE/>
        <w:autoSpaceDN/>
        <w:bidi w:val="0"/>
        <w:adjustRightInd/>
        <w:snapToGrid/>
        <w:spacing w:before="161" w:beforeLines="50" w:after="161" w:afterLines="50" w:line="60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lang w:eastAsia="zh-CN"/>
        </w:rPr>
        <w:t>其他需要说明的情况</w:t>
      </w:r>
    </w:p>
    <w:p>
      <w:pPr>
        <w:keepNext w:val="0"/>
        <w:keepLines w:val="0"/>
        <w:pageBreakBefore w:val="0"/>
        <w:widowControl w:val="0"/>
        <w:kinsoku/>
        <w:wordWrap/>
        <w:overflowPunct/>
        <w:topLinePunct w:val="0"/>
        <w:autoSpaceDE/>
        <w:autoSpaceDN/>
        <w:bidi w:val="0"/>
        <w:adjustRightInd/>
        <w:snapToGrid/>
        <w:spacing w:before="161" w:beforeLines="50" w:after="161" w:afterLines="50"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center"/>
        <w:rPr>
          <w:rFonts w:hint="eastAsia" w:eastAsia="方正小标宋_GBK"/>
          <w:kern w:val="0"/>
          <w:sz w:val="44"/>
          <w:szCs w:val="44"/>
        </w:rPr>
      </w:pPr>
    </w:p>
    <w:p>
      <w:pPr>
        <w:spacing w:line="560" w:lineRule="exact"/>
        <w:jc w:val="both"/>
        <w:rPr>
          <w:rFonts w:hint="eastAsia" w:eastAsia="方正小标宋_GBK"/>
          <w:kern w:val="0"/>
          <w:sz w:val="44"/>
          <w:szCs w:val="44"/>
        </w:rPr>
      </w:pPr>
    </w:p>
    <w:p>
      <w:pPr>
        <w:spacing w:line="560" w:lineRule="exact"/>
        <w:jc w:val="center"/>
        <w:rPr>
          <w:rFonts w:hint="eastAsia" w:ascii="仿宋" w:hAnsi="仿宋" w:eastAsia="仿宋" w:cs="仿宋"/>
          <w:kern w:val="0"/>
          <w:sz w:val="36"/>
          <w:szCs w:val="36"/>
        </w:rPr>
      </w:pPr>
    </w:p>
    <w:p>
      <w:pPr>
        <w:spacing w:line="560" w:lineRule="exact"/>
        <w:jc w:val="center"/>
        <w:rPr>
          <w:rFonts w:hint="eastAsia" w:ascii="仿宋" w:hAnsi="仿宋" w:eastAsia="仿宋" w:cs="仿宋"/>
          <w:kern w:val="0"/>
          <w:sz w:val="36"/>
          <w:szCs w:val="36"/>
        </w:rPr>
      </w:pPr>
      <w:r>
        <w:rPr>
          <w:rFonts w:hint="eastAsia" w:ascii="仿宋" w:hAnsi="仿宋" w:eastAsia="仿宋" w:cs="仿宋"/>
          <w:kern w:val="0"/>
          <w:sz w:val="36"/>
          <w:szCs w:val="36"/>
        </w:rPr>
        <w:t>2021年度部门整体支出绩效评价表</w:t>
      </w:r>
    </w:p>
    <w:p>
      <w:pPr>
        <w:pStyle w:val="2"/>
      </w:pPr>
    </w:p>
    <w:tbl>
      <w:tblPr>
        <w:tblStyle w:val="6"/>
        <w:tblW w:w="0" w:type="auto"/>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984" w:hRule="atLeast"/>
          <w:tblHeade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3</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4"/>
                <w:lang w:val="en-US" w:eastAsia="zh-CN"/>
              </w:rPr>
            </w:pPr>
            <w:r>
              <w:rPr>
                <w:rFonts w:hint="eastAsia"/>
                <w:kern w:val="0"/>
                <w:sz w:val="24"/>
              </w:rPr>
              <w:t>　</w:t>
            </w:r>
            <w:r>
              <w:rPr>
                <w:rFonts w:hint="eastAsia"/>
                <w:kern w:val="0"/>
                <w:sz w:val="24"/>
                <w:lang w:val="en-US" w:eastAsia="zh-CN"/>
              </w:rPr>
              <w:t>3</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2161"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default" w:eastAsia="宋体"/>
                <w:kern w:val="0"/>
                <w:sz w:val="24"/>
                <w:lang w:val="en-US" w:eastAsia="zh-CN"/>
              </w:rPr>
            </w:pPr>
            <w:r>
              <w:rPr>
                <w:rFonts w:hint="eastAsia" w:eastAsia="宋体"/>
                <w:kern w:val="0"/>
                <w:sz w:val="24"/>
                <w:lang w:val="en-US" w:eastAsia="zh-CN"/>
              </w:rPr>
              <w:t>6</w:t>
            </w:r>
          </w:p>
        </w:tc>
      </w:tr>
      <w:tr>
        <w:tblPrEx>
          <w:tblCellMar>
            <w:top w:w="0" w:type="dxa"/>
            <w:left w:w="108" w:type="dxa"/>
            <w:bottom w:w="0" w:type="dxa"/>
            <w:right w:w="108" w:type="dxa"/>
          </w:tblCellMar>
        </w:tblPrEx>
        <w:trPr>
          <w:trHeight w:val="780"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hint="eastAsia" w:eastAsia="仿宋_GB2312"/>
                <w:kern w:val="0"/>
                <w:sz w:val="20"/>
                <w:szCs w:val="20"/>
                <w:lang w:eastAsia="zh-CN"/>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575" w:hRule="atLeast"/>
          <w:jc w:val="center"/>
        </w:trPr>
        <w:tc>
          <w:tcPr>
            <w:tcW w:w="1007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 w:val="24"/>
                <w:lang w:val="en-US" w:eastAsia="zh-CN"/>
              </w:rPr>
            </w:pPr>
            <w:r>
              <w:rPr>
                <w:rFonts w:hint="eastAsia" w:eastAsia="宋体"/>
                <w:kern w:val="0"/>
                <w:sz w:val="24"/>
                <w:lang w:val="en-US" w:eastAsia="zh-CN"/>
              </w:rPr>
              <w:t>91</w:t>
            </w:r>
          </w:p>
        </w:tc>
      </w:tr>
    </w:tbl>
    <w:p>
      <w:pPr>
        <w:spacing w:line="240" w:lineRule="auto"/>
        <w:ind w:right="0"/>
        <w:rPr>
          <w:rFonts w:ascii="仿宋" w:hAnsi="仿宋" w:eastAsia="仿宋" w:cs="Times New Roman"/>
        </w:rPr>
      </w:pPr>
    </w:p>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DBB46"/>
    <w:multiLevelType w:val="singleLevel"/>
    <w:tmpl w:val="BC4DBB46"/>
    <w:lvl w:ilvl="0" w:tentative="0">
      <w:start w:val="2"/>
      <w:numFmt w:val="chineseCounting"/>
      <w:suff w:val="nothing"/>
      <w:lvlText w:val="%1、"/>
      <w:lvlJc w:val="left"/>
      <w:rPr>
        <w:rFonts w:hint="eastAsia"/>
      </w:rPr>
    </w:lvl>
  </w:abstractNum>
  <w:abstractNum w:abstractNumId="1">
    <w:nsid w:val="D69E8B33"/>
    <w:multiLevelType w:val="singleLevel"/>
    <w:tmpl w:val="D69E8B33"/>
    <w:lvl w:ilvl="0" w:tentative="0">
      <w:start w:val="3"/>
      <w:numFmt w:val="decimal"/>
      <w:suff w:val="nothing"/>
      <w:lvlText w:val="%1、"/>
      <w:lvlJc w:val="left"/>
    </w:lvl>
  </w:abstractNum>
  <w:abstractNum w:abstractNumId="2">
    <w:nsid w:val="184B7E0E"/>
    <w:multiLevelType w:val="singleLevel"/>
    <w:tmpl w:val="184B7E0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BAC7FC0"/>
    <w:rsid w:val="26196C06"/>
    <w:rsid w:val="33C9057C"/>
    <w:rsid w:val="36C5542F"/>
    <w:rsid w:val="4C8B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spacing w:after="120"/>
      <w:textAlignment w:val="baseline"/>
    </w:pPr>
    <w:rPr>
      <w:rFonts w:ascii="Times New Roman" w:hAnsi="Times New Roman" w:eastAsia="宋体" w:cs="Times New Roman"/>
    </w:rPr>
  </w:style>
  <w:style w:type="paragraph" w:styleId="3">
    <w:name w:val="No Spacing"/>
    <w:qFormat/>
    <w:uiPriority w:val="5"/>
    <w:rPr>
      <w:rFonts w:ascii="Calibri" w:hAnsi="Calibri" w:eastAsia="Calibri" w:cs="Times New Roman"/>
      <w:sz w:val="22"/>
      <w:szCs w:val="22"/>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8">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character" w:customStyle="1" w:styleId="9">
    <w:name w:val="NormalCharacter"/>
    <w:link w:val="10"/>
    <w:qFormat/>
    <w:uiPriority w:val="99"/>
    <w:rPr>
      <w:rFonts w:ascii="Calibri" w:hAnsi="Calibri" w:eastAsia="宋体" w:cs="Times New Roman"/>
    </w:rPr>
  </w:style>
  <w:style w:type="paragraph" w:customStyle="1" w:styleId="10">
    <w:name w:val="UserStyle_0"/>
    <w:basedOn w:val="1"/>
    <w:link w:val="9"/>
    <w:qFormat/>
    <w:uiPriority w:val="0"/>
    <w:pPr>
      <w:tabs>
        <w:tab w:val="left" w:pos="4665"/>
        <w:tab w:val="left" w:pos="8970"/>
      </w:tabs>
      <w:ind w:firstLine="4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3693</Words>
  <Characters>3879</Characters>
  <Lines>0</Lines>
  <Paragraphs>0</Paragraphs>
  <TotalTime>30</TotalTime>
  <ScaleCrop>false</ScaleCrop>
  <LinksUpToDate>false</LinksUpToDate>
  <CharactersWithSpaces>4175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2022-08-19T02:36:00Z</dcterms:created>
  <dc:creator>ZWZX</dc:creator>
  <cp:lastModifiedBy>东来</cp:lastModifiedBy>
  <cp:lastPrinted>2022-08-19T02:53:00Z</cp:lastPrinted>
  <dcterms:modified xsi:type="dcterms:W3CDTF">2023-11-08T02:13:49Z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17452B049AF6481E82287D7640880547</vt:lpwstr>
  </property>
</Properties>
</file>