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b/>
          <w:bCs/>
          <w:color w:val="000000"/>
          <w:kern w:val="0"/>
          <w:sz w:val="36"/>
          <w:szCs w:val="36"/>
        </w:rPr>
      </w:pPr>
      <w:r>
        <w:rPr>
          <w:rFonts w:hint="eastAsia" w:ascii="方正小标宋简体" w:eastAsia="方正小标宋简体"/>
          <w:b/>
          <w:bCs/>
          <w:color w:val="000000"/>
          <w:kern w:val="0"/>
          <w:sz w:val="44"/>
          <w:szCs w:val="44"/>
        </w:rPr>
        <w:t>冷水滩团区委202</w:t>
      </w:r>
      <w:r>
        <w:rPr>
          <w:rFonts w:hint="eastAsia" w:ascii="方正小标宋简体" w:eastAsia="方正小标宋简体"/>
          <w:b/>
          <w:bCs/>
          <w:color w:val="000000"/>
          <w:kern w:val="0"/>
          <w:sz w:val="44"/>
          <w:szCs w:val="44"/>
          <w:lang w:val="en-US" w:eastAsia="zh-CN"/>
        </w:rPr>
        <w:t>1</w:t>
      </w:r>
      <w:r>
        <w:rPr>
          <w:rFonts w:hint="eastAsia" w:ascii="方正小标宋简体" w:eastAsia="方正小标宋简体"/>
          <w:b/>
          <w:bCs/>
          <w:color w:val="000000"/>
          <w:kern w:val="0"/>
          <w:sz w:val="44"/>
          <w:szCs w:val="44"/>
        </w:rPr>
        <w:t>年度专项（项目）资金绩效自评报告</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ind w:firstLine="640" w:firstLineChars="200"/>
        <w:rPr>
          <w:rFonts w:eastAsia="仿宋_GB2312"/>
          <w:color w:val="000000"/>
          <w:kern w:val="0"/>
          <w:sz w:val="32"/>
          <w:szCs w:val="32"/>
        </w:rPr>
      </w:pPr>
      <w:r>
        <w:rPr>
          <w:rFonts w:hint="eastAsia" w:eastAsia="仿宋_GB2312"/>
          <w:color w:val="000000"/>
          <w:kern w:val="0"/>
          <w:sz w:val="32"/>
          <w:szCs w:val="32"/>
        </w:rPr>
        <w:t>1. 冷水滩团区委系群团组织的全额拨款</w:t>
      </w:r>
      <w:bookmarkStart w:id="0" w:name="_GoBack"/>
      <w:bookmarkEnd w:id="0"/>
      <w:r>
        <w:rPr>
          <w:rFonts w:hint="eastAsia" w:eastAsia="仿宋_GB2312"/>
          <w:color w:val="000000"/>
          <w:kern w:val="0"/>
          <w:sz w:val="32"/>
          <w:szCs w:val="32"/>
        </w:rPr>
        <w:t>单位。</w:t>
      </w:r>
    </w:p>
    <w:p>
      <w:pPr>
        <w:ind w:firstLine="640" w:firstLineChars="200"/>
        <w:rPr>
          <w:rFonts w:eastAsia="仿宋_GB2312"/>
          <w:color w:val="000000"/>
          <w:kern w:val="0"/>
          <w:sz w:val="32"/>
          <w:szCs w:val="32"/>
        </w:rPr>
      </w:pPr>
      <w:r>
        <w:rPr>
          <w:rFonts w:hint="eastAsia" w:eastAsia="仿宋_GB2312"/>
          <w:color w:val="000000"/>
          <w:kern w:val="0"/>
          <w:sz w:val="32"/>
          <w:szCs w:val="32"/>
        </w:rPr>
        <w:t>2. 编制数7人。实有人数</w:t>
      </w:r>
      <w:r>
        <w:rPr>
          <w:rFonts w:hint="eastAsia" w:eastAsia="仿宋_GB2312"/>
          <w:color w:val="000000"/>
          <w:kern w:val="0"/>
          <w:sz w:val="32"/>
          <w:szCs w:val="32"/>
          <w:lang w:val="en-US" w:eastAsia="zh-CN"/>
        </w:rPr>
        <w:t>7</w:t>
      </w:r>
      <w:r>
        <w:rPr>
          <w:rFonts w:hint="eastAsia" w:eastAsia="仿宋_GB2312"/>
          <w:color w:val="000000"/>
          <w:kern w:val="0"/>
          <w:sz w:val="32"/>
          <w:szCs w:val="32"/>
        </w:rPr>
        <w:t>人，其中正科级1人，副科级</w:t>
      </w:r>
      <w:r>
        <w:rPr>
          <w:rFonts w:hint="eastAsia" w:eastAsia="仿宋_GB2312"/>
          <w:color w:val="000000"/>
          <w:kern w:val="0"/>
          <w:sz w:val="32"/>
          <w:szCs w:val="32"/>
          <w:lang w:val="en-US" w:eastAsia="zh-CN"/>
        </w:rPr>
        <w:t>1</w:t>
      </w:r>
      <w:r>
        <w:rPr>
          <w:rFonts w:hint="eastAsia" w:eastAsia="仿宋_GB2312"/>
          <w:color w:val="000000"/>
          <w:kern w:val="0"/>
          <w:sz w:val="32"/>
          <w:szCs w:val="32"/>
        </w:rPr>
        <w:t>人，</w:t>
      </w:r>
      <w:r>
        <w:rPr>
          <w:rFonts w:hint="eastAsia" w:eastAsia="仿宋_GB2312"/>
          <w:color w:val="000000"/>
          <w:kern w:val="0"/>
          <w:sz w:val="32"/>
          <w:szCs w:val="32"/>
          <w:lang w:eastAsia="zh-CN"/>
        </w:rPr>
        <w:t>四级主任科员</w:t>
      </w:r>
      <w:r>
        <w:rPr>
          <w:rFonts w:hint="eastAsia" w:eastAsia="仿宋_GB2312"/>
          <w:color w:val="000000"/>
          <w:kern w:val="0"/>
          <w:sz w:val="32"/>
          <w:szCs w:val="32"/>
          <w:lang w:val="en-US" w:eastAsia="zh-CN"/>
        </w:rPr>
        <w:t>1人，</w:t>
      </w:r>
      <w:r>
        <w:rPr>
          <w:rFonts w:hint="eastAsia" w:eastAsia="仿宋_GB2312"/>
          <w:color w:val="000000"/>
          <w:kern w:val="0"/>
          <w:sz w:val="32"/>
          <w:szCs w:val="32"/>
        </w:rPr>
        <w:t>机关工勤人员1人，</w:t>
      </w:r>
      <w:r>
        <w:rPr>
          <w:rFonts w:hint="eastAsia" w:eastAsia="仿宋_GB2312"/>
          <w:color w:val="000000"/>
          <w:kern w:val="0"/>
          <w:sz w:val="32"/>
          <w:szCs w:val="32"/>
          <w:lang w:eastAsia="zh-CN"/>
        </w:rPr>
        <w:t>青少年网络文化发展服务</w:t>
      </w:r>
      <w:r>
        <w:rPr>
          <w:rFonts w:hint="eastAsia" w:eastAsia="仿宋_GB2312"/>
          <w:color w:val="000000"/>
          <w:kern w:val="0"/>
          <w:sz w:val="32"/>
          <w:szCs w:val="32"/>
        </w:rPr>
        <w:t>中心事业编</w:t>
      </w:r>
      <w:r>
        <w:rPr>
          <w:rFonts w:hint="eastAsia" w:eastAsia="仿宋_GB2312"/>
          <w:color w:val="000000"/>
          <w:kern w:val="0"/>
          <w:sz w:val="32"/>
          <w:szCs w:val="32"/>
          <w:lang w:val="en-US" w:eastAsia="zh-CN"/>
        </w:rPr>
        <w:t>3</w:t>
      </w:r>
      <w:r>
        <w:rPr>
          <w:rFonts w:hint="eastAsia" w:eastAsia="仿宋_GB2312"/>
          <w:color w:val="000000"/>
          <w:kern w:val="0"/>
          <w:sz w:val="32"/>
          <w:szCs w:val="32"/>
        </w:rPr>
        <w:t>名。</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1、行使中共冷水滩区委赋予的领导全区共青团和少先队工作的职权，对全区性青年社团组织进行指导和管理。</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2、 承担区委、区政府和有关方面委托的青少年工作事务，参与民主管理和民主监督。协助党和政府参与、处理社会上与青少年利益相关的工作。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3、 参与全区性青少年法规制度实施、监督等工作，负责区未成年人保护方面的日常工作。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4、指导青少年发展基金会的有关工作，组织开展希望工程宣传、筹资和救助工作；指导各青年协会开展工作和活动。</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5、 调查青年思想动态和青年工作情况，研究青年运动、青少年工作理论、青少年事业发展等工作，为区委、区政府决策提供依据。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6、 负责全区团的组织建设，协助党组织管理、选拔和培训团的干部，指导区青少年活动营地和区实施希望工程办公室领导小组的工作。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7、 负责、指导并组织面向全区青少年的思想理论教育、宣传文化活动，培养、选拔、推荐优秀青年，负责管理、指导团区委系统刊物的编发。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8、 负责全区青年统战工作及青少年外事、区内外青少年友好交流工作。</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二、项目组织实施情况</w:t>
      </w:r>
    </w:p>
    <w:p>
      <w:pPr>
        <w:spacing w:line="560" w:lineRule="exact"/>
        <w:ind w:firstLine="800" w:firstLineChars="250"/>
        <w:rPr>
          <w:rFonts w:ascii="仿宋_GB2312" w:hAnsi="仿宋_GB2312" w:eastAsia="仿宋_GB2312" w:cs="仿宋_GB2312"/>
          <w:color w:val="000000"/>
          <w:sz w:val="32"/>
          <w:szCs w:val="32"/>
          <w:shd w:val="clear" w:color="auto" w:fill="FFFFFF"/>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年财政年初预算安排共青团及青年的各项工作正常运转专项经费24万元，共到位资金</w:t>
      </w:r>
      <w:r>
        <w:rPr>
          <w:rFonts w:hint="eastAsia" w:eastAsia="仿宋_GB2312"/>
          <w:color w:val="000000"/>
          <w:kern w:val="0"/>
          <w:sz w:val="32"/>
          <w:szCs w:val="32"/>
          <w:lang w:val="en-US" w:eastAsia="zh-CN"/>
        </w:rPr>
        <w:t>14.86</w:t>
      </w:r>
      <w:r>
        <w:rPr>
          <w:rFonts w:hint="eastAsia" w:eastAsia="仿宋_GB2312"/>
          <w:color w:val="000000"/>
          <w:kern w:val="0"/>
          <w:sz w:val="32"/>
          <w:szCs w:val="32"/>
        </w:rPr>
        <w:t>万元</w:t>
      </w:r>
      <w:r>
        <w:rPr>
          <w:rFonts w:hint="eastAsia" w:eastAsia="仿宋_GB2312"/>
          <w:color w:val="000000"/>
          <w:kern w:val="0"/>
          <w:sz w:val="32"/>
          <w:szCs w:val="32"/>
          <w:lang w:eastAsia="zh-CN"/>
        </w:rPr>
        <w:t>。</w:t>
      </w:r>
      <w:r>
        <w:rPr>
          <w:rFonts w:hint="eastAsia" w:eastAsia="仿宋_GB2312"/>
          <w:color w:val="000000"/>
          <w:kern w:val="0"/>
          <w:sz w:val="32"/>
          <w:szCs w:val="32"/>
        </w:rPr>
        <w:t>主要用于正常开展我区共青团和青年工作。</w:t>
      </w:r>
      <w:r>
        <w:rPr>
          <w:rFonts w:hint="eastAsia" w:ascii="仿宋_GB2312" w:hAnsi="仿宋" w:eastAsia="仿宋_GB2312" w:cs="仿宋"/>
          <w:sz w:val="32"/>
          <w:szCs w:val="32"/>
        </w:rPr>
        <w:t>团区委在区委、区政府的正确领导和团市委的精心指导下，围绕上级团委的工作部署和区委、区政府的工作中心，求真务实，完成各项工作，在引领青少年思想、建设基层团组织、青年创新创业、推进志愿者队伍建设等方面出实招、办实事，为冷水滩</w:t>
      </w:r>
      <w:r>
        <w:rPr>
          <w:rFonts w:hint="eastAsia" w:ascii="仿宋_GB2312" w:hAnsi="仿宋" w:eastAsia="仿宋_GB2312" w:cs="仿宋"/>
          <w:sz w:val="32"/>
          <w:szCs w:val="32"/>
          <w:lang w:eastAsia="zh-CN"/>
        </w:rPr>
        <w:t>区高质量发展</w:t>
      </w:r>
      <w:r>
        <w:rPr>
          <w:rFonts w:hint="eastAsia" w:ascii="仿宋_GB2312" w:hAnsi="仿宋" w:eastAsia="仿宋_GB2312" w:cs="仿宋"/>
          <w:sz w:val="32"/>
          <w:szCs w:val="32"/>
        </w:rPr>
        <w:t>篇章贡献了青春力量。</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年，团冷水滩区委在区委、区政府的坚强领导下，在团市委的精心指导下，紧紧围绕</w:t>
      </w:r>
      <w:r>
        <w:rPr>
          <w:rFonts w:hint="eastAsia" w:eastAsia="仿宋_GB2312"/>
          <w:color w:val="000000"/>
          <w:kern w:val="0"/>
          <w:sz w:val="32"/>
          <w:szCs w:val="32"/>
          <w:lang w:eastAsia="zh-CN"/>
        </w:rPr>
        <w:t>中心大局</w:t>
      </w:r>
      <w:r>
        <w:rPr>
          <w:rFonts w:hint="eastAsia" w:eastAsia="仿宋_GB2312"/>
          <w:color w:val="000000"/>
          <w:kern w:val="0"/>
          <w:sz w:val="32"/>
          <w:szCs w:val="32"/>
        </w:rPr>
        <w:t>，聚焦主责主业，紧扣中心大局，团结带领全区广大团员青年踊跃投身改革发展实际。现将情况报告如下。</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共青团工作涉及方方面面，包括青年婚恋交友、就业升学、团组织建设、少先队工作等多项内容，</w:t>
      </w:r>
      <w:r>
        <w:rPr>
          <w:rFonts w:hint="eastAsia" w:eastAsia="仿宋_GB2312"/>
          <w:color w:val="000000"/>
          <w:kern w:val="0"/>
          <w:sz w:val="32"/>
          <w:szCs w:val="32"/>
          <w:lang w:val="en-US" w:eastAsia="zh-CN"/>
        </w:rPr>
        <w:t>2021年</w:t>
      </w:r>
      <w:r>
        <w:rPr>
          <w:rFonts w:hint="eastAsia" w:eastAsia="仿宋_GB2312"/>
          <w:color w:val="000000"/>
          <w:kern w:val="0"/>
          <w:sz w:val="32"/>
          <w:szCs w:val="32"/>
        </w:rPr>
        <w:t>团区委全体干部职工扎实推进各项工作，在2020年“七彩假期”志愿服务以及2021年春运期间开展的“情满旅途　暖冬行动”志愿服务中，团区委领导的冷水滩直属志愿服务队均获得省优秀志愿服务团队称号；“冷水滩团委”公众号开辟了“冷水滩青年说”、“红色故事我来讲”等专栏，累计阅读人次达３万；举办“成人礼”、集中入团仪式示范活动，通过仪式感教育加强青年团员的荣誉感和使命感；开展青年人才爱国教育活动、组织各界青年拍摄“青春向</w:t>
      </w:r>
      <w:r>
        <w:rPr>
          <w:rFonts w:hint="eastAsia" w:ascii="仿宋" w:hAnsi="仿宋" w:eastAsia="仿宋" w:cs="仿宋"/>
          <w:color w:val="000000"/>
          <w:kern w:val="0"/>
          <w:sz w:val="32"/>
          <w:szCs w:val="32"/>
          <w:lang w:eastAsia="zh-CN"/>
        </w:rPr>
        <w:t>党</w:t>
      </w:r>
      <w:r>
        <w:rPr>
          <w:rFonts w:hint="eastAsia" w:eastAsia="仿宋_GB2312"/>
          <w:color w:val="000000"/>
          <w:kern w:val="0"/>
          <w:sz w:val="32"/>
          <w:szCs w:val="32"/>
        </w:rPr>
        <w:t>　乘风破浪”五四宣传片，弘扬五四精神，展现新青年面貌；开展“一元捐”、“微心愿认领”等助学活动，帮扶困难青少年解决学习生活上的困难。</w:t>
      </w:r>
    </w:p>
    <w:p>
      <w:pPr>
        <w:spacing w:line="620" w:lineRule="exact"/>
        <w:ind w:firstLine="643" w:firstLineChars="200"/>
        <w:rPr>
          <w:rFonts w:ascii="黑体" w:eastAsia="黑体"/>
          <w:b/>
          <w:bCs/>
          <w:color w:val="000000"/>
          <w:kern w:val="0"/>
          <w:sz w:val="32"/>
          <w:szCs w:val="32"/>
        </w:rPr>
      </w:pPr>
      <w:r>
        <w:rPr>
          <w:rFonts w:hint="eastAsia" w:ascii="黑体" w:eastAsia="黑体"/>
          <w:b/>
          <w:bCs/>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年冷水滩本级部门预算安排共青团和青年工作项目经费24万元，202</w:t>
      </w:r>
      <w:r>
        <w:rPr>
          <w:rFonts w:hint="eastAsia" w:eastAsia="仿宋_GB2312"/>
          <w:color w:val="000000"/>
          <w:kern w:val="0"/>
          <w:sz w:val="32"/>
          <w:szCs w:val="32"/>
          <w:lang w:val="en-US" w:eastAsia="zh-CN"/>
        </w:rPr>
        <w:t>1</w:t>
      </w:r>
      <w:r>
        <w:rPr>
          <w:rFonts w:hint="eastAsia" w:eastAsia="仿宋_GB2312"/>
          <w:color w:val="000000"/>
          <w:kern w:val="0"/>
          <w:sz w:val="32"/>
          <w:szCs w:val="32"/>
        </w:rPr>
        <w:t>年实际财政资金到位</w:t>
      </w:r>
      <w:r>
        <w:rPr>
          <w:rFonts w:hint="eastAsia" w:eastAsia="仿宋_GB2312"/>
          <w:color w:val="000000"/>
          <w:kern w:val="0"/>
          <w:sz w:val="32"/>
          <w:szCs w:val="32"/>
          <w:lang w:val="en-US" w:eastAsia="zh-CN"/>
        </w:rPr>
        <w:t>13.57</w:t>
      </w:r>
      <w:r>
        <w:rPr>
          <w:rFonts w:hint="eastAsia" w:eastAsia="仿宋_GB2312"/>
          <w:color w:val="000000"/>
          <w:kern w:val="0"/>
          <w:sz w:val="32"/>
          <w:szCs w:val="32"/>
        </w:rPr>
        <w:t>万元，项目资金到位率</w:t>
      </w:r>
      <w:r>
        <w:rPr>
          <w:rFonts w:hint="eastAsia" w:eastAsia="仿宋_GB2312"/>
          <w:color w:val="000000"/>
          <w:kern w:val="0"/>
          <w:sz w:val="32"/>
          <w:szCs w:val="32"/>
          <w:lang w:val="en-US" w:eastAsia="zh-CN"/>
        </w:rPr>
        <w:t>56.54</w:t>
      </w:r>
      <w:r>
        <w:rPr>
          <w:rFonts w:hint="eastAsia" w:eastAsia="仿宋_GB2312"/>
          <w:color w:val="000000"/>
          <w:kern w:val="0"/>
          <w:sz w:val="32"/>
          <w:szCs w:val="32"/>
        </w:rPr>
        <w:t>%</w:t>
      </w:r>
      <w:r>
        <w:rPr>
          <w:rFonts w:hint="eastAsia" w:ascii="宋体" w:hAnsi="宋体"/>
          <w:sz w:val="30"/>
          <w:szCs w:val="30"/>
          <w:lang w:val="zh-CN"/>
        </w:rPr>
        <w:t>%</w:t>
      </w:r>
      <w:r>
        <w:rPr>
          <w:rFonts w:hint="eastAsia" w:eastAsia="仿宋_GB2312"/>
          <w:color w:val="000000"/>
          <w:kern w:val="0"/>
          <w:sz w:val="32"/>
          <w:szCs w:val="32"/>
        </w:rPr>
        <w:t>。</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20" w:lineRule="exact"/>
        <w:rPr>
          <w:rFonts w:eastAsia="微软雅黑"/>
          <w:color w:val="000000"/>
          <w:kern w:val="0"/>
          <w:sz w:val="32"/>
          <w:szCs w:val="32"/>
        </w:rPr>
      </w:pPr>
      <w:r>
        <w:rPr>
          <w:rFonts w:hint="eastAsia" w:eastAsia="仿宋_GB2312"/>
          <w:color w:val="000000"/>
          <w:kern w:val="0"/>
          <w:sz w:val="32"/>
          <w:szCs w:val="32"/>
        </w:rPr>
        <w:t xml:space="preserve">    项目资金都按专款专用的要求全部使用到位。各项目运作良好，效益已初步显现。</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项目资金严格按规范管理使用，每笔资金使用按规范程序报账，按需拨付，管理使用效果好。</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数量指标：1、创文创卫，指标值100%；2、青年之家建设，指标值100%；3、</w:t>
      </w:r>
      <w:r>
        <w:rPr>
          <w:rFonts w:hint="eastAsia" w:ascii="仿宋_GB2312" w:eastAsia="仿宋_GB2312"/>
          <w:sz w:val="32"/>
          <w:szCs w:val="32"/>
          <w:lang w:eastAsia="zh-CN"/>
        </w:rPr>
        <w:t>青年创业就业培训</w:t>
      </w:r>
      <w:r>
        <w:rPr>
          <w:rFonts w:hint="eastAsia" w:ascii="仿宋_GB2312" w:eastAsia="仿宋_GB2312"/>
          <w:sz w:val="32"/>
          <w:szCs w:val="32"/>
        </w:rPr>
        <w:t>，指标值100%；4、平安创建，指标值100%；5、关爱留守儿童，指标值100%；6、抗疫志愿服务活动，指标值100%；7、扶贫，指标值100%；8、“五四”、“六一”主题活动，禁毒、防艾宣传、防范金融风险、青少年假期自护宣传、法制进校园宣讲等，指标值100%；9、宣传培训，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社会效益：促进青年、青少年发展，指标值100%。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广大青年、青少年的满意度，指标值100%。</w:t>
      </w:r>
    </w:p>
    <w:p>
      <w:pPr>
        <w:numPr>
          <w:ilvl w:val="0"/>
          <w:numId w:val="2"/>
        </w:numPr>
        <w:spacing w:line="540" w:lineRule="exact"/>
        <w:ind w:firstLine="643" w:firstLineChars="200"/>
        <w:rPr>
          <w:rFonts w:ascii="仿宋_GB2312" w:eastAsia="仿宋_GB2312"/>
          <w:b/>
          <w:bCs/>
          <w:sz w:val="32"/>
          <w:szCs w:val="32"/>
        </w:rPr>
      </w:pPr>
      <w:r>
        <w:rPr>
          <w:rFonts w:hint="eastAsia" w:ascii="黑体" w:hAnsi="黑体" w:eastAsia="黑体" w:cs="黑体"/>
          <w:b/>
          <w:bCs/>
          <w:sz w:val="32"/>
          <w:szCs w:val="32"/>
        </w:rPr>
        <w:t>绩效目标未完成原因和下一步改进措施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根据202</w:t>
      </w:r>
      <w:r>
        <w:rPr>
          <w:rFonts w:hint="eastAsia" w:ascii="仿宋_GB2312" w:eastAsia="仿宋_GB2312"/>
          <w:sz w:val="32"/>
          <w:szCs w:val="32"/>
          <w:lang w:val="en-US" w:eastAsia="zh-CN"/>
        </w:rPr>
        <w:t>1</w:t>
      </w:r>
      <w:r>
        <w:rPr>
          <w:rFonts w:hint="eastAsia" w:ascii="仿宋_GB2312" w:eastAsia="仿宋_GB2312"/>
          <w:sz w:val="32"/>
          <w:szCs w:val="32"/>
        </w:rPr>
        <w:t>年的实际情况，制定贴合实际的绩效目标，结合202</w:t>
      </w:r>
      <w:r>
        <w:rPr>
          <w:rFonts w:hint="eastAsia" w:ascii="仿宋_GB2312" w:eastAsia="仿宋_GB2312"/>
          <w:sz w:val="32"/>
          <w:szCs w:val="32"/>
          <w:lang w:val="en-US" w:eastAsia="zh-CN"/>
        </w:rPr>
        <w:t>1</w:t>
      </w:r>
      <w:r>
        <w:rPr>
          <w:rFonts w:hint="eastAsia" w:ascii="仿宋_GB2312" w:eastAsia="仿宋_GB2312"/>
          <w:sz w:val="32"/>
          <w:szCs w:val="32"/>
        </w:rPr>
        <w:t>年的资金使用和管理的情况，发现不足，找出问题，力求完善资金管理的各项制度。并在今后的工作中，进一步规范立项申报，规范和加强项目实施监督检查工作，并进一步加强对项目总体实施过程的审核监督作用。</w:t>
      </w:r>
    </w:p>
    <w:p>
      <w:pPr>
        <w:numPr>
          <w:ilvl w:val="0"/>
          <w:numId w:val="2"/>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团区委202</w:t>
      </w:r>
      <w:r>
        <w:rPr>
          <w:rFonts w:hint="eastAsia" w:eastAsia="仿宋_GB2312"/>
          <w:color w:val="000000"/>
          <w:kern w:val="0"/>
          <w:sz w:val="32"/>
          <w:szCs w:val="32"/>
          <w:lang w:val="en-US" w:eastAsia="zh-CN"/>
        </w:rPr>
        <w:t>1</w:t>
      </w:r>
      <w:r>
        <w:rPr>
          <w:rFonts w:hint="eastAsia" w:eastAsia="仿宋_GB2312"/>
          <w:color w:val="000000"/>
          <w:kern w:val="0"/>
          <w:sz w:val="32"/>
          <w:szCs w:val="32"/>
        </w:rPr>
        <w:t>年绩效自评，各项指标达到预期目标并取得了一定的成效，绩效自评得分</w:t>
      </w:r>
      <w:r>
        <w:rPr>
          <w:rFonts w:hint="eastAsia" w:eastAsia="仿宋_GB2312"/>
          <w:color w:val="000000"/>
          <w:kern w:val="0"/>
          <w:sz w:val="32"/>
          <w:szCs w:val="32"/>
          <w:lang w:val="en-US" w:eastAsia="zh-CN"/>
        </w:rPr>
        <w:t>98，</w:t>
      </w:r>
      <w:r>
        <w:rPr>
          <w:rFonts w:hint="eastAsia" w:eastAsia="仿宋_GB2312"/>
          <w:color w:val="000000"/>
          <w:kern w:val="0"/>
          <w:sz w:val="32"/>
          <w:szCs w:val="32"/>
        </w:rPr>
        <w:t>等级为优。自评结束，将按照财政局规定进行公开。</w:t>
      </w:r>
    </w:p>
    <w:p>
      <w:pPr>
        <w:numPr>
          <w:ilvl w:val="0"/>
          <w:numId w:val="2"/>
        </w:num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问题：（1）对于绩效评价的认识不够深入，把预算绩效简单等同于工作目标、工作考核和业务管理。（2）绩效目标和指标往往根据项目实际完成情况制定，对项目执行过程有效约束不够，存在一定的偏差。（3）在绩效考评指标的设计上，部分特色指标缺乏数据支持和可行的分析测评，绩效指标体系有待完善。</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建议： 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无</w:t>
      </w:r>
    </w:p>
    <w:p>
      <w:pPr>
        <w:spacing w:line="620" w:lineRule="exact"/>
        <w:ind w:firstLine="640" w:firstLineChars="200"/>
        <w:jc w:val="right"/>
        <w:rPr>
          <w:rFonts w:hint="eastAsia" w:eastAsia="仿宋_GB2312"/>
          <w:color w:val="000000"/>
          <w:kern w:val="0"/>
          <w:sz w:val="32"/>
          <w:szCs w:val="32"/>
          <w:lang w:eastAsia="zh-CN"/>
        </w:rPr>
      </w:pPr>
      <w:r>
        <w:rPr>
          <w:rFonts w:hint="eastAsia" w:eastAsia="仿宋_GB2312"/>
          <w:color w:val="000000"/>
          <w:kern w:val="0"/>
          <w:sz w:val="32"/>
          <w:szCs w:val="32"/>
          <w:lang w:eastAsia="zh-CN"/>
        </w:rPr>
        <w:t>共青团冷水滩区委员会</w:t>
      </w:r>
    </w:p>
    <w:p>
      <w:pPr>
        <w:spacing w:line="620" w:lineRule="exact"/>
        <w:ind w:firstLine="640" w:firstLineChars="200"/>
        <w:jc w:val="center"/>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2022年8月         </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default"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default"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98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5BA93"/>
    <w:multiLevelType w:val="singleLevel"/>
    <w:tmpl w:val="E465BA93"/>
    <w:lvl w:ilvl="0" w:tentative="0">
      <w:start w:val="5"/>
      <w:numFmt w:val="chineseCounting"/>
      <w:suff w:val="nothing"/>
      <w:lvlText w:val="%1、"/>
      <w:lvlJc w:val="left"/>
      <w:rPr>
        <w:rFonts w:hint="eastAsia"/>
      </w:rPr>
    </w:lvl>
  </w:abstractNum>
  <w:abstractNum w:abstractNumId="1">
    <w:nsid w:val="2CBB4604"/>
    <w:multiLevelType w:val="singleLevel"/>
    <w:tmpl w:val="2CBB460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kyOGEyMjNjYTE0ZDIwNDc5YzQ2MTY1NjFjZTEifQ=="/>
  </w:docVars>
  <w:rsids>
    <w:rsidRoot w:val="234C26CD"/>
    <w:rsid w:val="00012EFD"/>
    <w:rsid w:val="00031A4D"/>
    <w:rsid w:val="00327FD7"/>
    <w:rsid w:val="0048760D"/>
    <w:rsid w:val="00527924"/>
    <w:rsid w:val="005C60BE"/>
    <w:rsid w:val="008648B1"/>
    <w:rsid w:val="03222E0B"/>
    <w:rsid w:val="056B019C"/>
    <w:rsid w:val="17B12722"/>
    <w:rsid w:val="188B3A8E"/>
    <w:rsid w:val="19383D27"/>
    <w:rsid w:val="19CC3C05"/>
    <w:rsid w:val="1BC8476F"/>
    <w:rsid w:val="1C9F6A2F"/>
    <w:rsid w:val="2312429F"/>
    <w:rsid w:val="234C26CD"/>
    <w:rsid w:val="2A4E004F"/>
    <w:rsid w:val="2F7B1B0F"/>
    <w:rsid w:val="32A65113"/>
    <w:rsid w:val="394B7EE1"/>
    <w:rsid w:val="398A30B2"/>
    <w:rsid w:val="42EC2075"/>
    <w:rsid w:val="43CB7BC6"/>
    <w:rsid w:val="4B0A1D38"/>
    <w:rsid w:val="52F942D0"/>
    <w:rsid w:val="573953E9"/>
    <w:rsid w:val="5D8B7C62"/>
    <w:rsid w:val="652236D2"/>
    <w:rsid w:val="6A3A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4733</Words>
  <Characters>4854</Characters>
  <Lines>19</Lines>
  <Paragraphs>5</Paragraphs>
  <TotalTime>18</TotalTime>
  <ScaleCrop>false</ScaleCrop>
  <LinksUpToDate>false</LinksUpToDate>
  <CharactersWithSpaces>4914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2020-06-05T02:49:00Z</dcterms:created>
  <dc:creator>诺言</dc:creator>
  <cp:lastModifiedBy>-</cp:lastModifiedBy>
  <cp:lastPrinted>2022-08-24T08:03:00Z</cp:lastPrinted>
  <dcterms:modified xsi:type="dcterms:W3CDTF">2023-10-13T03:15:22Z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E762C1FB57B6423798D8A54AD42D789C</vt:lpwstr>
  </property>
</Properties>
</file>