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仿宋_GB2312"/>
          <w:sz w:val="32"/>
          <w:szCs w:val="32"/>
        </w:rPr>
      </w:pPr>
      <w:r>
        <w:rPr>
          <w:rFonts w:hint="eastAsia" w:ascii="仿宋_GB2312" w:hAnsi="仿宋_GB2312" w:eastAsia="仿宋_GB2312" w:cs="仿宋_GB2312"/>
          <w:sz w:val="32"/>
          <w:szCs w:val="32"/>
        </w:rPr>
        <w:t>附件3</w:t>
      </w:r>
      <w:r>
        <w:rPr>
          <w:rFonts w:hint="eastAsia" w:eastAsia="仿宋_GB2312"/>
          <w:sz w:val="32"/>
          <w:szCs w:val="32"/>
        </w:rPr>
        <w:t>：</w:t>
      </w:r>
    </w:p>
    <w:p>
      <w:pPr>
        <w:jc w:val="center"/>
        <w:rPr>
          <w:rFonts w:eastAsia="方正小标宋简体"/>
          <w:sz w:val="36"/>
          <w:szCs w:val="36"/>
        </w:rPr>
      </w:pPr>
      <w:r>
        <w:rPr>
          <w:rFonts w:hint="eastAsia" w:ascii="方正小标宋简体" w:eastAsia="方正小标宋简体"/>
          <w:color w:val="000000"/>
          <w:sz w:val="36"/>
          <w:szCs w:val="36"/>
          <w:lang w:eastAsia="zh-CN"/>
        </w:rPr>
        <w:t>2020</w:t>
      </w:r>
      <w:r>
        <w:rPr>
          <w:rFonts w:eastAsia="方正小标宋简体"/>
          <w:sz w:val="36"/>
          <w:szCs w:val="36"/>
        </w:rPr>
        <w:t>年度部门整体支出绩效自评报告</w:t>
      </w:r>
    </w:p>
    <w:p>
      <w:pPr>
        <w:jc w:val="center"/>
        <w:rPr>
          <w:rFonts w:eastAsia="楷体_GB2312"/>
        </w:rPr>
      </w:pPr>
      <w:r>
        <w:rPr>
          <w:rFonts w:eastAsia="楷体_GB2312"/>
        </w:rPr>
        <w:t>（项目单位使用参考提纲）</w:t>
      </w:r>
    </w:p>
    <w:p>
      <w:pPr>
        <w:ind w:firstLine="420" w:firstLineChars="200"/>
        <w:jc w:val="center"/>
      </w:pPr>
    </w:p>
    <w:p>
      <w:pPr>
        <w:ind w:firstLine="602" w:firstLineChars="200"/>
        <w:rPr>
          <w:rFonts w:ascii="宋体" w:hAnsi="宋体"/>
          <w:b/>
          <w:sz w:val="30"/>
          <w:szCs w:val="30"/>
        </w:rPr>
      </w:pPr>
      <w:r>
        <w:rPr>
          <w:rFonts w:ascii="宋体" w:hAnsi="宋体"/>
          <w:b/>
          <w:sz w:val="30"/>
          <w:szCs w:val="30"/>
        </w:rPr>
        <w:t>一、部门概况</w:t>
      </w:r>
    </w:p>
    <w:p>
      <w:pPr>
        <w:ind w:firstLine="600" w:firstLineChars="200"/>
        <w:rPr>
          <w:rFonts w:ascii="宋体" w:hAnsi="宋体"/>
          <w:sz w:val="30"/>
          <w:szCs w:val="30"/>
        </w:rPr>
      </w:pPr>
      <w:r>
        <w:rPr>
          <w:rFonts w:ascii="宋体" w:hAnsi="宋体"/>
          <w:sz w:val="30"/>
          <w:szCs w:val="30"/>
        </w:rPr>
        <w:t>（一）部门基本情况。</w:t>
      </w:r>
    </w:p>
    <w:p>
      <w:pPr>
        <w:ind w:firstLine="600" w:firstLineChars="200"/>
        <w:rPr>
          <w:rFonts w:ascii="宋体" w:hAnsi="宋体"/>
          <w:sz w:val="30"/>
          <w:szCs w:val="30"/>
        </w:rPr>
      </w:pPr>
      <w:r>
        <w:rPr>
          <w:rFonts w:ascii="宋体" w:hAnsi="宋体"/>
          <w:sz w:val="30"/>
          <w:szCs w:val="30"/>
        </w:rPr>
        <w:t>（一）部门基本情况。</w:t>
      </w:r>
    </w:p>
    <w:p>
      <w:pPr>
        <w:ind w:firstLine="640" w:firstLineChars="200"/>
        <w:rPr>
          <w:rFonts w:ascii="宋体" w:hAnsi="宋体"/>
          <w:sz w:val="30"/>
          <w:szCs w:val="30"/>
        </w:rPr>
      </w:pPr>
      <w:r>
        <w:rPr>
          <w:rFonts w:hint="eastAsia" w:asciiTheme="minorEastAsia" w:hAnsiTheme="minorEastAsia" w:eastAsiaTheme="minorEastAsia" w:cstheme="minorEastAsia"/>
          <w:sz w:val="32"/>
          <w:szCs w:val="32"/>
        </w:rPr>
        <w:t>本中心的主要职责为：制定全区疾病预防控制技术对策和措施，并负责指导和组织实施;负责实施预防和控制信息的收集整理、统计分析、综合评价、反馈及疫情报告;开展疾病预防控制相关的监测技术等科研、培训和公众的健康促进、健康教育、疾病预防指导;负责对生物性、社会性、职业性等因素所致疾病的流行病学调查，承担疾病预防、疫点控制、疫区消毒及卫生学评价等任务;负责重大疫情和突发公共卫生事件的调查，提出控制措施，参与对危害公共卫生中毒事件的调查，负责食物中毒事件的流行病学调查;负责拟订全区免疫接种规划，并负责疫苗的使用管理、技术指导及效果分析评价;指导和承担全区救灾防病有关的技术工作及负责消杀药品的发放;承担预防性体检工作及与健康相关产品的卫生质量监测，涉及公共卫生相关场所的卫生学评价;指导和参与社区基本公共卫生服务疾控项目工作;为卫生监督执法提供检验技术支撑，具体承担区卫生计生行政部门交付的健康相关产品、场所卫生质量检验检测及出证任务;承担本县区疾病预防控制与各类防疫防病业务有关的检验任务;指导和参与社区基本公共卫生服务疾控项目工作；执行慢性非传染性疾病预防控制规划和方案，组织指导慢非综合防控;落实相关防控措施。承担区卫生计生行政部门和上级疾病预防控制交付的其他任务。</w:t>
      </w:r>
    </w:p>
    <w:p>
      <w:pPr>
        <w:ind w:firstLine="600" w:firstLineChars="200"/>
        <w:rPr>
          <w:rFonts w:ascii="宋体" w:hAnsi="宋体"/>
          <w:sz w:val="30"/>
          <w:szCs w:val="30"/>
        </w:rPr>
      </w:pPr>
      <w:r>
        <w:rPr>
          <w:rFonts w:ascii="宋体" w:hAnsi="宋体"/>
          <w:sz w:val="30"/>
          <w:szCs w:val="30"/>
        </w:rPr>
        <w:t>（二）</w:t>
      </w:r>
      <w:r>
        <w:rPr>
          <w:rFonts w:hint="eastAsia" w:ascii="宋体" w:hAnsi="宋体"/>
          <w:color w:val="000000"/>
          <w:sz w:val="30"/>
          <w:szCs w:val="30"/>
          <w:lang w:eastAsia="zh-CN"/>
        </w:rPr>
        <w:t>2020</w:t>
      </w:r>
      <w:r>
        <w:rPr>
          <w:rFonts w:ascii="宋体" w:hAnsi="宋体"/>
          <w:sz w:val="30"/>
          <w:szCs w:val="30"/>
        </w:rPr>
        <w:t>年的重点工作</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1、加强职工思想道德建设，勤政廉政建设，做好中心党组织自身建设及职工思想政治工作。</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2、加强卫生应急与传染病网络直报工作，健全卫生应急管理，建立健全联防联控机制，加强应急队伍等建设，做好传染病及突发公共卫生事件监测与处置工作。</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3、加强急性传染病监测、预防与控制工作，主要是霍乱、非典、人禽流感、流感、狂犬病、手足口病、伤寒副伤寒等重点防控传染病的监测及防控工作。</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4、加强免疫规划工作，做好冷链运转及预防接种异常反应的处置及重点传染病针对疫苗的推广使用。</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5、加强寄、地、慢非等疾病预防控制工作，重点开展国家慢性非传染性疾病综合防控示范区创建工作，同时做好碘缺乏病、氟中毒、肝吸虫病等的防控工作；指导及参与居民健康档案的建立、慢性非传染性疾病和重性精神病患者的健康管理服务项目工作。</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shd w:val="clear" w:color="auto" w:fill="FFFFFF"/>
        </w:rPr>
        <w:t>6、在区卫生计生委领导下组织开展结核病防治规划管理、疫情监测与处置、实验室质量控制、防控技术指导、宣传教育、绩效评估等结核病防控工作。</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7、加强性病、艾滋病防治工作，切实做好宣传教育、娱乐场所安全套推广，公安、司法部门监管人员监测，自愿咨询检测，艾滋病初筛实验室建设及关怀治疗等工作。</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8、做好实验室建设、食品安全风险监测、饮用水水质监测、职业危害因素控制、卫生监测等其它各项工作。</w:t>
      </w:r>
    </w:p>
    <w:p>
      <w:pPr>
        <w:ind w:firstLine="640" w:firstLineChars="200"/>
        <w:rPr>
          <w:rFonts w:ascii="宋体" w:hAnsi="宋体"/>
          <w:sz w:val="30"/>
          <w:szCs w:val="30"/>
        </w:rPr>
      </w:pPr>
      <w:r>
        <w:rPr>
          <w:rFonts w:hint="eastAsia" w:asciiTheme="minorEastAsia" w:hAnsiTheme="minorEastAsia" w:eastAsiaTheme="minorEastAsia" w:cstheme="minorEastAsia"/>
          <w:sz w:val="32"/>
          <w:szCs w:val="32"/>
        </w:rPr>
        <w:t>9、组织指导全区社区和农村开展健康教育与健康促进工作，制定规划、计划和考核评估标准，进行质量评价；对全区有关人员开展健康教育与健康促进知识与技能培训；发布健康教育核心信息，组织开展大众卫生科学知识传播，设计制作和分发健康教育传播材料；开展课题研究，建立和发展与媒体、有关部门的联系，推动健康教育工作开展。</w:t>
      </w:r>
    </w:p>
    <w:p>
      <w:pPr>
        <w:ind w:firstLine="600" w:firstLineChars="200"/>
        <w:rPr>
          <w:rFonts w:ascii="宋体" w:hAnsi="宋体"/>
          <w:sz w:val="30"/>
          <w:szCs w:val="30"/>
        </w:rPr>
      </w:pPr>
      <w:r>
        <w:rPr>
          <w:rFonts w:ascii="宋体" w:hAnsi="宋体"/>
          <w:sz w:val="30"/>
          <w:szCs w:val="30"/>
        </w:rPr>
        <w:t>（三）部门整体支出情况</w:t>
      </w:r>
    </w:p>
    <w:p>
      <w:pPr>
        <w:ind w:firstLine="640" w:firstLineChars="200"/>
        <w:rPr>
          <w:rFonts w:hint="eastAsia" w:asciiTheme="minorEastAsia" w:hAnsiTheme="minorEastAsia" w:eastAsiaTheme="minorEastAsia" w:cstheme="minorEastAsia"/>
          <w:sz w:val="32"/>
          <w:szCs w:val="32"/>
        </w:rPr>
      </w:pPr>
      <w:r>
        <w:rPr>
          <w:rFonts w:hint="eastAsia" w:ascii="宋体 (正文)" w:hAnsi="宋体 (正文)" w:eastAsia="宋体 (正文)" w:cs="宋体 (正文)"/>
          <w:sz w:val="32"/>
          <w:szCs w:val="32"/>
        </w:rPr>
        <w:t xml:space="preserve">2020年本部门支出预算 </w:t>
      </w:r>
      <w:r>
        <w:rPr>
          <w:rFonts w:ascii="仿宋" w:hAnsi="仿宋" w:eastAsia="仿宋"/>
          <w:sz w:val="32"/>
          <w:szCs w:val="32"/>
        </w:rPr>
        <w:t xml:space="preserve"> </w:t>
      </w:r>
      <w:r>
        <w:rPr>
          <w:rFonts w:hint="eastAsia" w:ascii="仿宋" w:hAnsi="仿宋" w:eastAsia="仿宋"/>
          <w:sz w:val="32"/>
          <w:szCs w:val="32"/>
        </w:rPr>
        <w:t>4688.89</w:t>
      </w:r>
      <w:r>
        <w:rPr>
          <w:rFonts w:hint="eastAsia" w:ascii="宋体 (正文)" w:hAnsi="宋体 (正文)" w:eastAsia="宋体 (正文)" w:cs="宋体 (正文)"/>
          <w:sz w:val="32"/>
          <w:szCs w:val="32"/>
        </w:rPr>
        <w:t>万元，其中，医疗卫生与计划生育支出</w:t>
      </w:r>
      <w:r>
        <w:rPr>
          <w:rFonts w:hint="eastAsia" w:ascii="仿宋" w:hAnsi="仿宋" w:eastAsia="仿宋"/>
          <w:sz w:val="32"/>
          <w:szCs w:val="32"/>
        </w:rPr>
        <w:t>3021.68</w:t>
      </w:r>
      <w:r>
        <w:rPr>
          <w:rFonts w:hint="eastAsia" w:ascii="宋体 (正文)" w:hAnsi="宋体 (正文)" w:eastAsia="宋体 (正文)" w:cs="宋体 (正文)"/>
          <w:sz w:val="32"/>
          <w:szCs w:val="32"/>
        </w:rPr>
        <w:t xml:space="preserve">万元，住房保障支出63.097万元。支出较去年增加 </w:t>
      </w:r>
      <w:r>
        <w:rPr>
          <w:rFonts w:hint="eastAsia" w:ascii="宋体 (正文)" w:hAnsi="宋体 (正文)" w:eastAsia="宋体 (正文)" w:cs="宋体 (正文)"/>
          <w:sz w:val="32"/>
          <w:szCs w:val="32"/>
          <w:lang w:val="en-US" w:eastAsia="zh-CN"/>
        </w:rPr>
        <w:t>1817.6</w:t>
      </w:r>
      <w:r>
        <w:rPr>
          <w:rFonts w:hint="eastAsia" w:ascii="宋体 (正文)" w:hAnsi="宋体 (正文)" w:eastAsia="宋体 (正文)" w:cs="宋体 (正文)"/>
          <w:sz w:val="32"/>
          <w:szCs w:val="32"/>
        </w:rPr>
        <w:t>万元，增长</w:t>
      </w:r>
      <w:r>
        <w:rPr>
          <w:rFonts w:hint="eastAsia" w:ascii="宋体 (正文)" w:hAnsi="宋体 (正文)" w:eastAsia="宋体 (正文)" w:cs="宋体 (正文)"/>
          <w:sz w:val="32"/>
          <w:szCs w:val="32"/>
          <w:lang w:val="en-US" w:eastAsia="zh-CN"/>
        </w:rPr>
        <w:t>38.76</w:t>
      </w:r>
      <w:r>
        <w:rPr>
          <w:rFonts w:hint="eastAsia" w:ascii="宋体 (正文)" w:hAnsi="宋体 (正文)" w:eastAsia="宋体 (正文)" w:cs="宋体 (正文)"/>
          <w:sz w:val="32"/>
          <w:szCs w:val="32"/>
        </w:rPr>
        <w:t>%</w:t>
      </w:r>
      <w:r>
        <w:rPr>
          <w:rFonts w:hint="eastAsia" w:ascii="宋体 (正文)" w:hAnsi="宋体 (正文)" w:eastAsia="宋体 (正文)" w:cs="宋体 (正文)"/>
          <w:sz w:val="32"/>
          <w:szCs w:val="32"/>
          <w:lang w:val="en-US" w:eastAsia="zh-CN"/>
        </w:rPr>
        <w:t>,</w:t>
      </w:r>
      <w:r>
        <w:rPr>
          <w:rFonts w:hint="eastAsia" w:asciiTheme="minorEastAsia" w:hAnsiTheme="minorEastAsia" w:eastAsiaTheme="minorEastAsia" w:cstheme="minorEastAsia"/>
          <w:sz w:val="32"/>
          <w:szCs w:val="32"/>
        </w:rPr>
        <w:t>其中主要是工资及绩效工资增加及纳入财政预算管理的非税收入成本增加等。</w:t>
      </w:r>
    </w:p>
    <w:p>
      <w:pPr>
        <w:ind w:firstLine="602" w:firstLineChars="200"/>
        <w:rPr>
          <w:rFonts w:ascii="宋体" w:hAnsi="宋体"/>
          <w:b/>
          <w:sz w:val="30"/>
          <w:szCs w:val="30"/>
        </w:rPr>
      </w:pPr>
      <w:r>
        <w:rPr>
          <w:rFonts w:ascii="宋体" w:hAnsi="宋体"/>
          <w:b/>
          <w:sz w:val="30"/>
          <w:szCs w:val="30"/>
        </w:rPr>
        <w:t>二、部门整体支出管理及使用情况</w:t>
      </w:r>
    </w:p>
    <w:p>
      <w:pPr>
        <w:tabs>
          <w:tab w:val="left" w:pos="506"/>
        </w:tabs>
        <w:ind w:firstLine="600" w:firstLineChars="200"/>
        <w:rPr>
          <w:rFonts w:ascii="宋体" w:hAnsi="宋体"/>
          <w:sz w:val="30"/>
          <w:szCs w:val="30"/>
        </w:rPr>
      </w:pPr>
      <w:r>
        <w:rPr>
          <w:rFonts w:ascii="宋体" w:hAnsi="宋体"/>
          <w:sz w:val="30"/>
          <w:szCs w:val="30"/>
        </w:rPr>
        <w:t>（一）基本支出情况。</w:t>
      </w:r>
    </w:p>
    <w:p>
      <w:pPr>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20</w:t>
      </w:r>
      <w:r>
        <w:rPr>
          <w:rFonts w:hint="eastAsia" w:asciiTheme="minorEastAsia" w:hAnsiTheme="minorEastAsia" w:eastAsiaTheme="minorEastAsia" w:cstheme="minorEastAsia"/>
          <w:sz w:val="32"/>
          <w:szCs w:val="32"/>
          <w:lang w:val="en-US" w:eastAsia="zh-CN"/>
        </w:rPr>
        <w:t>20</w:t>
      </w:r>
      <w:r>
        <w:rPr>
          <w:rFonts w:hint="eastAsia" w:asciiTheme="minorEastAsia" w:hAnsiTheme="minorEastAsia" w:eastAsiaTheme="minorEastAsia" w:cstheme="minorEastAsia"/>
          <w:sz w:val="32"/>
          <w:szCs w:val="32"/>
        </w:rPr>
        <w:t>年总支出</w:t>
      </w:r>
      <w:r>
        <w:rPr>
          <w:rFonts w:hint="eastAsia" w:ascii="仿宋" w:hAnsi="仿宋" w:eastAsia="仿宋"/>
          <w:sz w:val="32"/>
          <w:szCs w:val="32"/>
          <w:lang w:val="en-US" w:eastAsia="zh-CN"/>
        </w:rPr>
        <w:t>4688.89</w:t>
      </w:r>
      <w:r>
        <w:rPr>
          <w:rFonts w:hint="eastAsia" w:asciiTheme="minorEastAsia" w:hAnsiTheme="minorEastAsia" w:eastAsiaTheme="minorEastAsia" w:cstheme="minorEastAsia"/>
          <w:sz w:val="32"/>
          <w:szCs w:val="32"/>
        </w:rPr>
        <w:t>万元：</w:t>
      </w:r>
    </w:p>
    <w:p>
      <w:pPr>
        <w:widowControl/>
        <w:spacing w:line="600" w:lineRule="exact"/>
        <w:ind w:firstLine="660"/>
        <w:jc w:val="left"/>
        <w:rPr>
          <w:rFonts w:hint="eastAsia" w:ascii="宋体 (正文)" w:hAnsi="宋体 (正文)" w:eastAsia="宋体 (正文)" w:cs="宋体 (正文)"/>
          <w:sz w:val="32"/>
          <w:szCs w:val="32"/>
        </w:rPr>
      </w:pPr>
      <w:r>
        <w:rPr>
          <w:rFonts w:hint="eastAsia" w:ascii="宋体 (正文)" w:hAnsi="宋体 (正文)" w:eastAsia="宋体 (正文)" w:cs="宋体 (正文)"/>
          <w:sz w:val="32"/>
          <w:szCs w:val="32"/>
        </w:rPr>
        <w:t xml:space="preserve">2020年本部门基本支出预算数 </w:t>
      </w:r>
      <w:r>
        <w:rPr>
          <w:rFonts w:hint="eastAsia" w:ascii="仿宋" w:hAnsi="仿宋" w:eastAsia="仿宋"/>
          <w:sz w:val="32"/>
          <w:szCs w:val="32"/>
        </w:rPr>
        <w:t>2809.64</w:t>
      </w:r>
      <w:r>
        <w:rPr>
          <w:rFonts w:hint="eastAsia" w:ascii="宋体 (正文)" w:hAnsi="宋体 (正文)" w:eastAsia="宋体 (正文)" w:cs="宋体 (正文)"/>
          <w:sz w:val="32"/>
          <w:szCs w:val="32"/>
        </w:rPr>
        <w:t>万元，其中工资福利支</w:t>
      </w:r>
      <w:r>
        <w:rPr>
          <w:rFonts w:hint="eastAsia" w:ascii="宋体 (正文)" w:hAnsi="宋体 (正文)" w:eastAsia="宋体 (正文)" w:cs="宋体 (正文)"/>
          <w:sz w:val="32"/>
          <w:szCs w:val="32"/>
          <w:lang w:val="en-US" w:eastAsia="zh-CN"/>
        </w:rPr>
        <w:t>964.16</w:t>
      </w:r>
      <w:r>
        <w:rPr>
          <w:rFonts w:hint="eastAsia" w:ascii="宋体 (正文)" w:hAnsi="宋体 (正文)" w:eastAsia="宋体 (正文)" w:cs="宋体 (正文)"/>
          <w:sz w:val="32"/>
          <w:szCs w:val="32"/>
        </w:rPr>
        <w:t>万元（含住房公积金63.097万元），一般商品和服务支出1824.37万元，对个人和家庭的补助7.61万元，</w:t>
      </w:r>
      <w:r>
        <w:rPr>
          <w:rFonts w:hint="eastAsia" w:ascii="宋体 (正文)" w:hAnsi="宋体 (正文)" w:eastAsia="宋体 (正文)" w:cs="宋体 (正文)"/>
          <w:sz w:val="32"/>
          <w:szCs w:val="32"/>
          <w:lang w:eastAsia="zh-CN"/>
        </w:rPr>
        <w:t>资本性支出</w:t>
      </w:r>
      <w:r>
        <w:rPr>
          <w:rFonts w:hint="eastAsia" w:ascii="宋体 (正文)" w:hAnsi="宋体 (正文)" w:eastAsia="宋体 (正文)" w:cs="宋体 (正文)"/>
          <w:sz w:val="32"/>
          <w:szCs w:val="32"/>
        </w:rPr>
        <w:t>13.5</w:t>
      </w:r>
      <w:r>
        <w:rPr>
          <w:rFonts w:hint="eastAsia" w:ascii="宋体 (正文)" w:hAnsi="宋体 (正文)" w:eastAsia="宋体 (正文)" w:cs="宋体 (正文)"/>
          <w:sz w:val="32"/>
          <w:szCs w:val="32"/>
          <w:lang w:eastAsia="zh-CN"/>
        </w:rPr>
        <w:t>万元，</w:t>
      </w:r>
      <w:r>
        <w:rPr>
          <w:rFonts w:hint="eastAsia" w:ascii="宋体 (正文)" w:hAnsi="宋体 (正文)" w:eastAsia="宋体 (正文)" w:cs="宋体 (正文)"/>
          <w:sz w:val="32"/>
          <w:szCs w:val="32"/>
        </w:rPr>
        <w:t>主要是为保障部门正常运转、完成日常工作任务而发生的各项支出，包括用于基本工资、津贴补贴等人员经费以及办公费、印刷费、水电费、办公设备购置等公用经费。</w:t>
      </w:r>
    </w:p>
    <w:p>
      <w:pPr>
        <w:spacing w:line="520" w:lineRule="exact"/>
        <w:ind w:firstLine="640" w:firstLineChars="200"/>
        <w:rPr>
          <w:rFonts w:ascii="宋体" w:hAnsi="宋体"/>
          <w:sz w:val="30"/>
          <w:szCs w:val="30"/>
        </w:rPr>
      </w:pPr>
      <w:r>
        <w:rPr>
          <w:rFonts w:hint="eastAsia" w:asciiTheme="minorEastAsia" w:hAnsiTheme="minorEastAsia" w:eastAsiaTheme="minorEastAsia" w:cstheme="minorEastAsia"/>
          <w:sz w:val="32"/>
          <w:szCs w:val="32"/>
        </w:rPr>
        <w:t>支出预算执行情况：与上年度对比基本支出</w:t>
      </w:r>
      <w:r>
        <w:rPr>
          <w:rFonts w:hint="eastAsia" w:asciiTheme="minorEastAsia" w:hAnsiTheme="minorEastAsia" w:eastAsiaTheme="minorEastAsia" w:cstheme="minorEastAsia"/>
          <w:sz w:val="32"/>
          <w:szCs w:val="32"/>
          <w:lang w:eastAsia="zh-CN"/>
        </w:rPr>
        <w:t>减少</w:t>
      </w:r>
      <w:r>
        <w:rPr>
          <w:rFonts w:hint="eastAsia" w:asciiTheme="minorEastAsia" w:hAnsiTheme="minorEastAsia" w:eastAsiaTheme="minorEastAsia" w:cstheme="minorEastAsia"/>
          <w:sz w:val="32"/>
          <w:szCs w:val="32"/>
          <w:lang w:val="en-US" w:eastAsia="zh-CN"/>
        </w:rPr>
        <w:t>61.65</w:t>
      </w:r>
      <w:r>
        <w:rPr>
          <w:rFonts w:hint="eastAsia" w:asciiTheme="minorEastAsia" w:hAnsiTheme="minorEastAsia" w:eastAsiaTheme="minorEastAsia" w:cstheme="minorEastAsia"/>
          <w:sz w:val="32"/>
          <w:szCs w:val="32"/>
        </w:rPr>
        <w:t>万元;</w:t>
      </w:r>
      <w:r>
        <w:rPr>
          <w:rFonts w:hint="eastAsia" w:asciiTheme="minorEastAsia" w:hAnsiTheme="minorEastAsia" w:eastAsiaTheme="minorEastAsia" w:cstheme="minorEastAsia"/>
          <w:sz w:val="32"/>
          <w:szCs w:val="32"/>
          <w:lang w:eastAsia="zh-CN"/>
        </w:rPr>
        <w:t>增加</w:t>
      </w:r>
      <w:r>
        <w:rPr>
          <w:rFonts w:hint="eastAsia" w:asciiTheme="minorEastAsia" w:hAnsiTheme="minorEastAsia" w:eastAsiaTheme="minorEastAsia" w:cstheme="minorEastAsia"/>
          <w:sz w:val="32"/>
          <w:szCs w:val="32"/>
          <w:lang w:val="en-US" w:eastAsia="zh-CN"/>
        </w:rPr>
        <w:t>6.3</w:t>
      </w:r>
      <w:r>
        <w:rPr>
          <w:rFonts w:hint="eastAsia" w:asciiTheme="minorEastAsia" w:hAnsiTheme="minorEastAsia" w:eastAsiaTheme="minorEastAsia" w:cstheme="minorEastAsia"/>
          <w:sz w:val="32"/>
          <w:szCs w:val="32"/>
        </w:rPr>
        <w:t>%，（其中：工资</w:t>
      </w:r>
      <w:r>
        <w:rPr>
          <w:rFonts w:hint="eastAsia" w:asciiTheme="minorEastAsia" w:hAnsiTheme="minorEastAsia" w:eastAsiaTheme="minorEastAsia" w:cstheme="minorEastAsia"/>
          <w:sz w:val="32"/>
          <w:szCs w:val="32"/>
          <w:lang w:eastAsia="zh-CN"/>
        </w:rPr>
        <w:t>减少</w:t>
      </w:r>
      <w:r>
        <w:rPr>
          <w:rFonts w:hint="eastAsia" w:asciiTheme="minorEastAsia" w:hAnsiTheme="minorEastAsia" w:eastAsiaTheme="minorEastAsia" w:cstheme="minorEastAsia"/>
          <w:sz w:val="32"/>
          <w:szCs w:val="32"/>
          <w:lang w:val="en-US" w:eastAsia="zh-CN"/>
        </w:rPr>
        <w:t>35.48</w:t>
      </w:r>
      <w:r>
        <w:rPr>
          <w:rFonts w:hint="eastAsia" w:asciiTheme="minorEastAsia" w:hAnsiTheme="minorEastAsia" w:eastAsiaTheme="minorEastAsia" w:cstheme="minorEastAsia"/>
          <w:sz w:val="32"/>
          <w:szCs w:val="32"/>
        </w:rPr>
        <w:t>万元，</w:t>
      </w:r>
      <w:r>
        <w:rPr>
          <w:rFonts w:hint="eastAsia" w:asciiTheme="minorEastAsia" w:hAnsiTheme="minorEastAsia" w:eastAsiaTheme="minorEastAsia" w:cstheme="minorEastAsia"/>
          <w:sz w:val="32"/>
          <w:szCs w:val="32"/>
          <w:lang w:eastAsia="zh-CN"/>
        </w:rPr>
        <w:t>日常公用经</w:t>
      </w:r>
      <w:bookmarkStart w:id="0" w:name="_GoBack"/>
      <w:bookmarkEnd w:id="0"/>
      <w:r>
        <w:rPr>
          <w:rFonts w:hint="eastAsia" w:asciiTheme="minorEastAsia" w:hAnsiTheme="minorEastAsia" w:eastAsiaTheme="minorEastAsia" w:cstheme="minorEastAsia"/>
          <w:sz w:val="32"/>
          <w:szCs w:val="32"/>
          <w:lang w:eastAsia="zh-CN"/>
        </w:rPr>
        <w:t>费减少</w:t>
      </w:r>
      <w:r>
        <w:rPr>
          <w:rFonts w:hint="eastAsia" w:asciiTheme="minorEastAsia" w:hAnsiTheme="minorEastAsia" w:eastAsiaTheme="minorEastAsia" w:cstheme="minorEastAsia"/>
          <w:sz w:val="32"/>
          <w:szCs w:val="32"/>
        </w:rPr>
        <w:t>支出</w:t>
      </w:r>
      <w:r>
        <w:rPr>
          <w:rFonts w:hint="eastAsia" w:asciiTheme="minorEastAsia" w:hAnsiTheme="minorEastAsia" w:eastAsiaTheme="minorEastAsia" w:cstheme="minorEastAsia"/>
          <w:sz w:val="32"/>
          <w:szCs w:val="32"/>
          <w:lang w:val="en-US" w:eastAsia="zh-CN"/>
        </w:rPr>
        <w:t>0.5</w:t>
      </w:r>
      <w:r>
        <w:rPr>
          <w:rFonts w:hint="eastAsia" w:asciiTheme="minorEastAsia" w:hAnsiTheme="minorEastAsia" w:eastAsiaTheme="minorEastAsia" w:cstheme="minorEastAsia"/>
          <w:sz w:val="32"/>
          <w:szCs w:val="32"/>
        </w:rPr>
        <w:t>万元</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主要是</w:t>
      </w:r>
      <w:r>
        <w:rPr>
          <w:rFonts w:hint="eastAsia" w:asciiTheme="minorEastAsia" w:hAnsiTheme="minorEastAsia" w:eastAsiaTheme="minorEastAsia" w:cstheme="minorEastAsia"/>
          <w:sz w:val="32"/>
          <w:szCs w:val="32"/>
          <w:lang w:eastAsia="zh-CN"/>
        </w:rPr>
        <w:t>人员减少，工资减少，公用经费减少</w:t>
      </w:r>
      <w:r>
        <w:rPr>
          <w:rFonts w:hint="eastAsia" w:asciiTheme="minorEastAsia" w:hAnsiTheme="minorEastAsia" w:eastAsiaTheme="minorEastAsia" w:cstheme="minorEastAsia"/>
          <w:sz w:val="32"/>
          <w:szCs w:val="32"/>
        </w:rPr>
        <w:t>。</w:t>
      </w:r>
    </w:p>
    <w:p>
      <w:pPr>
        <w:numPr>
          <w:ilvl w:val="0"/>
          <w:numId w:val="1"/>
        </w:numPr>
        <w:ind w:firstLine="600" w:firstLineChars="200"/>
        <w:rPr>
          <w:rFonts w:ascii="宋体" w:hAnsi="宋体"/>
          <w:sz w:val="30"/>
          <w:szCs w:val="30"/>
        </w:rPr>
      </w:pPr>
      <w:r>
        <w:rPr>
          <w:rFonts w:ascii="宋体" w:hAnsi="宋体"/>
          <w:sz w:val="30"/>
          <w:szCs w:val="30"/>
        </w:rPr>
        <w:t>项目支出情况。</w:t>
      </w:r>
    </w:p>
    <w:p>
      <w:pPr>
        <w:spacing w:line="560" w:lineRule="exact"/>
        <w:ind w:firstLine="640" w:firstLineChars="200"/>
        <w:rPr>
          <w:rFonts w:hint="eastAsia" w:ascii="仿宋" w:hAnsi="仿宋" w:eastAsia="仿宋" w:cs="仿宋"/>
          <w:bCs/>
          <w:sz w:val="32"/>
          <w:szCs w:val="32"/>
        </w:rPr>
      </w:pPr>
      <w:r>
        <w:rPr>
          <w:rFonts w:hint="eastAsia" w:ascii="宋体 (正文)" w:hAnsi="宋体 (正文)" w:eastAsia="宋体 (正文)" w:cs="宋体 (正文)"/>
          <w:sz w:val="32"/>
          <w:szCs w:val="32"/>
        </w:rPr>
        <w:t>2020年本部门项目支出预算 233.23万元，主要是部门为完成特定行政工作任务或事业发展目标而发生的支出，包括有关事业发展专项、专项业务费、基本建设支出等，其中：</w:t>
      </w:r>
      <w:r>
        <w:rPr>
          <w:rFonts w:hint="eastAsia" w:ascii="宋体 (正文)" w:hAnsi="宋体 (正文)" w:eastAsia="宋体 (正文)" w:cs="宋体 (正文)"/>
          <w:bCs/>
          <w:sz w:val="32"/>
          <w:szCs w:val="32"/>
        </w:rPr>
        <w:t>结核病防治、二号病防治经费支出5万元，</w:t>
      </w:r>
      <w:r>
        <w:rPr>
          <w:rFonts w:hint="eastAsia" w:ascii="宋体 (正文)" w:hAnsi="宋体 (正文)" w:eastAsia="宋体 (正文)" w:cs="宋体 (正文)"/>
          <w:sz w:val="32"/>
          <w:szCs w:val="32"/>
        </w:rPr>
        <w:t>主要用于结核病防治等方面；</w:t>
      </w:r>
      <w:r>
        <w:rPr>
          <w:rFonts w:hint="eastAsia" w:ascii="宋体 (正文)" w:hAnsi="宋体 (正文)" w:eastAsia="宋体 (正文)" w:cs="宋体 (正文)"/>
          <w:bCs/>
          <w:sz w:val="32"/>
          <w:szCs w:val="32"/>
        </w:rPr>
        <w:t>灰质炎经费支出2万元，</w:t>
      </w:r>
      <w:r>
        <w:rPr>
          <w:rFonts w:hint="eastAsia" w:ascii="宋体 (正文)" w:hAnsi="宋体 (正文)" w:eastAsia="宋体 (正文)" w:cs="宋体 (正文)"/>
          <w:sz w:val="32"/>
          <w:szCs w:val="32"/>
        </w:rPr>
        <w:t>主要用于灰质炎防治等方面；</w:t>
      </w:r>
      <w:r>
        <w:rPr>
          <w:rFonts w:hint="eastAsia" w:ascii="宋体 (正文)" w:hAnsi="宋体 (正文)" w:eastAsia="宋体 (正文)" w:cs="宋体 (正文)"/>
          <w:bCs/>
          <w:sz w:val="32"/>
          <w:szCs w:val="32"/>
        </w:rPr>
        <w:t>偿还世行结核病防治贷款支出2.5万元</w:t>
      </w:r>
      <w:r>
        <w:rPr>
          <w:rFonts w:hint="eastAsia" w:ascii="宋体 (正文)" w:hAnsi="宋体 (正文)" w:eastAsia="宋体 (正文)" w:cs="宋体 (正文)"/>
          <w:sz w:val="32"/>
          <w:szCs w:val="32"/>
        </w:rPr>
        <w:t>主要用于结核病防治等方面；</w:t>
      </w:r>
      <w:r>
        <w:rPr>
          <w:rFonts w:hint="eastAsia" w:ascii="宋体 (正文)" w:hAnsi="宋体 (正文)" w:eastAsia="宋体 (正文)" w:cs="宋体 (正文)"/>
          <w:bCs/>
          <w:sz w:val="32"/>
          <w:szCs w:val="32"/>
        </w:rPr>
        <w:t>，儿童免费疫苗和注射及冷链经费支出33.73万元，</w:t>
      </w:r>
      <w:r>
        <w:rPr>
          <w:rFonts w:hint="eastAsia" w:ascii="宋体 (正文)" w:hAnsi="宋体 (正文)" w:eastAsia="宋体 (正文)" w:cs="宋体 (正文)"/>
          <w:sz w:val="32"/>
          <w:szCs w:val="32"/>
        </w:rPr>
        <w:t>主要用于儿童计划免疫防治等方面；</w:t>
      </w:r>
      <w:r>
        <w:rPr>
          <w:rFonts w:hint="eastAsia" w:ascii="宋体 (正文)" w:hAnsi="宋体 (正文)" w:eastAsia="宋体 (正文)" w:cs="宋体 (正文)"/>
          <w:bCs/>
          <w:sz w:val="32"/>
          <w:szCs w:val="32"/>
        </w:rPr>
        <w:t>预防性免费体检经费支出60万元，</w:t>
      </w:r>
      <w:r>
        <w:rPr>
          <w:rFonts w:hint="eastAsia" w:ascii="宋体 (正文)" w:hAnsi="宋体 (正文)" w:eastAsia="宋体 (正文)" w:cs="宋体 (正文)"/>
          <w:sz w:val="32"/>
          <w:szCs w:val="32"/>
        </w:rPr>
        <w:t>主要用于从业人员预防性健康体检等方面；</w:t>
      </w:r>
      <w:r>
        <w:rPr>
          <w:rFonts w:hint="eastAsia" w:ascii="宋体 (正文)" w:hAnsi="宋体 (正文)" w:eastAsia="宋体 (正文)" w:cs="宋体 (正文)"/>
          <w:bCs/>
          <w:sz w:val="32"/>
          <w:szCs w:val="32"/>
        </w:rPr>
        <w:t>卫生监测及设备维修（护）支出50万元，</w:t>
      </w:r>
      <w:r>
        <w:rPr>
          <w:rFonts w:hint="eastAsia" w:ascii="宋体 (正文)" w:hAnsi="宋体 (正文)" w:eastAsia="宋体 (正文)" w:cs="宋体 (正文)"/>
          <w:sz w:val="32"/>
          <w:szCs w:val="32"/>
        </w:rPr>
        <w:t>主要用于卫生监测及仪器设备维护等方面；</w:t>
      </w:r>
      <w:r>
        <w:rPr>
          <w:rFonts w:hint="eastAsia" w:ascii="宋体 (正文)" w:hAnsi="宋体 (正文)" w:eastAsia="宋体 (正文)" w:cs="宋体 (正文)"/>
          <w:bCs/>
          <w:sz w:val="32"/>
          <w:szCs w:val="32"/>
        </w:rPr>
        <w:t>入学新生肺结核筛查支出80万，</w:t>
      </w:r>
      <w:r>
        <w:rPr>
          <w:rFonts w:hint="eastAsia" w:ascii="宋体 (正文)" w:hAnsi="宋体 (正文)" w:eastAsia="宋体 (正文)" w:cs="宋体 (正文)"/>
          <w:sz w:val="32"/>
          <w:szCs w:val="32"/>
        </w:rPr>
        <w:t>主要用于入学新生肺结核筛查等方面</w:t>
      </w:r>
      <w:r>
        <w:rPr>
          <w:rFonts w:hint="eastAsia" w:ascii="宋体 (正文)" w:hAnsi="宋体 (正文)" w:eastAsia="宋体 (正文)" w:cs="宋体 (正文)"/>
          <w:bCs/>
          <w:sz w:val="32"/>
          <w:szCs w:val="32"/>
        </w:rPr>
        <w:t>。</w:t>
      </w:r>
    </w:p>
    <w:p>
      <w:pPr>
        <w:spacing w:line="520" w:lineRule="exact"/>
        <w:ind w:firstLine="640" w:firstLineChars="200"/>
        <w:rPr>
          <w:rFonts w:ascii="宋体" w:hAnsi="宋体"/>
          <w:sz w:val="30"/>
          <w:szCs w:val="30"/>
        </w:rPr>
      </w:pPr>
      <w:r>
        <w:rPr>
          <w:rFonts w:hint="eastAsia" w:asciiTheme="minorEastAsia" w:hAnsiTheme="minorEastAsia" w:eastAsiaTheme="minorEastAsia" w:cstheme="minorEastAsia"/>
          <w:sz w:val="32"/>
          <w:szCs w:val="32"/>
        </w:rPr>
        <w:t>项目经费与上年对比</w:t>
      </w:r>
      <w:r>
        <w:rPr>
          <w:rFonts w:hint="eastAsia" w:asciiTheme="minorEastAsia" w:hAnsiTheme="minorEastAsia" w:cstheme="minorEastAsia"/>
          <w:sz w:val="32"/>
          <w:szCs w:val="32"/>
          <w:lang w:eastAsia="zh-CN"/>
        </w:rPr>
        <w:t>没有减少</w:t>
      </w:r>
      <w:r>
        <w:rPr>
          <w:rFonts w:hint="eastAsia" w:asciiTheme="minorEastAsia" w:hAnsiTheme="minorEastAsia" w:eastAsiaTheme="minorEastAsia" w:cstheme="minorEastAsia"/>
          <w:sz w:val="32"/>
          <w:szCs w:val="32"/>
        </w:rPr>
        <w:t>。</w:t>
      </w:r>
    </w:p>
    <w:p>
      <w:pPr>
        <w:ind w:firstLine="600" w:firstLineChars="200"/>
        <w:rPr>
          <w:rFonts w:ascii="宋体" w:hAnsi="宋体"/>
          <w:sz w:val="30"/>
          <w:szCs w:val="30"/>
        </w:rPr>
      </w:pPr>
      <w:r>
        <w:rPr>
          <w:rFonts w:ascii="宋体" w:hAnsi="宋体"/>
          <w:sz w:val="30"/>
          <w:szCs w:val="30"/>
        </w:rPr>
        <w:t>（三）“三公”经费情况</w:t>
      </w:r>
    </w:p>
    <w:p>
      <w:pPr>
        <w:ind w:firstLine="600" w:firstLineChars="200"/>
        <w:rPr>
          <w:rFonts w:ascii="宋体" w:hAnsi="宋体"/>
          <w:sz w:val="30"/>
          <w:szCs w:val="30"/>
        </w:rPr>
      </w:pPr>
      <w:r>
        <w:rPr>
          <w:rFonts w:ascii="宋体" w:hAnsi="宋体"/>
          <w:sz w:val="30"/>
          <w:szCs w:val="30"/>
        </w:rPr>
        <w:t>1．因公出国（境）费用；</w:t>
      </w:r>
    </w:p>
    <w:p>
      <w:pPr>
        <w:ind w:firstLine="600" w:firstLineChars="200"/>
        <w:rPr>
          <w:rFonts w:hint="eastAsia" w:ascii="宋体" w:hAnsi="宋体" w:eastAsiaTheme="minorEastAsia"/>
          <w:sz w:val="30"/>
          <w:szCs w:val="30"/>
          <w:lang w:eastAsia="zh-CN"/>
        </w:rPr>
      </w:pPr>
      <w:r>
        <w:rPr>
          <w:rFonts w:hint="eastAsia" w:ascii="宋体" w:hAnsi="宋体"/>
          <w:sz w:val="30"/>
          <w:szCs w:val="30"/>
          <w:lang w:eastAsia="zh-CN"/>
        </w:rPr>
        <w:t>无</w:t>
      </w:r>
    </w:p>
    <w:p>
      <w:pPr>
        <w:numPr>
          <w:ilvl w:val="0"/>
          <w:numId w:val="2"/>
        </w:numPr>
        <w:ind w:firstLine="600" w:firstLineChars="200"/>
        <w:rPr>
          <w:rFonts w:ascii="宋体" w:hAnsi="宋体"/>
          <w:sz w:val="30"/>
          <w:szCs w:val="30"/>
        </w:rPr>
      </w:pPr>
      <w:r>
        <w:rPr>
          <w:rFonts w:ascii="宋体" w:hAnsi="宋体"/>
          <w:sz w:val="30"/>
          <w:szCs w:val="30"/>
        </w:rPr>
        <w:t>公务接待费；</w:t>
      </w:r>
    </w:p>
    <w:p>
      <w:pPr>
        <w:numPr>
          <w:ilvl w:val="0"/>
          <w:numId w:val="0"/>
        </w:numPr>
        <w:ind w:firstLine="600" w:firstLineChars="200"/>
        <w:rPr>
          <w:rFonts w:hint="eastAsia" w:ascii="宋体" w:hAnsi="宋体" w:eastAsiaTheme="minorEastAsia"/>
          <w:sz w:val="30"/>
          <w:szCs w:val="30"/>
          <w:lang w:eastAsia="zh-CN"/>
        </w:rPr>
      </w:pPr>
      <w:r>
        <w:rPr>
          <w:rFonts w:hint="eastAsia" w:ascii="宋体" w:hAnsi="宋体"/>
          <w:sz w:val="30"/>
          <w:szCs w:val="30"/>
          <w:lang w:eastAsia="zh-CN"/>
        </w:rPr>
        <w:t>无</w:t>
      </w:r>
    </w:p>
    <w:p>
      <w:pPr>
        <w:numPr>
          <w:ilvl w:val="0"/>
          <w:numId w:val="2"/>
        </w:numPr>
        <w:ind w:left="0" w:leftChars="0" w:firstLine="600" w:firstLineChars="200"/>
        <w:rPr>
          <w:rFonts w:ascii="宋体" w:hAnsi="宋体"/>
          <w:sz w:val="30"/>
          <w:szCs w:val="30"/>
        </w:rPr>
      </w:pPr>
      <w:r>
        <w:rPr>
          <w:rFonts w:ascii="宋体" w:hAnsi="宋体"/>
          <w:sz w:val="30"/>
          <w:szCs w:val="30"/>
        </w:rPr>
        <w:t>公务用车购置及运行费。</w:t>
      </w:r>
    </w:p>
    <w:p>
      <w:pPr>
        <w:ind w:firstLine="640" w:firstLineChars="200"/>
        <w:rPr>
          <w:rFonts w:hint="eastAsia" w:ascii="宋体" w:hAnsi="宋体" w:eastAsia="宋体"/>
          <w:sz w:val="30"/>
          <w:szCs w:val="30"/>
          <w:lang w:eastAsia="zh-CN"/>
        </w:rPr>
      </w:pPr>
      <w:r>
        <w:rPr>
          <w:rFonts w:hint="eastAsia" w:ascii="仿宋_GB2312" w:hAnsi="仿宋_GB2312" w:cs="仿宋_GB2312"/>
          <w:sz w:val="32"/>
          <w:szCs w:val="32"/>
        </w:rPr>
        <w:t>因公出国出</w:t>
      </w:r>
      <w:r>
        <w:rPr>
          <w:rFonts w:ascii="仿宋_GB2312" w:hAnsi="仿宋_GB2312" w:cs="仿宋_GB2312"/>
          <w:sz w:val="32"/>
          <w:szCs w:val="32"/>
        </w:rPr>
        <w:t>(</w:t>
      </w:r>
      <w:r>
        <w:rPr>
          <w:rFonts w:hint="eastAsia" w:ascii="仿宋_GB2312" w:hAnsi="仿宋_GB2312" w:cs="仿宋_GB2312"/>
          <w:sz w:val="32"/>
          <w:szCs w:val="32"/>
        </w:rPr>
        <w:t>境</w:t>
      </w:r>
      <w:r>
        <w:rPr>
          <w:rFonts w:ascii="仿宋_GB2312" w:hAnsi="仿宋_GB2312" w:cs="仿宋_GB2312"/>
          <w:sz w:val="32"/>
          <w:szCs w:val="32"/>
        </w:rPr>
        <w:t>)</w:t>
      </w:r>
      <w:r>
        <w:rPr>
          <w:rFonts w:hint="eastAsia" w:ascii="仿宋_GB2312" w:hAnsi="仿宋_GB2312" w:cs="仿宋_GB2312"/>
          <w:sz w:val="32"/>
          <w:szCs w:val="32"/>
        </w:rPr>
        <w:t>费</w:t>
      </w:r>
      <w:r>
        <w:rPr>
          <w:rFonts w:ascii="仿宋_GB2312" w:eastAsia="仿宋_GB2312" w:cs="仿宋_GB2312"/>
          <w:bCs/>
          <w:sz w:val="32"/>
          <w:szCs w:val="32"/>
        </w:rPr>
        <w:t>0</w:t>
      </w:r>
      <w:r>
        <w:rPr>
          <w:rFonts w:hint="eastAsia" w:ascii="仿宋_GB2312" w:hAnsi="仿宋_GB2312" w:cs="仿宋_GB2312"/>
          <w:sz w:val="32"/>
          <w:szCs w:val="32"/>
        </w:rPr>
        <w:t>万元、公务接待费</w:t>
      </w:r>
      <w:r>
        <w:rPr>
          <w:rFonts w:hint="eastAsia" w:ascii="仿宋_GB2312" w:eastAsia="仿宋_GB2312" w:cs="仿宋_GB2312"/>
          <w:bCs/>
          <w:sz w:val="32"/>
          <w:szCs w:val="32"/>
          <w:lang w:val="en-US" w:eastAsia="zh-CN"/>
        </w:rPr>
        <w:t>0</w:t>
      </w:r>
      <w:r>
        <w:rPr>
          <w:rFonts w:hint="eastAsia" w:ascii="仿宋_GB2312" w:hAnsi="仿宋_GB2312" w:cs="仿宋_GB2312"/>
          <w:sz w:val="32"/>
          <w:szCs w:val="32"/>
        </w:rPr>
        <w:t>万元、公务用车购置及运行维护费</w:t>
      </w:r>
      <w:r>
        <w:rPr>
          <w:rFonts w:hint="eastAsia" w:ascii="仿宋_GB2312" w:hAnsi="仿宋_GB2312" w:cs="仿宋_GB2312"/>
          <w:bCs/>
          <w:sz w:val="32"/>
          <w:szCs w:val="32"/>
          <w:lang w:val="en-US" w:eastAsia="zh-CN"/>
        </w:rPr>
        <w:t>5.478</w:t>
      </w:r>
      <w:r>
        <w:rPr>
          <w:rFonts w:hint="eastAsia" w:ascii="仿宋_GB2312" w:hAnsi="仿宋_GB2312" w:cs="仿宋_GB2312"/>
          <w:sz w:val="32"/>
          <w:szCs w:val="32"/>
        </w:rPr>
        <w:t>万元，（其中公务用车购置</w:t>
      </w:r>
      <w:r>
        <w:rPr>
          <w:rFonts w:ascii="仿宋_GB2312" w:eastAsia="仿宋_GB2312" w:cs="仿宋_GB2312"/>
          <w:bCs/>
          <w:sz w:val="32"/>
          <w:szCs w:val="32"/>
        </w:rPr>
        <w:t>0</w:t>
      </w:r>
      <w:r>
        <w:rPr>
          <w:rFonts w:hint="eastAsia" w:ascii="仿宋_GB2312" w:hAnsi="仿宋_GB2312" w:cs="仿宋_GB2312"/>
          <w:sz w:val="32"/>
          <w:szCs w:val="32"/>
        </w:rPr>
        <w:t>万元、公务用车运行维护费</w:t>
      </w:r>
      <w:r>
        <w:rPr>
          <w:rFonts w:hint="eastAsia" w:ascii="仿宋_GB2312" w:hAnsi="仿宋_GB2312" w:cs="仿宋_GB2312"/>
          <w:bCs/>
          <w:sz w:val="32"/>
          <w:szCs w:val="32"/>
          <w:lang w:val="en-US" w:eastAsia="zh-CN"/>
        </w:rPr>
        <w:t>5.478</w:t>
      </w:r>
      <w:r>
        <w:rPr>
          <w:rFonts w:hint="eastAsia" w:ascii="仿宋_GB2312" w:hAnsi="仿宋_GB2312" w:cs="仿宋_GB2312"/>
          <w:sz w:val="32"/>
          <w:szCs w:val="32"/>
        </w:rPr>
        <w:t>万元）。</w:t>
      </w:r>
      <w:r>
        <w:rPr>
          <w:rFonts w:ascii="仿宋_GB2312" w:hAnsi="仿宋_GB2312" w:cs="仿宋_GB2312"/>
          <w:sz w:val="32"/>
          <w:szCs w:val="32"/>
        </w:rPr>
        <w:t>20</w:t>
      </w:r>
      <w:r>
        <w:rPr>
          <w:rFonts w:hint="eastAsia" w:ascii="仿宋_GB2312" w:hAnsi="仿宋_GB2312" w:cs="仿宋_GB2312"/>
          <w:sz w:val="32"/>
          <w:szCs w:val="32"/>
          <w:lang w:val="en-US" w:eastAsia="zh-CN"/>
        </w:rPr>
        <w:t>20</w:t>
      </w:r>
      <w:r>
        <w:rPr>
          <w:rFonts w:hint="eastAsia" w:ascii="仿宋_GB2312" w:hAnsi="仿宋_GB2312" w:cs="仿宋_GB2312"/>
          <w:sz w:val="32"/>
          <w:szCs w:val="32"/>
        </w:rPr>
        <w:t>年公务用车购置及运行维护费比上年实际支出减少</w:t>
      </w:r>
      <w:r>
        <w:rPr>
          <w:rFonts w:hint="eastAsia" w:ascii="仿宋_GB2312" w:hAnsi="仿宋_GB2312" w:cs="仿宋_GB2312"/>
          <w:sz w:val="32"/>
          <w:szCs w:val="32"/>
          <w:lang w:val="en-US" w:eastAsia="zh-CN"/>
        </w:rPr>
        <w:t>4</w:t>
      </w:r>
      <w:r>
        <w:rPr>
          <w:rFonts w:hint="eastAsia" w:ascii="仿宋_GB2312" w:hAnsi="仿宋_GB2312" w:cs="仿宋_GB2312"/>
          <w:sz w:val="32"/>
          <w:szCs w:val="32"/>
        </w:rPr>
        <w:t>万元。</w:t>
      </w:r>
      <w:r>
        <w:rPr>
          <w:rFonts w:hint="eastAsia" w:ascii="仿宋_GB2312" w:hAnsi="仿宋_GB2312" w:cs="仿宋_GB2312"/>
          <w:sz w:val="32"/>
          <w:szCs w:val="32"/>
          <w:lang w:eastAsia="zh-CN"/>
        </w:rPr>
        <w:t>主要是公务用车减少。</w:t>
      </w:r>
    </w:p>
    <w:p>
      <w:pPr>
        <w:ind w:firstLine="602" w:firstLineChars="200"/>
        <w:rPr>
          <w:rFonts w:ascii="宋体" w:hAnsi="宋体"/>
          <w:b/>
          <w:sz w:val="30"/>
          <w:szCs w:val="30"/>
        </w:rPr>
      </w:pPr>
      <w:r>
        <w:rPr>
          <w:rFonts w:ascii="宋体" w:hAnsi="宋体"/>
          <w:b/>
          <w:sz w:val="30"/>
          <w:szCs w:val="30"/>
        </w:rPr>
        <w:t>三、部门整体支出绩效情况</w:t>
      </w:r>
    </w:p>
    <w:p>
      <w:pPr>
        <w:ind w:firstLine="600" w:firstLineChars="200"/>
        <w:rPr>
          <w:rFonts w:hint="eastAsia" w:ascii="宋体" w:hAnsi="宋体"/>
          <w:sz w:val="30"/>
          <w:szCs w:val="30"/>
        </w:rPr>
      </w:pPr>
      <w:r>
        <w:rPr>
          <w:rFonts w:ascii="宋体" w:hAnsi="宋体"/>
          <w:sz w:val="30"/>
          <w:szCs w:val="30"/>
        </w:rPr>
        <w:t>说明支出的主要绩效。</w:t>
      </w:r>
      <w:r>
        <w:rPr>
          <w:rFonts w:hint="eastAsia" w:ascii="宋体" w:hAnsi="宋体"/>
          <w:sz w:val="30"/>
          <w:szCs w:val="30"/>
        </w:rPr>
        <w:t>一是绩效目标完成情况；二是未完成指标的原因以及已完成指标且超出指标目标值30%以上的原因分析</w:t>
      </w:r>
    </w:p>
    <w:p>
      <w:pPr>
        <w:spacing w:line="520" w:lineRule="exact"/>
        <w:ind w:firstLine="600" w:firstLineChars="200"/>
        <w:rPr>
          <w:rFonts w:ascii="宋体"/>
          <w:sz w:val="30"/>
          <w:szCs w:val="30"/>
        </w:rPr>
      </w:pPr>
      <w:r>
        <w:rPr>
          <w:rFonts w:hint="eastAsia" w:ascii="宋体" w:hAnsi="宋体"/>
          <w:sz w:val="30"/>
          <w:szCs w:val="30"/>
        </w:rPr>
        <w:t>一是绩效专项资金培训人员达到总体要求</w:t>
      </w:r>
      <w:r>
        <w:rPr>
          <w:rFonts w:ascii="宋体" w:hAnsi="宋体"/>
          <w:sz w:val="30"/>
          <w:szCs w:val="30"/>
        </w:rPr>
        <w:t>95%</w:t>
      </w:r>
      <w:r>
        <w:rPr>
          <w:rFonts w:hint="eastAsia" w:ascii="宋体" w:hAnsi="宋体"/>
          <w:sz w:val="30"/>
          <w:szCs w:val="30"/>
        </w:rPr>
        <w:t>，各项目按计划执行，</w:t>
      </w:r>
      <w:r>
        <w:rPr>
          <w:rFonts w:ascii="宋体" w:hAnsi="宋体"/>
          <w:sz w:val="30"/>
          <w:szCs w:val="30"/>
        </w:rPr>
        <w:t>100%</w:t>
      </w:r>
      <w:r>
        <w:rPr>
          <w:rFonts w:hint="eastAsia" w:ascii="宋体" w:hAnsi="宋体"/>
          <w:sz w:val="30"/>
          <w:szCs w:val="30"/>
        </w:rPr>
        <w:t>完成任务</w:t>
      </w:r>
      <w:r>
        <w:rPr>
          <w:rFonts w:ascii="宋体" w:hAnsi="宋体"/>
          <w:sz w:val="30"/>
          <w:szCs w:val="30"/>
        </w:rPr>
        <w:t xml:space="preserve"> </w:t>
      </w:r>
      <w:r>
        <w:rPr>
          <w:rFonts w:hint="eastAsia" w:ascii="宋体" w:hAnsi="宋体"/>
          <w:sz w:val="30"/>
          <w:szCs w:val="30"/>
        </w:rPr>
        <w:t>，</w:t>
      </w:r>
      <w:r>
        <w:rPr>
          <w:rFonts w:ascii="宋体" w:hAnsi="宋体"/>
          <w:sz w:val="30"/>
          <w:szCs w:val="30"/>
        </w:rPr>
        <w:t xml:space="preserve"> </w:t>
      </w:r>
      <w:r>
        <w:rPr>
          <w:rFonts w:hint="eastAsia" w:ascii="宋体" w:hAnsi="宋体"/>
          <w:sz w:val="30"/>
          <w:szCs w:val="30"/>
        </w:rPr>
        <w:t>提高办事效率，群众满意度提高。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宋体" w:hAnsi="宋体"/>
          <w:sz w:val="30"/>
          <w:szCs w:val="30"/>
          <w:lang w:eastAsia="zh-CN"/>
        </w:rPr>
      </w:pPr>
      <w:r>
        <w:rPr>
          <w:rFonts w:ascii="宋体" w:hAnsi="宋体"/>
          <w:sz w:val="30"/>
          <w:szCs w:val="30"/>
        </w:rPr>
        <w:t>1</w:t>
      </w:r>
      <w:r>
        <w:rPr>
          <w:rFonts w:hint="eastAsia" w:ascii="宋体" w:hAnsi="宋体"/>
          <w:sz w:val="30"/>
          <w:szCs w:val="30"/>
          <w:lang w:eastAsia="zh-CN"/>
        </w:rPr>
        <w:t>、</w:t>
      </w:r>
      <w:r>
        <w:rPr>
          <w:rFonts w:ascii="宋体" w:hAnsi="宋体"/>
          <w:sz w:val="30"/>
          <w:szCs w:val="30"/>
        </w:rPr>
        <w:t>20</w:t>
      </w:r>
      <w:r>
        <w:rPr>
          <w:rFonts w:hint="eastAsia" w:ascii="宋体" w:hAnsi="宋体"/>
          <w:sz w:val="30"/>
          <w:szCs w:val="30"/>
          <w:lang w:val="en-US" w:eastAsia="zh-CN"/>
        </w:rPr>
        <w:t>20</w:t>
      </w:r>
      <w:r>
        <w:rPr>
          <w:rFonts w:hint="eastAsia" w:ascii="宋体" w:hAnsi="宋体"/>
          <w:sz w:val="30"/>
          <w:szCs w:val="30"/>
        </w:rPr>
        <w:t>年节约三公经费</w:t>
      </w:r>
      <w:r>
        <w:rPr>
          <w:rFonts w:hint="eastAsia" w:ascii="宋体" w:hAnsi="宋体"/>
          <w:sz w:val="30"/>
          <w:szCs w:val="30"/>
          <w:lang w:val="en-US" w:eastAsia="zh-CN"/>
        </w:rPr>
        <w:t>4万元</w:t>
      </w:r>
      <w:r>
        <w:rPr>
          <w:rFonts w:hint="eastAsia" w:ascii="宋体" w:hAnsi="宋体"/>
          <w:sz w:val="30"/>
          <w:szCs w:val="3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宋体" w:hAnsi="宋体"/>
          <w:sz w:val="30"/>
          <w:szCs w:val="30"/>
        </w:rPr>
      </w:pPr>
      <w:r>
        <w:rPr>
          <w:rFonts w:hint="eastAsia" w:ascii="宋体" w:hAnsi="宋体"/>
          <w:sz w:val="30"/>
          <w:szCs w:val="30"/>
          <w:lang w:val="en-US" w:eastAsia="zh-CN"/>
        </w:rPr>
        <w:t>2、</w:t>
      </w:r>
      <w:r>
        <w:rPr>
          <w:rFonts w:hint="eastAsia" w:ascii="宋体" w:hAnsi="宋体"/>
          <w:sz w:val="30"/>
          <w:szCs w:val="30"/>
        </w:rPr>
        <w:t>非税收入完成</w:t>
      </w:r>
      <w:r>
        <w:rPr>
          <w:rFonts w:hint="eastAsia" w:ascii="宋体" w:hAnsi="宋体"/>
          <w:sz w:val="30"/>
          <w:szCs w:val="30"/>
          <w:lang w:val="en-US" w:eastAsia="zh-CN"/>
        </w:rPr>
        <w:t>1867.22</w:t>
      </w:r>
      <w:r>
        <w:rPr>
          <w:rFonts w:hint="eastAsia" w:ascii="宋体" w:hAnsi="宋体"/>
          <w:sz w:val="30"/>
          <w:szCs w:val="30"/>
        </w:rPr>
        <w:t>万元，均及时全额上缴国库。</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宋体" w:hAnsi="宋体" w:eastAsiaTheme="minorEastAsia"/>
          <w:sz w:val="30"/>
          <w:szCs w:val="30"/>
          <w:lang w:eastAsia="zh-CN"/>
        </w:rPr>
      </w:pPr>
      <w:r>
        <w:rPr>
          <w:rFonts w:hint="eastAsia" w:ascii="宋体" w:hAnsi="宋体"/>
          <w:sz w:val="30"/>
          <w:szCs w:val="30"/>
          <w:lang w:val="en-US" w:eastAsia="zh-CN"/>
        </w:rPr>
        <w:t>3、</w:t>
      </w:r>
      <w:r>
        <w:rPr>
          <w:rFonts w:hint="eastAsia" w:ascii="宋体" w:hAnsi="宋体"/>
          <w:sz w:val="30"/>
          <w:szCs w:val="30"/>
        </w:rPr>
        <w:t>固定资产做到账表、账实、账账、账卡相符，固定资产利用率为</w:t>
      </w:r>
      <w:r>
        <w:rPr>
          <w:rFonts w:ascii="宋体" w:hAnsi="宋体"/>
          <w:sz w:val="30"/>
          <w:szCs w:val="30"/>
        </w:rPr>
        <w:t>100%</w:t>
      </w:r>
      <w:r>
        <w:rPr>
          <w:rFonts w:hint="eastAsia" w:ascii="宋体" w:hAnsi="宋体"/>
          <w:sz w:val="30"/>
          <w:szCs w:val="30"/>
          <w:lang w:eastAsia="zh-CN"/>
        </w:rPr>
        <w:t>。</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宋体" w:hAnsi="宋体"/>
          <w:sz w:val="30"/>
          <w:szCs w:val="30"/>
        </w:rPr>
      </w:pPr>
      <w:r>
        <w:rPr>
          <w:rFonts w:ascii="宋体" w:hAnsi="宋体"/>
          <w:sz w:val="30"/>
          <w:szCs w:val="30"/>
        </w:rPr>
        <w:t>4</w:t>
      </w:r>
      <w:r>
        <w:rPr>
          <w:rFonts w:hint="eastAsia" w:ascii="宋体" w:hAnsi="宋体"/>
          <w:sz w:val="30"/>
          <w:szCs w:val="30"/>
          <w:lang w:eastAsia="zh-CN"/>
        </w:rPr>
        <w:t>、</w:t>
      </w:r>
      <w:r>
        <w:rPr>
          <w:rFonts w:hint="eastAsia" w:ascii="宋体" w:hAnsi="宋体"/>
          <w:sz w:val="30"/>
          <w:szCs w:val="30"/>
        </w:rPr>
        <w:t>专项绩效：（</w:t>
      </w:r>
      <w:r>
        <w:rPr>
          <w:rFonts w:ascii="宋体" w:hAnsi="宋体"/>
          <w:sz w:val="30"/>
          <w:szCs w:val="30"/>
        </w:rPr>
        <w:t>1</w:t>
      </w:r>
      <w:r>
        <w:rPr>
          <w:rFonts w:hint="eastAsia" w:ascii="宋体" w:hAnsi="宋体"/>
          <w:sz w:val="30"/>
          <w:szCs w:val="30"/>
        </w:rPr>
        <w:t>）贯彻落实：“预防为主”的卫生工作方针。建成健全、运行有效的疫苗安全的服务体系，降低疫苗可控疾病的发病率（</w:t>
      </w:r>
      <w:r>
        <w:rPr>
          <w:rFonts w:ascii="宋体" w:hAnsi="宋体"/>
          <w:sz w:val="30"/>
          <w:szCs w:val="30"/>
        </w:rPr>
        <w:t>2</w:t>
      </w:r>
      <w:r>
        <w:rPr>
          <w:rFonts w:hint="eastAsia" w:ascii="宋体" w:hAnsi="宋体"/>
          <w:sz w:val="30"/>
          <w:szCs w:val="30"/>
        </w:rPr>
        <w:t>）做好免疫规划疫苗接种工作，加强疫苗管理，加大宣传培训工作力度，及时规范处置疑似预防接种异常反应。（</w:t>
      </w:r>
      <w:r>
        <w:rPr>
          <w:rFonts w:ascii="宋体" w:hAnsi="宋体"/>
          <w:sz w:val="30"/>
          <w:szCs w:val="30"/>
        </w:rPr>
        <w:t>3</w:t>
      </w:r>
      <w:r>
        <w:rPr>
          <w:rFonts w:hint="eastAsia" w:ascii="宋体" w:hAnsi="宋体"/>
          <w:sz w:val="30"/>
          <w:szCs w:val="30"/>
        </w:rPr>
        <w:t>）确保冷链运转正常运行，保障全区疫苗的正常供给和安全有效；（</w:t>
      </w:r>
      <w:r>
        <w:rPr>
          <w:rFonts w:ascii="宋体" w:hAnsi="宋体"/>
          <w:sz w:val="30"/>
          <w:szCs w:val="30"/>
        </w:rPr>
        <w:t>4</w:t>
      </w:r>
      <w:r>
        <w:rPr>
          <w:rFonts w:hint="eastAsia" w:ascii="宋体" w:hAnsi="宋体"/>
          <w:sz w:val="30"/>
          <w:szCs w:val="30"/>
        </w:rPr>
        <w:t>）全区适龄儿童脊灰疫苗全程接种率持续保持在</w:t>
      </w:r>
      <w:r>
        <w:rPr>
          <w:rFonts w:ascii="宋体" w:hAnsi="宋体"/>
          <w:sz w:val="30"/>
          <w:szCs w:val="30"/>
        </w:rPr>
        <w:t>95%</w:t>
      </w:r>
      <w:r>
        <w:rPr>
          <w:rFonts w:hint="eastAsia" w:ascii="宋体" w:hAnsi="宋体"/>
          <w:sz w:val="30"/>
          <w:szCs w:val="30"/>
        </w:rPr>
        <w:t>以上，继续维持无脊灰状态，切实巩固消除脊灰成果；（</w:t>
      </w:r>
      <w:r>
        <w:rPr>
          <w:rFonts w:ascii="宋体" w:hAnsi="宋体"/>
          <w:sz w:val="30"/>
          <w:szCs w:val="30"/>
        </w:rPr>
        <w:t>5</w:t>
      </w:r>
      <w:r>
        <w:rPr>
          <w:rFonts w:hint="eastAsia" w:ascii="宋体" w:hAnsi="宋体"/>
          <w:sz w:val="30"/>
          <w:szCs w:val="30"/>
        </w:rPr>
        <w:t>）进一步减少结核感染、患病和死亡，降低发病率，报告肺结核患者和疑似肺结核患者的总体到位率</w:t>
      </w:r>
      <w:r>
        <w:rPr>
          <w:rFonts w:ascii="宋体" w:hAnsi="宋体"/>
          <w:sz w:val="30"/>
          <w:szCs w:val="30"/>
        </w:rPr>
        <w:t>90%</w:t>
      </w:r>
      <w:r>
        <w:rPr>
          <w:rFonts w:hint="eastAsia" w:ascii="宋体" w:hAnsi="宋体"/>
          <w:sz w:val="30"/>
          <w:szCs w:val="30"/>
        </w:rPr>
        <w:t>及结核病防治核心信息知晓率达到</w:t>
      </w:r>
      <w:r>
        <w:rPr>
          <w:rFonts w:ascii="宋体" w:hAnsi="宋体"/>
          <w:sz w:val="30"/>
          <w:szCs w:val="30"/>
        </w:rPr>
        <w:t>85%</w:t>
      </w:r>
      <w:r>
        <w:rPr>
          <w:rFonts w:hint="eastAsia" w:ascii="宋体" w:hAnsi="宋体"/>
          <w:sz w:val="30"/>
          <w:szCs w:val="30"/>
        </w:rPr>
        <w:t>；（</w:t>
      </w:r>
      <w:r>
        <w:rPr>
          <w:rFonts w:ascii="宋体" w:hAnsi="宋体"/>
          <w:sz w:val="30"/>
          <w:szCs w:val="30"/>
        </w:rPr>
        <w:t>6</w:t>
      </w:r>
      <w:r>
        <w:rPr>
          <w:rFonts w:hint="eastAsia" w:ascii="宋体" w:hAnsi="宋体"/>
          <w:sz w:val="30"/>
          <w:szCs w:val="30"/>
        </w:rPr>
        <w:t>）霍乱监测各项指标完成率</w:t>
      </w:r>
      <w:r>
        <w:rPr>
          <w:rFonts w:ascii="宋体" w:hAnsi="宋体"/>
          <w:sz w:val="30"/>
          <w:szCs w:val="30"/>
        </w:rPr>
        <w:t>100%</w:t>
      </w:r>
      <w:r>
        <w:rPr>
          <w:rFonts w:hint="eastAsia" w:ascii="宋体" w:hAnsi="宋体"/>
          <w:sz w:val="30"/>
          <w:szCs w:val="30"/>
        </w:rPr>
        <w:t>，霍乱疫情处置规范，无霍乱疫情处置不力，</w:t>
      </w:r>
      <w:r>
        <w:rPr>
          <w:rFonts w:ascii="宋体" w:hAnsi="宋体"/>
          <w:sz w:val="30"/>
          <w:szCs w:val="30"/>
        </w:rPr>
        <w:t xml:space="preserve"> </w:t>
      </w:r>
      <w:r>
        <w:rPr>
          <w:rFonts w:hint="eastAsia" w:ascii="宋体" w:hAnsi="宋体"/>
          <w:sz w:val="30"/>
          <w:szCs w:val="30"/>
        </w:rPr>
        <w:t>在应对突发公共卫生事件、传染病疫情、食品药品安全、重大公共卫生安全保障等方面取得了在效，为制定有效的预防控制措施提供科学依据。</w:t>
      </w:r>
      <w:r>
        <w:rPr>
          <w:rFonts w:ascii="宋体" w:hAnsi="宋体"/>
          <w:sz w:val="30"/>
          <w:szCs w:val="30"/>
        </w:rPr>
        <w:t>(7)</w:t>
      </w:r>
      <w:r>
        <w:rPr>
          <w:rFonts w:hint="eastAsia" w:ascii="宋体" w:hAnsi="宋体"/>
          <w:sz w:val="30"/>
          <w:szCs w:val="30"/>
        </w:rPr>
        <w:t>做好全区预防性免费健康体检</w:t>
      </w:r>
      <w:r>
        <w:rPr>
          <w:rFonts w:ascii="宋体" w:hAnsi="宋体"/>
          <w:sz w:val="30"/>
          <w:szCs w:val="30"/>
        </w:rPr>
        <w:t>.(8)</w:t>
      </w:r>
      <w:r>
        <w:rPr>
          <w:rFonts w:hint="eastAsia" w:ascii="宋体" w:hAnsi="宋体"/>
          <w:sz w:val="30"/>
          <w:szCs w:val="30"/>
        </w:rPr>
        <w:t>做好全区公共场所卫生监测，水质监测及全区中小学卫生监测及生活饮用水监测。完成省市下达的检验监测任务以及食品风险任务。（</w:t>
      </w:r>
      <w:r>
        <w:rPr>
          <w:rFonts w:ascii="宋体" w:hAnsi="宋体"/>
          <w:sz w:val="30"/>
          <w:szCs w:val="30"/>
        </w:rPr>
        <w:t>9</w:t>
      </w:r>
      <w:r>
        <w:rPr>
          <w:rFonts w:hint="eastAsia" w:ascii="宋体" w:hAnsi="宋体"/>
          <w:sz w:val="30"/>
          <w:szCs w:val="30"/>
        </w:rPr>
        <w:t>）重点传染病发生时不出现因防控不力现象导致疫情扩散现象。（</w:t>
      </w:r>
      <w:r>
        <w:rPr>
          <w:rFonts w:ascii="宋体" w:hAnsi="宋体"/>
          <w:sz w:val="30"/>
          <w:szCs w:val="30"/>
        </w:rPr>
        <w:t>10</w:t>
      </w:r>
      <w:r>
        <w:rPr>
          <w:rFonts w:hint="eastAsia" w:ascii="宋体" w:hAnsi="宋体"/>
          <w:sz w:val="30"/>
          <w:szCs w:val="30"/>
        </w:rPr>
        <w:t>）新生入学结核菌筛查一是对辖区内各类各级学校开展结核病防控知识培训；开展辖区内各级各类学校入学新生结核病筛查；调查处理学校结核病疫情，对学生和教职员工肺结核病例的密切接触者进行结核病筛查；是对学校结核病防控进行技术指导和督导。</w:t>
      </w:r>
    </w:p>
    <w:p>
      <w:pPr>
        <w:ind w:firstLine="600" w:firstLineChars="200"/>
        <w:rPr>
          <w:rFonts w:hint="eastAsia" w:ascii="宋体" w:hAnsi="宋体"/>
          <w:sz w:val="30"/>
          <w:szCs w:val="30"/>
          <w:lang w:eastAsia="zh-CN"/>
        </w:rPr>
      </w:pPr>
      <w:r>
        <w:rPr>
          <w:rFonts w:hint="eastAsia" w:ascii="宋体" w:hAnsi="宋体"/>
          <w:sz w:val="30"/>
          <w:szCs w:val="30"/>
        </w:rPr>
        <w:t>二是未完成指标的原因以及已完成指标且超出指标目标值30%以上的原因分析</w:t>
      </w:r>
      <w:r>
        <w:rPr>
          <w:rFonts w:hint="eastAsia" w:ascii="宋体" w:hAnsi="宋体"/>
          <w:sz w:val="30"/>
          <w:szCs w:val="30"/>
          <w:lang w:eastAsia="zh-CN"/>
        </w:rPr>
        <w:t>；</w:t>
      </w:r>
    </w:p>
    <w:p>
      <w:pPr>
        <w:ind w:firstLine="600" w:firstLineChars="200"/>
        <w:rPr>
          <w:rFonts w:hint="eastAsia" w:ascii="宋体" w:hAnsi="宋体"/>
          <w:sz w:val="30"/>
          <w:szCs w:val="30"/>
          <w:lang w:eastAsia="zh-CN"/>
        </w:rPr>
      </w:pPr>
      <w:r>
        <w:rPr>
          <w:rFonts w:hint="eastAsia" w:ascii="宋体" w:hAnsi="宋体"/>
          <w:sz w:val="30"/>
          <w:szCs w:val="30"/>
          <w:lang w:eastAsia="zh-CN"/>
        </w:rPr>
        <w:t>无</w:t>
      </w:r>
    </w:p>
    <w:p>
      <w:pPr>
        <w:numPr>
          <w:ilvl w:val="0"/>
          <w:numId w:val="3"/>
        </w:numPr>
        <w:ind w:firstLine="602" w:firstLineChars="200"/>
        <w:rPr>
          <w:rFonts w:hint="eastAsia" w:ascii="宋体" w:hAnsi="宋体"/>
          <w:b/>
          <w:sz w:val="30"/>
          <w:szCs w:val="30"/>
        </w:rPr>
      </w:pPr>
      <w:r>
        <w:rPr>
          <w:rFonts w:hint="eastAsia" w:ascii="宋体" w:hAnsi="宋体"/>
          <w:b/>
          <w:sz w:val="30"/>
          <w:szCs w:val="30"/>
        </w:rPr>
        <w:t>绩效自评得分情况及绩效等级。</w:t>
      </w:r>
    </w:p>
    <w:p>
      <w:pPr>
        <w:numPr>
          <w:ilvl w:val="0"/>
          <w:numId w:val="0"/>
        </w:numPr>
        <w:rPr>
          <w:rFonts w:hint="eastAsia" w:ascii="宋体" w:hAnsi="宋体"/>
          <w:b/>
          <w:sz w:val="30"/>
          <w:szCs w:val="30"/>
        </w:rPr>
      </w:pPr>
      <w:r>
        <w:rPr>
          <w:rFonts w:hint="eastAsia" w:ascii="宋体" w:hAnsi="宋体"/>
          <w:b/>
          <w:sz w:val="30"/>
          <w:szCs w:val="30"/>
          <w:lang w:val="en-US" w:eastAsia="zh-CN"/>
        </w:rPr>
        <w:t xml:space="preserve"> </w:t>
      </w:r>
      <w:r>
        <w:rPr>
          <w:rFonts w:hint="eastAsia" w:ascii="宋体" w:hAnsi="宋体" w:cs="宋体"/>
          <w:sz w:val="32"/>
          <w:szCs w:val="32"/>
        </w:rPr>
        <w:t>我单位自评为</w:t>
      </w:r>
      <w:r>
        <w:rPr>
          <w:rFonts w:hint="eastAsia" w:ascii="宋体" w:hAnsi="宋体" w:cs="宋体"/>
          <w:sz w:val="32"/>
          <w:szCs w:val="32"/>
          <w:lang w:val="en-US" w:eastAsia="zh-CN"/>
        </w:rPr>
        <w:t>97</w:t>
      </w:r>
      <w:r>
        <w:rPr>
          <w:rFonts w:hint="eastAsia" w:ascii="宋体" w:hAnsi="宋体" w:cs="宋体"/>
          <w:sz w:val="32"/>
          <w:szCs w:val="32"/>
        </w:rPr>
        <w:t>分，绩效评价等级为“良”。</w:t>
      </w:r>
    </w:p>
    <w:p>
      <w:pPr>
        <w:numPr>
          <w:ilvl w:val="0"/>
          <w:numId w:val="3"/>
        </w:numPr>
        <w:ind w:left="0" w:leftChars="0" w:firstLine="602" w:firstLineChars="200"/>
        <w:rPr>
          <w:rFonts w:ascii="宋体" w:hAnsi="宋体"/>
          <w:b/>
          <w:sz w:val="30"/>
          <w:szCs w:val="30"/>
        </w:rPr>
      </w:pPr>
      <w:r>
        <w:rPr>
          <w:rFonts w:ascii="宋体" w:hAnsi="宋体"/>
          <w:b/>
          <w:sz w:val="30"/>
          <w:szCs w:val="30"/>
        </w:rPr>
        <w:t>存在的问题</w:t>
      </w:r>
    </w:p>
    <w:p>
      <w:pPr>
        <w:numPr>
          <w:ilvl w:val="0"/>
          <w:numId w:val="0"/>
        </w:numPr>
        <w:ind w:leftChars="200"/>
        <w:rPr>
          <w:rFonts w:ascii="宋体" w:hAnsi="宋体"/>
          <w:b/>
          <w:sz w:val="30"/>
          <w:szCs w:val="30"/>
        </w:rPr>
      </w:pPr>
      <w:r>
        <w:rPr>
          <w:rFonts w:hint="eastAsia"/>
          <w:sz w:val="32"/>
          <w:szCs w:val="32"/>
        </w:rPr>
        <w:t>由于项目实施人员相对不足，</w:t>
      </w:r>
      <w:r>
        <w:rPr>
          <w:rFonts w:hint="eastAsia" w:ascii="宋体" w:hAnsi="宋体" w:cs="宋体"/>
          <w:sz w:val="32"/>
          <w:szCs w:val="32"/>
        </w:rPr>
        <w:t>执行单位对专项资金预算了解不透彻，使用范围过于笼统，建议加大专项资金管理使用培训力度，进一步提高业务人员对专项资金管理的重视程度与业务能力。</w:t>
      </w:r>
    </w:p>
    <w:p>
      <w:pPr>
        <w:numPr>
          <w:ilvl w:val="0"/>
          <w:numId w:val="3"/>
        </w:numPr>
        <w:ind w:left="0" w:leftChars="0" w:firstLine="602" w:firstLineChars="200"/>
        <w:rPr>
          <w:rFonts w:ascii="宋体" w:hAnsi="宋体"/>
          <w:b/>
          <w:sz w:val="30"/>
          <w:szCs w:val="30"/>
        </w:rPr>
      </w:pPr>
      <w:r>
        <w:rPr>
          <w:rFonts w:ascii="宋体" w:hAnsi="宋体"/>
          <w:b/>
          <w:sz w:val="30"/>
          <w:szCs w:val="30"/>
        </w:rPr>
        <w:t>改进措施和有关建议</w:t>
      </w:r>
    </w:p>
    <w:p>
      <w:pPr>
        <w:spacing w:line="520" w:lineRule="exact"/>
        <w:ind w:firstLine="640" w:firstLineChars="200"/>
        <w:rPr>
          <w:rFonts w:ascii="宋体" w:cs="宋体"/>
          <w:sz w:val="32"/>
          <w:szCs w:val="32"/>
        </w:rPr>
      </w:pPr>
      <w:r>
        <w:rPr>
          <w:rFonts w:hint="eastAsia" w:ascii="宋体" w:hAnsi="宋体" w:cs="宋体"/>
          <w:sz w:val="32"/>
          <w:szCs w:val="32"/>
        </w:rPr>
        <w:t>为做好项目实施的跟踪检查工作。我中心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r>
    </w:p>
    <w:p>
      <w:pPr>
        <w:numPr>
          <w:ilvl w:val="0"/>
          <w:numId w:val="0"/>
        </w:numPr>
        <w:ind w:leftChars="200"/>
        <w:rPr>
          <w:rFonts w:ascii="宋体" w:hAnsi="宋体"/>
          <w:b/>
          <w:sz w:val="30"/>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宋体 (正文)">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E7BB4"/>
    <w:multiLevelType w:val="singleLevel"/>
    <w:tmpl w:val="0F9E7BB4"/>
    <w:lvl w:ilvl="0" w:tentative="0">
      <w:start w:val="4"/>
      <w:numFmt w:val="chineseCounting"/>
      <w:suff w:val="nothing"/>
      <w:lvlText w:val="%1、"/>
      <w:lvlJc w:val="left"/>
      <w:rPr>
        <w:rFonts w:hint="eastAsia"/>
      </w:rPr>
    </w:lvl>
  </w:abstractNum>
  <w:abstractNum w:abstractNumId="1">
    <w:nsid w:val="50A9E47C"/>
    <w:multiLevelType w:val="singleLevel"/>
    <w:tmpl w:val="50A9E47C"/>
    <w:lvl w:ilvl="0" w:tentative="0">
      <w:start w:val="2"/>
      <w:numFmt w:val="chineseCounting"/>
      <w:suff w:val="nothing"/>
      <w:lvlText w:val="（%1）"/>
      <w:lvlJc w:val="left"/>
      <w:rPr>
        <w:rFonts w:hint="eastAsia"/>
      </w:rPr>
    </w:lvl>
  </w:abstractNum>
  <w:abstractNum w:abstractNumId="2">
    <w:nsid w:val="5D93521B"/>
    <w:multiLevelType w:val="singleLevel"/>
    <w:tmpl w:val="5D93521B"/>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FE1812"/>
    <w:rsid w:val="10B558AE"/>
    <w:rsid w:val="1A8B617B"/>
    <w:rsid w:val="25B0666E"/>
    <w:rsid w:val="274A4696"/>
    <w:rsid w:val="2BFC1033"/>
    <w:rsid w:val="3CFE1812"/>
    <w:rsid w:val="45DB1DFE"/>
    <w:rsid w:val="49F028F1"/>
    <w:rsid w:val="51F92020"/>
    <w:rsid w:val="57C664B3"/>
    <w:rsid w:val="57DD2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2021-09-02T07:26:00Z</dcterms:created>
  <dc:creator>少林正宗</dc:creator>
  <cp:lastModifiedBy>少林正宗</cp:lastModifiedBy>
  <dcterms:modified xsi:type="dcterms:W3CDTF">2021-09-06T01:22:05Z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