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rPr>
          <w:rFonts w:hint="eastAsia" w:eastAsia="仿宋_GB2312"/>
          <w:sz w:val="32"/>
          <w:szCs w:val="32"/>
        </w:rPr>
      </w:pPr>
      <w:r>
        <w:rPr>
          <w:rFonts w:eastAsia="仿宋_GB2312"/>
          <w:sz w:val="32"/>
          <w:szCs w:val="32"/>
        </w:rPr>
        <w:t>附件</w:t>
      </w:r>
      <w:r>
        <w:rPr>
          <w:rFonts w:hint="eastAsia" w:eastAsia="仿宋_GB2312"/>
          <w:sz w:val="32"/>
          <w:szCs w:val="32"/>
        </w:rPr>
        <w:t>1：</w:t>
      </w:r>
      <w:r>
        <w:rPr>
          <w:rFonts w:eastAsia="仿宋_GB2312"/>
          <w:sz w:val="32"/>
          <w:szCs w:val="32"/>
        </w:rPr>
        <w:tab/>
      </w:r>
    </w:p>
    <w:p>
      <w:pPr>
        <w:spacing w:line="620" w:lineRule="exact"/>
        <w:jc w:val="center"/>
        <w:rPr>
          <w:rFonts w:ascii="方正小标宋简体" w:eastAsia="方正小标宋简体"/>
          <w:color w:val="000000"/>
          <w:kern w:val="0"/>
          <w:sz w:val="36"/>
          <w:szCs w:val="36"/>
        </w:rPr>
      </w:pPr>
      <w:r>
        <w:rPr>
          <w:rFonts w:hint="eastAsia" w:ascii="方正小标宋简体" w:eastAsia="方正小标宋简体"/>
          <w:color w:val="000000"/>
          <w:kern w:val="0"/>
          <w:sz w:val="36"/>
          <w:szCs w:val="36"/>
          <w:lang w:eastAsia="zh-CN"/>
        </w:rPr>
        <w:t>2020</w:t>
      </w:r>
      <w:r>
        <w:rPr>
          <w:rFonts w:hint="eastAsia" w:ascii="方正小标宋简体" w:eastAsia="方正小标宋简体"/>
          <w:color w:val="000000"/>
          <w:kern w:val="0"/>
          <w:sz w:val="36"/>
          <w:szCs w:val="36"/>
        </w:rPr>
        <w:t>年度专项（项目）资金绩效自评报告</w:t>
      </w:r>
    </w:p>
    <w:p>
      <w:pPr>
        <w:spacing w:line="620" w:lineRule="exact"/>
        <w:jc w:val="center"/>
        <w:rPr>
          <w:rFonts w:hint="eastAsia" w:ascii="楷体_GB2312" w:eastAsia="楷体_GB2312"/>
          <w:b/>
          <w:color w:val="000000"/>
          <w:kern w:val="0"/>
          <w:sz w:val="32"/>
          <w:szCs w:val="32"/>
        </w:rPr>
      </w:pPr>
      <w:r>
        <w:rPr>
          <w:rFonts w:hint="eastAsia" w:ascii="楷体_GB2312" w:eastAsia="楷体_GB2312"/>
          <w:b/>
          <w:color w:val="000000"/>
          <w:kern w:val="0"/>
          <w:sz w:val="32"/>
          <w:szCs w:val="32"/>
        </w:rPr>
        <w:t>（参考提纲）</w:t>
      </w:r>
    </w:p>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一、项目概况</w:t>
      </w:r>
    </w:p>
    <w:p>
      <w:pPr>
        <w:spacing w:line="620" w:lineRule="exact"/>
        <w:ind w:firstLine="640" w:firstLineChars="200"/>
        <w:rPr>
          <w:rFonts w:eastAsia="仿宋_GB2312"/>
          <w:color w:val="000000"/>
          <w:kern w:val="0"/>
          <w:sz w:val="32"/>
          <w:szCs w:val="32"/>
        </w:rPr>
      </w:pPr>
      <w:r>
        <w:rPr>
          <w:rFonts w:eastAsia="仿宋_GB2312"/>
          <w:color w:val="000000"/>
          <w:kern w:val="0"/>
          <w:sz w:val="32"/>
          <w:szCs w:val="32"/>
        </w:rPr>
        <w:t>（一）项目单位基本情况。</w:t>
      </w:r>
    </w:p>
    <w:p>
      <w:pPr>
        <w:spacing w:line="520" w:lineRule="exact"/>
        <w:ind w:firstLine="640" w:firstLineChars="200"/>
        <w:rPr>
          <w:rFonts w:eastAsia="仿宋_GB2312"/>
          <w:color w:val="000000"/>
          <w:kern w:val="0"/>
          <w:sz w:val="32"/>
          <w:szCs w:val="32"/>
        </w:rPr>
      </w:pPr>
      <w:r>
        <w:rPr>
          <w:rFonts w:hint="eastAsia" w:ascii="仿宋_GB2312" w:hAnsi="仿宋_GB2312" w:eastAsia="仿宋_GB2312" w:cs="仿宋_GB2312"/>
          <w:sz w:val="32"/>
          <w:szCs w:val="32"/>
        </w:rPr>
        <w:t>本中心的主要职责为：制定全区疾病预防控制技术对策和措施，并负责指导和组织实施;负责实施预防和控制信息的收集整理、统计分析、综合评价、反馈及疫情报告;开展疾病预防控制相关的监测技术等科研、培训和公众的健康促进、健康教育、疾病预防指导;负责对生物性、社会性、职业性等因素所致疾病的流行病学调查，承担疾病预防、疫点控制、疫区消毒及卫生学评价等任务;负责重大疫情和突发公共卫生事件的调查，提出控制措施，参与对危害公共卫生中毒事件的调查，负责食物中毒事件的流行病学调查;负责拟订全区免疫接种规划，并负责疫苗的使用管理、技术指导及效果分析评价;指导和承担全区救灾防病有关的技术工作及负责消杀药品的发放;承担预防性体检工作及与健康相关产品的卫生质量监测，涉及公共卫生相关场所的卫生学评价;指导和参与社区基本公共卫生服务疾控项目工作;为卫生监督执法提供检验技术支撑，具体承担区卫生计生行政部门交付的健康相关产品、场所卫生质量检验检测及出证任务;承担本县区疾病预防控制与各类防疫防病业务有关的检验任务;指导和参与社区基本公共卫生服务疾控项目工作；执行慢性非传染性疾病预防控制规划和方案，组织指导慢非综合防控;落实相关防控措施。承担区卫生计生行政部门和上级疾病预防控制交付的其他任务。</w:t>
      </w:r>
    </w:p>
    <w:p>
      <w:pPr>
        <w:numPr>
          <w:ilvl w:val="0"/>
          <w:numId w:val="1"/>
        </w:numPr>
        <w:spacing w:line="620" w:lineRule="exact"/>
        <w:ind w:firstLine="640" w:firstLineChars="200"/>
        <w:rPr>
          <w:rFonts w:eastAsia="仿宋_GB2312"/>
          <w:color w:val="000000"/>
          <w:kern w:val="0"/>
          <w:sz w:val="32"/>
          <w:szCs w:val="32"/>
        </w:rPr>
      </w:pPr>
      <w:r>
        <w:rPr>
          <w:rFonts w:eastAsia="仿宋_GB2312"/>
          <w:color w:val="000000"/>
          <w:kern w:val="0"/>
          <w:sz w:val="32"/>
          <w:szCs w:val="32"/>
        </w:rPr>
        <w:t>项目</w:t>
      </w:r>
      <w:r>
        <w:rPr>
          <w:rFonts w:hint="eastAsia" w:eastAsia="仿宋_GB2312"/>
          <w:color w:val="000000"/>
          <w:kern w:val="0"/>
          <w:sz w:val="32"/>
          <w:szCs w:val="32"/>
        </w:rPr>
        <w:t>预算和绩效目标</w:t>
      </w:r>
      <w:r>
        <w:rPr>
          <w:rFonts w:eastAsia="仿宋_GB2312"/>
          <w:color w:val="000000"/>
          <w:kern w:val="0"/>
          <w:sz w:val="32"/>
          <w:szCs w:val="32"/>
        </w:rPr>
        <w:t>情况简介，包括项目基本性质、用途和主要内容、涉及范围等。</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年度，本级财政拨专项资金2</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.23万元，其中儿童免疫规划33.73万元、灰质炎防治2万元、结核病防治及世行贷款5.5万元、霍乱防控2万元、预防性免费健康体检60万元、卫生监测及设备维护50万元、入学新生肺结核筛查</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儿童免疫规划及注射补助    项目预算33.73万元；</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简介：制定和实施预防接种年度工作计划，并对计划的落实情况，定期检查、督导和反馈；提出免疫规划疫苗的需求、分配、使用计划，进行疫苗管理；指导接种单位实施预防接种，开展接种率常规报告，评价预防接种工作的实施质量；开展免疫规划疫苗针对性传染病的报告、监测和流行病学调查处理；开展预防接种异常反应报告、监测和调查处理；开展预防接种健康教育，对乡、村级预防接种人员进行技术培训等。</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绩效目标：1、做好0-6岁儿童免疫规划疫苗的预防接种工作，确保免疫规划疫苗单苗基础免疫接种率达到95%以上，加强免疫接种率达到9</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%以上；2、对乡、村级预防接种人员进行免疫规划相关技术培训，增强相关人员预防接种异常反应识别和处置能力，确保预防接种安全有效。到</w:t>
      </w:r>
      <w:r>
        <w:rPr>
          <w:rFonts w:hint="eastAsia" w:ascii="仿宋_GB2312" w:hAnsi="仿宋_GB2312" w:eastAsia="仿宋_GB2312" w:cs="仿宋_GB2312"/>
          <w:kern w:val="0"/>
          <w:sz w:val="32"/>
          <w:szCs w:val="32"/>
          <w:lang w:val="en-US" w:eastAsia="zh-CN"/>
        </w:rPr>
        <w:t>2020</w:t>
      </w:r>
      <w:r>
        <w:rPr>
          <w:rFonts w:hint="eastAsia" w:ascii="仿宋_GB2312" w:hAnsi="仿宋_GB2312" w:eastAsia="仿宋_GB2312" w:cs="仿宋_GB2312"/>
          <w:kern w:val="0"/>
          <w:sz w:val="32"/>
          <w:szCs w:val="32"/>
        </w:rPr>
        <w:t>年，疫苗针对传染病的发病率和死亡率持续下降，人均期望寿命明显增长；以乡镇为单位，适龄儿童免疫规划疫苗接种率达9</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%以上。</w:t>
      </w:r>
    </w:p>
    <w:p>
      <w:pPr>
        <w:keepNext w:val="0"/>
        <w:keepLines w:val="0"/>
        <w:pageBreakBefore w:val="0"/>
        <w:widowControl w:val="0"/>
        <w:numPr>
          <w:ilvl w:val="0"/>
          <w:numId w:val="0"/>
        </w:numPr>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灰质炎防治    项目预算2万元；</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简介：制定和实施预防接种年度工作计划，并对计划的落实情况，定期检查、督导和反馈；提出免疫规划疫苗的需求、分配、使用计划，进行疫苗管理；指导接种单位实施预防接种，开展接种率常规报告，评价预防接种工作的实施质量；开展免疫规划疫苗针对性传染病的报告、监测和流行病学调查处理；开展预防接种异常反应报告、监测和调查处理；开展预防接种健康教育，对乡、村级预防接种人员进行技术培训等。</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绩效目标绩效目标：1、 对我区适龄儿童共摸底</w:t>
      </w:r>
      <w:r>
        <w:rPr>
          <w:rFonts w:hint="eastAsia" w:ascii="仿宋_GB2312" w:hAnsi="仿宋_GB2312" w:eastAsia="仿宋_GB2312" w:cs="仿宋_GB2312"/>
          <w:color w:val="auto"/>
          <w:kern w:val="0"/>
          <w:sz w:val="32"/>
          <w:szCs w:val="32"/>
          <w:lang w:val="en-US" w:eastAsia="zh-CN"/>
        </w:rPr>
        <w:t>20959</w:t>
      </w:r>
      <w:r>
        <w:rPr>
          <w:rFonts w:hint="eastAsia" w:ascii="仿宋_GB2312" w:hAnsi="仿宋_GB2312" w:eastAsia="仿宋_GB2312" w:cs="仿宋_GB2312"/>
          <w:color w:val="auto"/>
          <w:kern w:val="0"/>
          <w:sz w:val="32"/>
          <w:szCs w:val="32"/>
        </w:rPr>
        <w:t>名，需进行补种</w:t>
      </w:r>
      <w:r>
        <w:rPr>
          <w:rFonts w:hint="eastAsia" w:ascii="仿宋_GB2312" w:hAnsi="仿宋_GB2312" w:eastAsia="仿宋_GB2312" w:cs="仿宋_GB2312"/>
          <w:color w:val="auto"/>
          <w:kern w:val="0"/>
          <w:sz w:val="32"/>
          <w:szCs w:val="32"/>
          <w:lang w:val="en-US" w:eastAsia="zh-CN"/>
        </w:rPr>
        <w:t>1839</w:t>
      </w:r>
      <w:r>
        <w:rPr>
          <w:rFonts w:hint="eastAsia" w:ascii="仿宋_GB2312" w:hAnsi="仿宋_GB2312" w:eastAsia="仿宋_GB2312" w:cs="仿宋_GB2312"/>
          <w:color w:val="auto"/>
          <w:kern w:val="0"/>
          <w:sz w:val="32"/>
          <w:szCs w:val="32"/>
        </w:rPr>
        <w:t>人，实补种</w:t>
      </w:r>
      <w:r>
        <w:rPr>
          <w:rFonts w:hint="eastAsia" w:ascii="仿宋_GB2312" w:hAnsi="仿宋_GB2312" w:eastAsia="仿宋_GB2312" w:cs="仿宋_GB2312"/>
          <w:color w:val="auto"/>
          <w:kern w:val="0"/>
          <w:sz w:val="32"/>
          <w:szCs w:val="32"/>
          <w:lang w:val="en-US" w:eastAsia="zh-CN"/>
        </w:rPr>
        <w:t>1748</w:t>
      </w:r>
      <w:r>
        <w:rPr>
          <w:rFonts w:hint="eastAsia" w:ascii="仿宋_GB2312" w:hAnsi="仿宋_GB2312" w:eastAsia="仿宋_GB2312" w:cs="仿宋_GB2312"/>
          <w:color w:val="auto"/>
          <w:kern w:val="0"/>
          <w:sz w:val="32"/>
          <w:szCs w:val="32"/>
        </w:rPr>
        <w:t>人进行及时、规范、全程接种脊灰疫苗，全程补种率9</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%；2、 根据省、市工作安排，做好适龄儿童脊灰疫苗的强化免疫工作；3、 持续正常运行AFP（急性迟缓性麻痹病例）监测系统，做好相关病例的调查、采样、报告和监测工作，4、加强疑似预防接种异常反应的监测、处置工作，全区</w:t>
      </w:r>
      <w:r>
        <w:rPr>
          <w:rFonts w:hint="eastAsia" w:ascii="仿宋_GB2312" w:hAnsi="仿宋_GB2312" w:eastAsia="仿宋_GB2312" w:cs="仿宋_GB2312"/>
          <w:color w:val="auto"/>
          <w:kern w:val="0"/>
          <w:sz w:val="32"/>
          <w:szCs w:val="32"/>
          <w:lang w:eastAsia="zh-CN"/>
        </w:rPr>
        <w:t>无一例严重</w:t>
      </w:r>
      <w:r>
        <w:rPr>
          <w:rFonts w:hint="eastAsia" w:ascii="仿宋_GB2312" w:hAnsi="仿宋_GB2312" w:eastAsia="仿宋_GB2312" w:cs="仿宋_GB2312"/>
          <w:color w:val="auto"/>
          <w:kern w:val="0"/>
          <w:sz w:val="32"/>
          <w:szCs w:val="32"/>
        </w:rPr>
        <w:t>疑似预防接种的异常反应。</w:t>
      </w:r>
    </w:p>
    <w:p>
      <w:pPr>
        <w:keepNext w:val="0"/>
        <w:keepLines w:val="0"/>
        <w:pageBreakBefore w:val="0"/>
        <w:widowControl w:val="0"/>
        <w:numPr>
          <w:ilvl w:val="0"/>
          <w:numId w:val="0"/>
        </w:numPr>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结核病控制及世行贷款    项目预算5.5万元；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简介：协助制定全区结核病工作计划和实施方案；定期上报各类报表并分析汇报；协助定点医院做好诊疗工作；做好结核病患者或可疑者的追踪；做好患者治疗的管理工作；加强督导检查和考核，做好业务培训。达到初诊免费摄片率9</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%、初诊查痰率</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%、涂阴患者初诊3标本率100%、肺结核患者病原学阳性率达到50%以上、规则随访检查率100%；肺结核病原学阳性患者密接筛查率达到9</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目标：长期目标：1.进一步建立健全结核病定点医疗机构、疾病预防控制机构、基层医疗卫生机构分工明确、协调配合的服务体系。2.不断提高结核病防治服务能力，实现及早发现并全程规范治疗、管理结核病患者。3.进一步减少结核感染、患病和死亡，降低发病率。年度目标：1.报告肺结核患者和疑似肺结核患者的总体到位率达到95%以上。病原学检查阳性肺结核患者的密切接触者筛查率达到95%。肺结核患者病原学阳性率达到目标要求。耐多药肺结核高危人群耐药筛查率达到95%以上。2.肺结核患者成功治疗率达到90%以上。基层医疗卫生机构肺结核患者规范管理率达到90%以上。3.入学新生结核病筛查比例明显提高。公众结核病防治核心知识知晓率达到85%以上。4、疑似肺结核患者及肺结核落实国家免费政策100%；5、按《中国结核病防治规划实施工作指南》要求对定点医院、基层医疗卫生单位等进行技术指导和业务督导。</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霍乱防控   项目预算2万元；</w:t>
      </w:r>
    </w:p>
    <w:p>
      <w:pPr>
        <w:snapToGrid w:val="0"/>
        <w:spacing w:line="500" w:lineRule="exact"/>
        <w:ind w:firstLine="64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kern w:val="0"/>
          <w:sz w:val="32"/>
          <w:szCs w:val="32"/>
        </w:rPr>
        <w:t>项目简介：1、制定</w:t>
      </w:r>
      <w:r>
        <w:rPr>
          <w:rFonts w:hint="eastAsia" w:ascii="仿宋_GB2312" w:hAnsi="仿宋_GB2312" w:eastAsia="仿宋_GB2312" w:cs="仿宋_GB2312"/>
          <w:color w:val="auto"/>
          <w:kern w:val="0"/>
          <w:sz w:val="32"/>
          <w:szCs w:val="32"/>
          <w:lang w:val="en-US" w:eastAsia="zh-CN"/>
        </w:rPr>
        <w:t>2020年</w:t>
      </w:r>
      <w:r>
        <w:rPr>
          <w:rFonts w:hint="eastAsia" w:ascii="仿宋_GB2312" w:hAnsi="仿宋_GB2312" w:eastAsia="仿宋_GB2312" w:cs="仿宋_GB2312"/>
          <w:color w:val="auto"/>
          <w:kern w:val="0"/>
          <w:sz w:val="32"/>
          <w:szCs w:val="32"/>
        </w:rPr>
        <w:t>冷水滩区</w:t>
      </w:r>
      <w:r>
        <w:rPr>
          <w:rFonts w:hint="eastAsia" w:ascii="仿宋_GB2312" w:hAnsi="仿宋_GB2312" w:eastAsia="仿宋_GB2312" w:cs="仿宋_GB2312"/>
          <w:color w:val="auto"/>
          <w:kern w:val="0"/>
          <w:sz w:val="32"/>
          <w:szCs w:val="32"/>
          <w:lang w:eastAsia="zh-CN"/>
        </w:rPr>
        <w:t>重点传染病</w:t>
      </w:r>
      <w:r>
        <w:rPr>
          <w:rFonts w:hint="eastAsia" w:ascii="仿宋_GB2312" w:hAnsi="仿宋_GB2312" w:eastAsia="仿宋_GB2312" w:cs="仿宋_GB2312"/>
          <w:color w:val="auto"/>
          <w:kern w:val="0"/>
          <w:sz w:val="32"/>
          <w:szCs w:val="32"/>
        </w:rPr>
        <w:t>监测方案；2、</w:t>
      </w:r>
      <w:r>
        <w:rPr>
          <w:rFonts w:hint="eastAsia" w:ascii="仿宋_GB2312" w:hAnsi="仿宋_GB2312" w:eastAsia="仿宋_GB2312" w:cs="仿宋_GB2312"/>
          <w:color w:val="auto"/>
          <w:kern w:val="0"/>
          <w:sz w:val="32"/>
          <w:szCs w:val="32"/>
          <w:lang w:eastAsia="zh-CN"/>
        </w:rPr>
        <w:t>开展全区霍乱</w:t>
      </w:r>
      <w:r>
        <w:rPr>
          <w:rFonts w:hint="eastAsia" w:ascii="仿宋_GB2312" w:hAnsi="仿宋_GB2312" w:eastAsia="仿宋_GB2312" w:cs="仿宋_GB2312"/>
          <w:color w:val="auto"/>
          <w:kern w:val="0"/>
          <w:sz w:val="32"/>
          <w:szCs w:val="32"/>
        </w:rPr>
        <w:t>监测</w:t>
      </w:r>
      <w:r>
        <w:rPr>
          <w:rFonts w:hint="eastAsia" w:ascii="仿宋_GB2312" w:hAnsi="仿宋_GB2312" w:eastAsia="仿宋_GB2312" w:cs="仿宋_GB2312"/>
          <w:color w:val="auto"/>
          <w:kern w:val="0"/>
          <w:sz w:val="32"/>
          <w:szCs w:val="32"/>
          <w:lang w:eastAsia="zh-CN"/>
        </w:rPr>
        <w:t>与报告工作</w:t>
      </w:r>
      <w:r>
        <w:rPr>
          <w:rFonts w:hint="eastAsia" w:ascii="仿宋_GB2312" w:hAnsi="仿宋_GB2312" w:eastAsia="仿宋_GB2312" w:cs="仿宋_GB2312"/>
          <w:color w:val="auto"/>
          <w:kern w:val="0"/>
          <w:sz w:val="32"/>
          <w:szCs w:val="32"/>
        </w:rPr>
        <w:t>；3、负责病例标本的采集、检测、上送</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4、</w:t>
      </w:r>
      <w:r>
        <w:rPr>
          <w:rFonts w:hint="eastAsia" w:ascii="仿宋_GB2312" w:hAnsi="仿宋_GB2312" w:eastAsia="仿宋_GB2312" w:cs="仿宋_GB2312"/>
          <w:color w:val="auto"/>
          <w:kern w:val="0"/>
          <w:sz w:val="32"/>
          <w:szCs w:val="32"/>
          <w:lang w:eastAsia="zh-CN"/>
        </w:rPr>
        <w:t>霍乱等</w:t>
      </w:r>
      <w:r>
        <w:rPr>
          <w:rFonts w:hint="eastAsia" w:ascii="仿宋_GB2312" w:hAnsi="仿宋_GB2312" w:eastAsia="仿宋_GB2312" w:cs="仿宋_GB2312"/>
          <w:color w:val="auto"/>
          <w:kern w:val="0"/>
          <w:sz w:val="32"/>
          <w:szCs w:val="32"/>
        </w:rPr>
        <w:t>传染病防控培训（含演练）；</w:t>
      </w:r>
    </w:p>
    <w:p>
      <w:pPr>
        <w:keepNext w:val="0"/>
        <w:keepLines w:val="0"/>
        <w:pageBreakBefore w:val="0"/>
        <w:widowControl w:val="0"/>
        <w:kinsoku/>
        <w:wordWrap/>
        <w:overflowPunct/>
        <w:topLinePunct w:val="0"/>
        <w:autoSpaceDE/>
        <w:autoSpaceDN/>
        <w:bidi w:val="0"/>
        <w:adjustRightInd/>
        <w:snapToGrid/>
        <w:spacing w:line="500" w:lineRule="exact"/>
        <w:ind w:firstLine="646"/>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绩效目标：1、</w:t>
      </w:r>
      <w:r>
        <w:rPr>
          <w:rFonts w:hint="eastAsia" w:ascii="仿宋_GB2312" w:hAnsi="仿宋_GB2312" w:eastAsia="仿宋_GB2312" w:cs="仿宋_GB2312"/>
          <w:color w:val="auto"/>
          <w:kern w:val="0"/>
          <w:sz w:val="32"/>
          <w:szCs w:val="32"/>
          <w:lang w:eastAsia="zh-CN"/>
        </w:rPr>
        <w:t>对我区发现的</w:t>
      </w:r>
      <w:r>
        <w:rPr>
          <w:rFonts w:hint="eastAsia" w:ascii="仿宋_GB2312" w:hAnsi="仿宋_GB2312" w:eastAsia="仿宋_GB2312" w:cs="仿宋_GB2312"/>
          <w:color w:val="auto"/>
          <w:kern w:val="0"/>
          <w:sz w:val="32"/>
          <w:szCs w:val="32"/>
        </w:rPr>
        <w:t>霍乱菌株的型别、分布、毒力、耐药性变化情况，监测菌型变迁与流行的关联性；</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了解霍乱弧菌在</w:t>
      </w:r>
      <w:r>
        <w:rPr>
          <w:rFonts w:hint="eastAsia" w:ascii="仿宋_GB2312" w:hAnsi="仿宋_GB2312" w:eastAsia="仿宋_GB2312" w:cs="仿宋_GB2312"/>
          <w:color w:val="auto"/>
          <w:kern w:val="0"/>
          <w:sz w:val="32"/>
          <w:szCs w:val="32"/>
          <w:lang w:eastAsia="zh-CN"/>
        </w:rPr>
        <w:t>我区</w:t>
      </w:r>
      <w:r>
        <w:rPr>
          <w:rFonts w:hint="eastAsia" w:ascii="仿宋_GB2312" w:hAnsi="仿宋_GB2312" w:eastAsia="仿宋_GB2312" w:cs="仿宋_GB2312"/>
          <w:color w:val="auto"/>
          <w:kern w:val="0"/>
          <w:sz w:val="32"/>
          <w:szCs w:val="32"/>
        </w:rPr>
        <w:t>水体和食品中的污染情况，及时采取有效措施消除人感染风险</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及时发现</w:t>
      </w:r>
      <w:r>
        <w:rPr>
          <w:rFonts w:hint="eastAsia" w:ascii="仿宋_GB2312" w:hAnsi="仿宋_GB2312" w:eastAsia="仿宋_GB2312" w:cs="仿宋_GB2312"/>
          <w:color w:val="auto"/>
          <w:kern w:val="0"/>
          <w:sz w:val="32"/>
          <w:szCs w:val="32"/>
          <w:lang w:eastAsia="zh-CN"/>
        </w:rPr>
        <w:t>我区</w:t>
      </w:r>
      <w:r>
        <w:rPr>
          <w:rFonts w:hint="eastAsia" w:ascii="仿宋_GB2312" w:hAnsi="仿宋_GB2312" w:eastAsia="仿宋_GB2312" w:cs="仿宋_GB2312"/>
          <w:color w:val="auto"/>
          <w:kern w:val="0"/>
          <w:sz w:val="32"/>
          <w:szCs w:val="32"/>
        </w:rPr>
        <w:t>霍乱病例，分析</w:t>
      </w:r>
      <w:r>
        <w:rPr>
          <w:rFonts w:hint="eastAsia" w:ascii="仿宋_GB2312" w:hAnsi="仿宋_GB2312" w:eastAsia="仿宋_GB2312" w:cs="仿宋_GB2312"/>
          <w:color w:val="auto"/>
          <w:kern w:val="0"/>
          <w:sz w:val="32"/>
          <w:szCs w:val="32"/>
          <w:lang w:eastAsia="zh-CN"/>
        </w:rPr>
        <w:t>暴露</w:t>
      </w:r>
      <w:r>
        <w:rPr>
          <w:rFonts w:hint="eastAsia" w:ascii="仿宋_GB2312" w:hAnsi="仿宋_GB2312" w:eastAsia="仿宋_GB2312" w:cs="仿宋_GB2312"/>
          <w:color w:val="auto"/>
          <w:kern w:val="0"/>
          <w:sz w:val="32"/>
          <w:szCs w:val="32"/>
        </w:rPr>
        <w:t>因素</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掌握疫情动态，早期识别暴发疫情；</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、霍乱疫情处置规范，无霍乱疫情处置不力</w:t>
      </w:r>
      <w:r>
        <w:rPr>
          <w:rFonts w:hint="eastAsia" w:ascii="仿宋_GB2312" w:hAnsi="仿宋_GB2312" w:eastAsia="仿宋_GB2312" w:cs="仿宋_GB2312"/>
          <w:color w:val="auto"/>
          <w:kern w:val="0"/>
          <w:sz w:val="32"/>
          <w:szCs w:val="32"/>
          <w:lang w:eastAsia="zh-CN"/>
        </w:rPr>
        <w:t>情况发生</w:t>
      </w:r>
      <w:r>
        <w:rPr>
          <w:rFonts w:hint="eastAsia" w:ascii="仿宋_GB2312" w:hAnsi="仿宋_GB2312" w:eastAsia="仿宋_GB2312" w:cs="仿宋_GB2312"/>
          <w:color w:val="auto"/>
          <w:kern w:val="0"/>
          <w:sz w:val="32"/>
          <w:szCs w:val="32"/>
        </w:rPr>
        <w:t>。</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 w:val="32"/>
          <w:szCs w:val="32"/>
        </w:rPr>
        <w:t>预防性免费健康体检</w:t>
      </w:r>
      <w:r>
        <w:rPr>
          <w:rFonts w:hint="eastAsia" w:ascii="仿宋_GB2312" w:hAnsi="仿宋_GB2312" w:eastAsia="仿宋_GB2312" w:cs="仿宋_GB2312"/>
          <w:kern w:val="0"/>
          <w:sz w:val="32"/>
          <w:szCs w:val="32"/>
        </w:rPr>
        <w:t xml:space="preserve">   项目预算60万元；</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简介：根据《食品安全法》和《公共场所卫生管理条例》，有关从业人员每年必需取得健康体检合格证方可上岗，从业人员执证上岗也是国家卫生城市必检项目之一。冷水滩区疾控中心为健康体检及合格证发放单位。</w:t>
      </w:r>
      <w:r>
        <w:rPr>
          <w:rFonts w:hint="eastAsia" w:ascii="仿宋_GB2312" w:hAnsi="仿宋_GB2312" w:eastAsia="仿宋_GB2312" w:cs="仿宋_GB2312"/>
          <w:kern w:val="0"/>
          <w:sz w:val="32"/>
          <w:szCs w:val="32"/>
          <w:lang w:eastAsia="zh-CN"/>
        </w:rPr>
        <w:t>对体检不合格的从来人员不</w:t>
      </w:r>
      <w:r>
        <w:rPr>
          <w:rFonts w:hint="eastAsia" w:ascii="仿宋_GB2312" w:hAnsi="仿宋_GB2312" w:eastAsia="仿宋_GB2312" w:cs="仿宋_GB2312"/>
          <w:kern w:val="0"/>
          <w:sz w:val="32"/>
          <w:szCs w:val="32"/>
        </w:rPr>
        <w:t>发放健康证，</w:t>
      </w:r>
      <w:r>
        <w:rPr>
          <w:rFonts w:hint="eastAsia" w:ascii="仿宋_GB2312" w:hAnsi="仿宋_GB2312" w:eastAsia="仿宋_GB2312" w:cs="仿宋_GB2312"/>
          <w:kern w:val="0"/>
          <w:sz w:val="32"/>
          <w:szCs w:val="32"/>
          <w:lang w:eastAsia="zh-CN"/>
        </w:rPr>
        <w:t>没有领取健康证的人员</w:t>
      </w:r>
      <w:r>
        <w:rPr>
          <w:rFonts w:hint="eastAsia" w:ascii="仿宋_GB2312" w:hAnsi="仿宋_GB2312" w:eastAsia="仿宋_GB2312" w:cs="仿宋_GB2312"/>
          <w:kern w:val="0"/>
          <w:sz w:val="32"/>
          <w:szCs w:val="32"/>
        </w:rPr>
        <w:t>不能从事饮食及公共场所的工作。真正意义是控制了上述传染病的传染源，从而防止了上述传染病的传播，保障了人民的生命安全。</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绩效目标：做好全区从业人员健康体检。</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 w:val="32"/>
          <w:szCs w:val="32"/>
        </w:rPr>
        <w:t>卫生监测及设备维护</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kern w:val="0"/>
          <w:sz w:val="32"/>
          <w:szCs w:val="32"/>
        </w:rPr>
        <w:t>项目预算50万；</w:t>
      </w:r>
    </w:p>
    <w:p>
      <w:pPr>
        <w:autoSpaceDE w:val="0"/>
        <w:autoSpaceDN w:val="0"/>
        <w:adjustRightInd w:val="0"/>
        <w:spacing w:line="520" w:lineRule="exact"/>
        <w:ind w:firstLine="640" w:firstLineChars="200"/>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rPr>
        <w:t>项目简介：</w:t>
      </w:r>
      <w:r>
        <w:rPr>
          <w:rFonts w:hint="eastAsia" w:ascii="仿宋_GB2312" w:hAnsi="仿宋_GB2312" w:eastAsia="仿宋_GB2312" w:cs="仿宋_GB2312"/>
          <w:sz w:val="32"/>
          <w:szCs w:val="32"/>
        </w:rPr>
        <w:t>根据《湖南省卫生计生委关于印发&lt;湖南省城乡饮用水水质卫生监测工作方案（2020版）&gt;的通知》、省食安委《关于继续深入开展学校校园及周边食品安全“护苗”行动的通知》、《冷水滩区卫健局双随机监督抽查方案》等文件要求，</w:t>
      </w:r>
      <w:r>
        <w:rPr>
          <w:rFonts w:hint="eastAsia" w:ascii="仿宋_GB2312" w:hAnsi="仿宋_GB2312" w:eastAsia="仿宋_GB2312" w:cs="仿宋_GB2312"/>
          <w:color w:val="000000"/>
          <w:kern w:val="0"/>
          <w:sz w:val="32"/>
          <w:szCs w:val="32"/>
        </w:rPr>
        <w:t>通过开展农村生活饮用水卫生监测、学校生活饮用水卫生监测、公共场所双随机监测等卫生监测工作以及涉及水体污染，受政府相关部门委托对怀疑被污染的饮用水进行监测，了解我区各类公共卫生基本状况，为保障群众身体健康和生命安全、加强卫生管理工作及政府决策提供依据和技术支持。</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绩效目标：做好全区公共场所卫生监测，水质监测及全区中小学卫生监测及生活饮用水监测。</w:t>
      </w:r>
      <w:r>
        <w:rPr>
          <w:rFonts w:hint="eastAsia" w:ascii="仿宋_GB2312" w:hAnsi="仿宋_GB2312" w:eastAsia="仿宋_GB2312" w:cs="仿宋_GB2312"/>
          <w:kern w:val="0"/>
          <w:sz w:val="32"/>
          <w:szCs w:val="32"/>
          <w:shd w:val="clear" w:color="auto" w:fill="FFFFFF"/>
        </w:rPr>
        <w:t>按照省市通知要求今年我们对全区12个乡镇（街道）14个农村安全集中式供水工程供水进行了卫生监测；对普利桥镇、上岭桥镇、杨村甸乡、区生态环保委员会等单位委托的涉及水体污染事件进行了生活饮用水卫生监测；对竹山桥学校、普利桥中学等21所学校自备水及永州市八中等4所学校直饮水进行了监测；对剑桥学校等15所学校进行了学校卫生监测；对冷水滩区薇阁大酒店等43家公共场所单位进行了监测。并根据市区卫生健康部门统一部署，积极配合相关部门保质保量完成了各项指令性抽检任务。</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入学新生肺结核筛查、学生结核密切接触者筛查    项目预算</w:t>
      </w:r>
      <w:r>
        <w:rPr>
          <w:rFonts w:hint="eastAsia" w:ascii="仿宋_GB2312" w:hAnsi="仿宋_GB2312" w:eastAsia="仿宋_GB2312" w:cs="仿宋_GB2312"/>
          <w:kern w:val="0"/>
          <w:sz w:val="32"/>
          <w:szCs w:val="32"/>
          <w:lang w:val="en-US" w:eastAsia="zh-CN"/>
        </w:rPr>
        <w:t>80</w:t>
      </w:r>
      <w:r>
        <w:rPr>
          <w:rFonts w:hint="eastAsia" w:ascii="仿宋_GB2312" w:hAnsi="仿宋_GB2312" w:eastAsia="仿宋_GB2312" w:cs="仿宋_GB2312"/>
          <w:kern w:val="0"/>
          <w:sz w:val="32"/>
          <w:szCs w:val="32"/>
        </w:rPr>
        <w:t>万元；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简介：根据《结核病防治管理办法》（原卫生部令第92号）、《关于印发学校结核病防控工作规范（2017版）的通知》（国卫办疾控发[2017]22号）和《关于印发学校&lt;湖南省入学新生肺结核筛查工作实施方案&gt;的通知》（湘卫疾控发[2018]4号），一是对辖区内各类各级学校开展结核病防控知识培训；二是开展辖区内各级各类学校入学新生结核病筛查；三是调查处理学校结核病疫情，对学生和教职员工肺结核病例的密切接触者进行结核病筛查；四是对学校结核病防控进行技术指导和督导。</w:t>
      </w:r>
    </w:p>
    <w:p>
      <w:pPr>
        <w:numPr>
          <w:ilvl w:val="0"/>
          <w:numId w:val="0"/>
        </w:numPr>
        <w:spacing w:line="62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sz w:val="32"/>
          <w:szCs w:val="32"/>
        </w:rPr>
        <w:t>绩效目标：做好全区幼儿园、各级各类学校入学新生结核病筛查及学生和教职员工肺结核病例的密切接触者进行结核病筛查。</w:t>
      </w:r>
    </w:p>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二、项目组织实施情况</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（一）项目组织情况分析，主要包括项目招投标、调整、竣工验收等情况。</w:t>
      </w:r>
    </w:p>
    <w:p>
      <w:pPr>
        <w:spacing w:line="520" w:lineRule="exact"/>
        <w:ind w:firstLine="640" w:firstLineChars="200"/>
        <w:rPr>
          <w:rFonts w:hint="eastAsia" w:eastAsia="仿宋_GB2312"/>
          <w:color w:val="000000"/>
          <w:kern w:val="0"/>
          <w:sz w:val="32"/>
          <w:szCs w:val="32"/>
        </w:rPr>
      </w:pPr>
      <w:r>
        <w:rPr>
          <w:rFonts w:hint="eastAsia" w:ascii="仿宋" w:hAnsi="仿宋" w:eastAsia="仿宋" w:cs="仿宋"/>
          <w:sz w:val="32"/>
          <w:szCs w:val="32"/>
        </w:rPr>
        <w:t>我单位7个专项项目工作均已完成当年计划，完成了年度绩效目标。所有项目的日常管理工作均按照我单位相关管理制度执行，建立了工作有计划、实施有方案、日常有监督的管理机制，其中</w:t>
      </w:r>
      <w:r>
        <w:rPr>
          <w:rFonts w:hint="eastAsia" w:ascii="仿宋" w:hAnsi="仿宋" w:eastAsia="仿宋" w:cs="仿宋"/>
          <w:kern w:val="0"/>
          <w:sz w:val="32"/>
          <w:szCs w:val="32"/>
        </w:rPr>
        <w:t>入学新生肺结核筛查、学生结核密切接触者筛查项目中所用结核菌素纯蛋白衍生物专用材料通过政府采购平台进行了政府采购，</w:t>
      </w:r>
      <w:r>
        <w:rPr>
          <w:rFonts w:hint="eastAsia" w:ascii="仿宋" w:hAnsi="仿宋" w:eastAsia="仿宋" w:cs="仿宋"/>
          <w:sz w:val="32"/>
          <w:szCs w:val="32"/>
        </w:rPr>
        <w:t>工作取得了较好的成效，效能得到了提高、获得了社会公众的好评100%。</w:t>
      </w:r>
    </w:p>
    <w:p>
      <w:pPr>
        <w:keepNext w:val="0"/>
        <w:keepLines w:val="0"/>
        <w:pageBreakBefore w:val="0"/>
        <w:widowControl w:val="0"/>
        <w:numPr>
          <w:ilvl w:val="0"/>
          <w:numId w:val="0"/>
        </w:numPr>
        <w:kinsoku/>
        <w:wordWrap/>
        <w:overflowPunct/>
        <w:topLinePunct w:val="0"/>
        <w:bidi w:val="0"/>
        <w:snapToGrid/>
        <w:spacing w:line="520" w:lineRule="exact"/>
        <w:ind w:left="0" w:leftChars="0" w:firstLine="419" w:firstLineChars="131"/>
        <w:textAlignment w:val="auto"/>
        <w:rPr>
          <w:rFonts w:hint="eastAsia" w:eastAsia="仿宋_GB2312"/>
          <w:color w:val="000000"/>
          <w:kern w:val="0"/>
          <w:sz w:val="32"/>
          <w:szCs w:val="32"/>
        </w:rPr>
      </w:pPr>
      <w:r>
        <w:rPr>
          <w:rFonts w:hint="eastAsia" w:eastAsia="仿宋_GB2312"/>
          <w:color w:val="000000"/>
          <w:kern w:val="0"/>
          <w:sz w:val="32"/>
          <w:szCs w:val="32"/>
          <w:lang w:eastAsia="zh-CN"/>
        </w:rPr>
        <w:t>（二）</w:t>
      </w:r>
      <w:r>
        <w:rPr>
          <w:rFonts w:hint="eastAsia" w:eastAsia="仿宋_GB2312"/>
          <w:color w:val="000000"/>
          <w:kern w:val="0"/>
          <w:sz w:val="32"/>
          <w:szCs w:val="32"/>
        </w:rPr>
        <w:t>项目管理情况分析，主要包括项目管理制度建设</w:t>
      </w:r>
      <w:r>
        <w:rPr>
          <w:rFonts w:hint="eastAsia" w:eastAsia="仿宋_GB2312"/>
          <w:color w:val="000000"/>
          <w:kern w:val="0"/>
          <w:sz w:val="32"/>
          <w:szCs w:val="32"/>
          <w:lang w:eastAsia="zh-CN"/>
        </w:rPr>
        <w:t>、</w:t>
      </w:r>
      <w:r>
        <w:rPr>
          <w:rFonts w:hint="eastAsia" w:eastAsia="仿宋_GB2312"/>
          <w:color w:val="000000"/>
          <w:kern w:val="0"/>
          <w:sz w:val="32"/>
          <w:szCs w:val="32"/>
        </w:rPr>
        <w:t>日常检查监督管理等情况。</w:t>
      </w:r>
    </w:p>
    <w:p>
      <w:pPr>
        <w:keepNext w:val="0"/>
        <w:keepLines w:val="0"/>
        <w:pageBreakBefore w:val="0"/>
        <w:widowControl w:val="0"/>
        <w:numPr>
          <w:ilvl w:val="0"/>
          <w:numId w:val="0"/>
        </w:numPr>
        <w:kinsoku/>
        <w:wordWrap/>
        <w:overflowPunct/>
        <w:topLinePunct w:val="0"/>
        <w:bidi w:val="0"/>
        <w:snapToGrid/>
        <w:spacing w:line="520" w:lineRule="exact"/>
        <w:ind w:leftChars="200" w:firstLine="320" w:firstLineChars="100"/>
        <w:textAlignment w:val="auto"/>
        <w:rPr>
          <w:rFonts w:hint="eastAsia" w:ascii="仿宋" w:hAnsi="仿宋" w:eastAsia="仿宋" w:cs="仿宋"/>
          <w:kern w:val="0"/>
          <w:sz w:val="32"/>
          <w:szCs w:val="32"/>
        </w:rPr>
      </w:pPr>
      <w:r>
        <w:rPr>
          <w:rFonts w:hint="eastAsia" w:ascii="仿宋" w:hAnsi="仿宋" w:eastAsia="仿宋" w:cs="仿宋"/>
          <w:kern w:val="0"/>
          <w:sz w:val="32"/>
          <w:szCs w:val="32"/>
        </w:rPr>
        <w:t>1、儿童免疫规划及注射补助</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定期检查监督管理各乡镇卫生院及社区卫生服务中心预防接种工作规范；根据《国家卫生计生委办公厅关于开展预防接种规范管理专项活动的通知》（国卫办疾控函〔2015〕790号）；卫生部《关于加强预防接种工作的通知》（卫办发〔2012〕50号）规定：“县级疾病预防控制机构开展预防接种技术指导、人员培训、绩效考核、监测评估</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2、结核病控制及世行贷款</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rPr>
        <w:t xml:space="preserve">根据省、市级的文件精神结合我区实际制定工作计划及工作指标；按《中国结核病防治规划实施工作指南》要求对对定点医院开展了12次督导、对基层医疗卫生单位开展了126次督导，强化绩效考核；严格按照《国家基本公共卫生服务项目规范（第三版）》要求，加强对城区、乡（镇）、村级结核病患者管理工作的技术指导和培训，全年对基层医疗机构进行结核病督导管理的工作人员培训了3次。 </w:t>
      </w:r>
      <w:r>
        <w:rPr>
          <w:rFonts w:hint="eastAsia" w:ascii="仿宋" w:hAnsi="仿宋" w:eastAsia="仿宋"/>
          <w:color w:val="auto"/>
          <w:sz w:val="32"/>
          <w:szCs w:val="32"/>
          <w:lang w:val="en-US" w:eastAsia="zh-CN"/>
        </w:rPr>
        <w:t>2020年</w:t>
      </w:r>
      <w:r>
        <w:rPr>
          <w:rFonts w:hint="eastAsia" w:ascii="仿宋" w:hAnsi="仿宋" w:eastAsia="仿宋"/>
          <w:color w:val="auto"/>
          <w:sz w:val="32"/>
          <w:szCs w:val="32"/>
        </w:rPr>
        <w:t>全区共到位非结防机构转诊的肺结核患者和疑似肺结核患者</w:t>
      </w:r>
      <w:r>
        <w:rPr>
          <w:rFonts w:hint="eastAsia" w:ascii="仿宋" w:hAnsi="仿宋" w:eastAsia="仿宋"/>
          <w:color w:val="auto"/>
          <w:sz w:val="32"/>
          <w:szCs w:val="32"/>
          <w:lang w:val="en-US" w:eastAsia="zh-CN"/>
        </w:rPr>
        <w:t>640</w:t>
      </w:r>
      <w:r>
        <w:rPr>
          <w:rFonts w:hint="eastAsia" w:ascii="仿宋" w:hAnsi="仿宋" w:eastAsia="仿宋"/>
          <w:color w:val="auto"/>
          <w:sz w:val="32"/>
          <w:szCs w:val="32"/>
        </w:rPr>
        <w:t>例，总体到位率达到</w:t>
      </w:r>
      <w:r>
        <w:rPr>
          <w:rFonts w:hint="eastAsia" w:ascii="仿宋" w:hAnsi="仿宋" w:eastAsia="仿宋"/>
          <w:color w:val="auto"/>
          <w:sz w:val="32"/>
          <w:szCs w:val="32"/>
          <w:lang w:val="en-US" w:eastAsia="zh-CN"/>
        </w:rPr>
        <w:t>96.82</w:t>
      </w:r>
      <w:r>
        <w:rPr>
          <w:rFonts w:hint="eastAsia" w:ascii="仿宋" w:hAnsi="仿宋" w:eastAsia="仿宋"/>
          <w:color w:val="auto"/>
          <w:sz w:val="32"/>
          <w:szCs w:val="32"/>
        </w:rPr>
        <w:t>%；登记活动性肺结核</w:t>
      </w:r>
      <w:r>
        <w:rPr>
          <w:rFonts w:hint="eastAsia" w:ascii="仿宋" w:hAnsi="仿宋" w:eastAsia="仿宋"/>
          <w:color w:val="auto"/>
          <w:sz w:val="32"/>
          <w:szCs w:val="32"/>
          <w:lang w:val="en-US" w:eastAsia="zh-CN"/>
        </w:rPr>
        <w:t>439</w:t>
      </w:r>
      <w:r>
        <w:rPr>
          <w:rFonts w:hint="eastAsia" w:ascii="仿宋" w:hAnsi="仿宋" w:eastAsia="仿宋"/>
          <w:color w:val="auto"/>
          <w:sz w:val="32"/>
          <w:szCs w:val="32"/>
        </w:rPr>
        <w:t>例，其中病原性阳性患者</w:t>
      </w:r>
      <w:r>
        <w:rPr>
          <w:rFonts w:hint="eastAsia" w:ascii="仿宋" w:hAnsi="仿宋" w:eastAsia="仿宋"/>
          <w:color w:val="auto"/>
          <w:sz w:val="32"/>
          <w:szCs w:val="32"/>
          <w:lang w:val="en-US" w:eastAsia="zh-CN"/>
        </w:rPr>
        <w:t>272</w:t>
      </w:r>
      <w:r>
        <w:rPr>
          <w:rFonts w:hint="eastAsia" w:ascii="仿宋" w:hAnsi="仿宋" w:eastAsia="仿宋"/>
          <w:color w:val="auto"/>
          <w:sz w:val="32"/>
          <w:szCs w:val="32"/>
        </w:rPr>
        <w:t>例，病原学阳性率</w:t>
      </w:r>
      <w:r>
        <w:rPr>
          <w:rFonts w:hint="eastAsia" w:ascii="仿宋" w:hAnsi="仿宋" w:eastAsia="仿宋"/>
          <w:color w:val="auto"/>
          <w:sz w:val="32"/>
          <w:szCs w:val="32"/>
          <w:lang w:val="en-US" w:eastAsia="zh-CN"/>
        </w:rPr>
        <w:t>61.96</w:t>
      </w:r>
      <w:r>
        <w:rPr>
          <w:rFonts w:hint="eastAsia" w:ascii="仿宋" w:hAnsi="仿宋" w:eastAsia="仿宋"/>
          <w:color w:val="auto"/>
          <w:sz w:val="32"/>
          <w:szCs w:val="32"/>
        </w:rPr>
        <w:t>%，病原学检查阳性肺结核患者的密切接触者筛查率达到100%；20</w:t>
      </w:r>
      <w:r>
        <w:rPr>
          <w:rFonts w:hint="eastAsia" w:ascii="仿宋" w:hAnsi="仿宋" w:eastAsia="仿宋"/>
          <w:color w:val="auto"/>
          <w:sz w:val="32"/>
          <w:szCs w:val="32"/>
          <w:lang w:val="en-US" w:eastAsia="zh-CN"/>
        </w:rPr>
        <w:t>20</w:t>
      </w:r>
      <w:r>
        <w:rPr>
          <w:rFonts w:hint="eastAsia" w:ascii="仿宋" w:hAnsi="仿宋" w:eastAsia="仿宋"/>
          <w:color w:val="auto"/>
          <w:sz w:val="32"/>
          <w:szCs w:val="32"/>
        </w:rPr>
        <w:t>年发现</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例耐多药病人，均纳入了耐多药治疗，耐多药病人纳入治疗率100%；肺结核患者成功治疗率</w:t>
      </w:r>
      <w:r>
        <w:rPr>
          <w:rFonts w:hint="eastAsia" w:ascii="仿宋" w:hAnsi="仿宋" w:eastAsia="仿宋"/>
          <w:color w:val="auto"/>
          <w:sz w:val="32"/>
          <w:szCs w:val="32"/>
          <w:lang w:val="en-US" w:eastAsia="zh-CN"/>
        </w:rPr>
        <w:t>96.57</w:t>
      </w:r>
      <w:r>
        <w:rPr>
          <w:rFonts w:hint="eastAsia" w:ascii="仿宋" w:hAnsi="仿宋" w:eastAsia="仿宋"/>
          <w:color w:val="auto"/>
          <w:sz w:val="32"/>
          <w:szCs w:val="32"/>
        </w:rPr>
        <w:t>%；基层医疗卫生机构规范管理肺结核患者</w:t>
      </w:r>
      <w:r>
        <w:rPr>
          <w:rFonts w:hint="eastAsia" w:ascii="仿宋" w:hAnsi="仿宋" w:eastAsia="仿宋"/>
          <w:color w:val="auto"/>
          <w:sz w:val="32"/>
          <w:szCs w:val="32"/>
          <w:lang w:val="en-US" w:eastAsia="zh-CN"/>
        </w:rPr>
        <w:t>472</w:t>
      </w:r>
      <w:r>
        <w:rPr>
          <w:rFonts w:hint="eastAsia" w:ascii="仿宋" w:hAnsi="仿宋" w:eastAsia="仿宋"/>
          <w:color w:val="auto"/>
          <w:sz w:val="32"/>
          <w:szCs w:val="32"/>
        </w:rPr>
        <w:t>例，规范管理率达到96.6</w:t>
      </w:r>
      <w:r>
        <w:rPr>
          <w:rFonts w:hint="eastAsia" w:ascii="仿宋" w:hAnsi="仿宋" w:eastAsia="仿宋"/>
          <w:color w:val="auto"/>
          <w:sz w:val="32"/>
          <w:szCs w:val="32"/>
          <w:lang w:val="en-US" w:eastAsia="zh-CN"/>
        </w:rPr>
        <w:t>1</w:t>
      </w:r>
      <w:r>
        <w:rPr>
          <w:rFonts w:hint="eastAsia" w:ascii="仿宋" w:hAnsi="仿宋" w:eastAsia="仿宋"/>
          <w:color w:val="auto"/>
          <w:sz w:val="32"/>
          <w:szCs w:val="32"/>
        </w:rPr>
        <w:t xml:space="preserve">%。 </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3、灰质炎防治</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 xml:space="preserve">脊髓灰质炎，曾严重威胁全球儿童健康。1991年，我国政府向国际社会庄严承诺消灭脊灰，1994年阻断了本土脊灰野病毒的传播，2000年实现了无脊灰目标并得到国际社会的认可。近年来，特别是2011年，新疆发生输入性脊灰野病毒疫情，打破了我国持续十多年的脊灰零纪录，全国脊灰防控形势依然十分严峻。为此，我区必须确保继续维持无脊灰状态，切实巩固消除脊灰成果。全区适龄儿童脊灰疫苗全程接种率持续保持在95%以上，继续维持无脊灰状态，切实巩固消除脊灰成果。       </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4、霍乱防控</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根据《湖南省20</w:t>
      </w:r>
      <w:r>
        <w:rPr>
          <w:rFonts w:hint="eastAsia" w:ascii="仿宋" w:hAnsi="仿宋" w:eastAsia="仿宋" w:cs="仿宋"/>
          <w:color w:val="auto"/>
          <w:kern w:val="0"/>
          <w:sz w:val="32"/>
          <w:szCs w:val="32"/>
          <w:lang w:val="en-US" w:eastAsia="zh-CN"/>
        </w:rPr>
        <w:t>20</w:t>
      </w:r>
      <w:r>
        <w:rPr>
          <w:rFonts w:hint="eastAsia" w:ascii="仿宋" w:hAnsi="仿宋" w:eastAsia="仿宋" w:cs="仿宋"/>
          <w:color w:val="auto"/>
          <w:kern w:val="0"/>
          <w:sz w:val="32"/>
          <w:szCs w:val="32"/>
        </w:rPr>
        <w:t>年霍乱监测防控实施方案》、《全国霍乱监测方案（2012年版）》、《霍乱防治手册（第六版）》和《霍乱诊断标准及处理原则》（WS289-2008），</w:t>
      </w:r>
      <w:r>
        <w:rPr>
          <w:rFonts w:hint="eastAsia" w:ascii="仿宋" w:hAnsi="仿宋" w:eastAsia="仿宋" w:cs="仿宋"/>
          <w:color w:val="auto"/>
          <w:kern w:val="0"/>
          <w:sz w:val="32"/>
          <w:szCs w:val="32"/>
          <w:lang w:eastAsia="zh-CN"/>
        </w:rPr>
        <w:t>按要求</w:t>
      </w:r>
      <w:r>
        <w:rPr>
          <w:rFonts w:hint="eastAsia" w:ascii="仿宋" w:hAnsi="仿宋" w:eastAsia="仿宋" w:cs="仿宋"/>
          <w:color w:val="auto"/>
          <w:kern w:val="0"/>
          <w:sz w:val="32"/>
          <w:szCs w:val="32"/>
        </w:rPr>
        <w:t>开展</w:t>
      </w:r>
      <w:r>
        <w:rPr>
          <w:rFonts w:hint="eastAsia" w:ascii="仿宋" w:hAnsi="仿宋" w:eastAsia="仿宋" w:cs="仿宋"/>
          <w:color w:val="auto"/>
          <w:kern w:val="0"/>
          <w:sz w:val="32"/>
          <w:szCs w:val="32"/>
          <w:lang w:eastAsia="zh-CN"/>
        </w:rPr>
        <w:t>霍</w:t>
      </w:r>
      <w:r>
        <w:rPr>
          <w:rFonts w:hint="eastAsia" w:ascii="仿宋" w:hAnsi="仿宋" w:eastAsia="仿宋" w:cs="仿宋"/>
          <w:color w:val="auto"/>
          <w:kern w:val="0"/>
          <w:sz w:val="32"/>
          <w:szCs w:val="32"/>
        </w:rPr>
        <w:t xml:space="preserve">乱监测。 </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color w:val="0000FF"/>
          <w:kern w:val="0"/>
          <w:sz w:val="32"/>
          <w:szCs w:val="32"/>
          <w:lang w:val="en-US" w:eastAsia="zh-CN"/>
        </w:rPr>
      </w:pPr>
      <w:r>
        <w:rPr>
          <w:rFonts w:hint="eastAsia" w:ascii="仿宋" w:hAnsi="仿宋" w:eastAsia="仿宋" w:cs="仿宋"/>
          <w:color w:val="auto"/>
          <w:kern w:val="0"/>
          <w:sz w:val="32"/>
          <w:szCs w:val="32"/>
          <w:lang w:val="en-US" w:eastAsia="zh-CN"/>
        </w:rPr>
        <w:t>2020年我区无霍乱病例报告，驻区</w:t>
      </w:r>
      <w:r>
        <w:rPr>
          <w:rFonts w:hint="eastAsia" w:ascii="仿宋" w:hAnsi="仿宋" w:eastAsia="仿宋" w:cs="仿宋"/>
          <w:color w:val="auto"/>
          <w:kern w:val="0"/>
          <w:sz w:val="32"/>
          <w:szCs w:val="32"/>
        </w:rPr>
        <w:t>各医疗机构</w:t>
      </w:r>
      <w:r>
        <w:rPr>
          <w:rFonts w:hint="eastAsia" w:ascii="仿宋" w:hAnsi="仿宋" w:eastAsia="仿宋" w:cs="仿宋"/>
          <w:color w:val="auto"/>
          <w:kern w:val="0"/>
          <w:sz w:val="32"/>
          <w:szCs w:val="32"/>
          <w:lang w:val="en-US" w:eastAsia="zh-CN"/>
        </w:rPr>
        <w:t>2020</w:t>
      </w:r>
      <w:r>
        <w:rPr>
          <w:rFonts w:hint="eastAsia" w:ascii="仿宋" w:hAnsi="仿宋" w:eastAsia="仿宋" w:cs="仿宋"/>
          <w:color w:val="auto"/>
          <w:kern w:val="0"/>
          <w:sz w:val="32"/>
          <w:szCs w:val="32"/>
        </w:rPr>
        <w:t>年共登记腹泻病人547例，对281例疑似症状者进行检测，未检出阳性病人，检索率51.37%，检索阳性数为0</w:t>
      </w:r>
      <w:r>
        <w:rPr>
          <w:rFonts w:hint="eastAsia" w:ascii="仿宋" w:hAnsi="仿宋" w:eastAsia="仿宋" w:cs="仿宋"/>
          <w:color w:val="auto"/>
          <w:kern w:val="0"/>
          <w:sz w:val="32"/>
          <w:szCs w:val="32"/>
          <w:lang w:val="en-US" w:eastAsia="zh-CN"/>
        </w:rPr>
        <w:t>。</w:t>
      </w:r>
      <w:r>
        <w:rPr>
          <w:rFonts w:hint="eastAsia" w:ascii="仿宋_GB2312" w:eastAsia="仿宋_GB2312"/>
          <w:color w:val="auto"/>
          <w:sz w:val="32"/>
          <w:szCs w:val="32"/>
          <w:lang w:val="en-US" w:eastAsia="zh-CN"/>
        </w:rPr>
        <w:t>5-10月</w:t>
      </w:r>
      <w:r>
        <w:rPr>
          <w:rFonts w:hint="eastAsia" w:ascii="仿宋_GB2312" w:eastAsia="仿宋_GB2312"/>
          <w:color w:val="auto"/>
          <w:sz w:val="32"/>
          <w:szCs w:val="32"/>
        </w:rPr>
        <w:t>份</w:t>
      </w:r>
      <w:r>
        <w:rPr>
          <w:rFonts w:hint="eastAsia" w:ascii="仿宋_GB2312" w:eastAsia="仿宋_GB2312"/>
          <w:color w:val="auto"/>
          <w:sz w:val="32"/>
          <w:szCs w:val="32"/>
          <w:lang w:eastAsia="zh-CN"/>
        </w:rPr>
        <w:t>我</w:t>
      </w:r>
      <w:r>
        <w:rPr>
          <w:rFonts w:hint="eastAsia" w:ascii="仿宋_GB2312" w:eastAsia="仿宋_GB2312"/>
          <w:color w:val="auto"/>
          <w:sz w:val="32"/>
          <w:szCs w:val="32"/>
        </w:rPr>
        <w:t>区进行</w:t>
      </w:r>
      <w:r>
        <w:rPr>
          <w:rFonts w:hint="eastAsia" w:ascii="仿宋_GB2312" w:eastAsia="仿宋_GB2312"/>
          <w:color w:val="auto"/>
          <w:sz w:val="32"/>
          <w:szCs w:val="32"/>
          <w:lang w:eastAsia="zh-CN"/>
        </w:rPr>
        <w:t>霍乱</w:t>
      </w:r>
      <w:r>
        <w:rPr>
          <w:rFonts w:hint="eastAsia" w:ascii="仿宋_GB2312" w:eastAsia="仿宋_GB2312"/>
          <w:color w:val="auto"/>
          <w:sz w:val="32"/>
          <w:szCs w:val="32"/>
        </w:rPr>
        <w:t>水体监测，</w:t>
      </w:r>
      <w:r>
        <w:rPr>
          <w:rFonts w:hint="eastAsia" w:ascii="仿宋_GB2312" w:eastAsia="仿宋_GB2312"/>
          <w:color w:val="auto"/>
          <w:sz w:val="32"/>
          <w:szCs w:val="32"/>
          <w:lang w:eastAsia="zh-CN"/>
        </w:rPr>
        <w:t>涵盖我区各类水产养殖水，湖泊水及湘江河水等。</w:t>
      </w:r>
      <w:r>
        <w:rPr>
          <w:rFonts w:hint="eastAsia" w:ascii="仿宋_GB2312" w:eastAsia="仿宋_GB2312"/>
          <w:color w:val="auto"/>
          <w:sz w:val="32"/>
          <w:szCs w:val="32"/>
          <w:lang w:val="en-US" w:eastAsia="zh-CN"/>
        </w:rPr>
        <w:t>2020年</w:t>
      </w:r>
      <w:r>
        <w:rPr>
          <w:rFonts w:hint="eastAsia" w:ascii="仿宋_GB2312" w:eastAsia="仿宋_GB2312"/>
          <w:color w:val="auto"/>
          <w:sz w:val="32"/>
          <w:szCs w:val="32"/>
        </w:rPr>
        <w:t>共</w:t>
      </w:r>
      <w:r>
        <w:rPr>
          <w:rFonts w:hint="eastAsia" w:ascii="仿宋_GB2312" w:eastAsia="仿宋_GB2312"/>
          <w:color w:val="auto"/>
          <w:sz w:val="32"/>
          <w:szCs w:val="32"/>
          <w:lang w:eastAsia="zh-CN"/>
        </w:rPr>
        <w:t>采集各种水体样本</w:t>
      </w:r>
      <w:r>
        <w:rPr>
          <w:rFonts w:hint="eastAsia" w:ascii="仿宋_GB2312" w:eastAsia="仿宋_GB2312"/>
          <w:color w:val="auto"/>
          <w:sz w:val="32"/>
          <w:szCs w:val="32"/>
          <w:lang w:val="en-US" w:eastAsia="zh-CN"/>
        </w:rPr>
        <w:t>30</w:t>
      </w:r>
      <w:r>
        <w:rPr>
          <w:rFonts w:hint="eastAsia" w:ascii="仿宋_GB2312" w:eastAsia="仿宋_GB2312"/>
          <w:color w:val="auto"/>
          <w:sz w:val="32"/>
          <w:szCs w:val="32"/>
        </w:rPr>
        <w:t>份，</w:t>
      </w:r>
      <w:r>
        <w:rPr>
          <w:rFonts w:hint="eastAsia" w:ascii="仿宋_GB2312" w:eastAsia="仿宋_GB2312"/>
          <w:color w:val="auto"/>
          <w:sz w:val="32"/>
          <w:szCs w:val="32"/>
          <w:lang w:eastAsia="zh-CN"/>
        </w:rPr>
        <w:t>未检出霍乱弧菌。</w:t>
      </w:r>
      <w:r>
        <w:rPr>
          <w:rFonts w:hint="eastAsia" w:ascii="仿宋_GB2312" w:hAnsi="宋体" w:eastAsia="仿宋_GB2312"/>
          <w:color w:val="auto"/>
          <w:sz w:val="32"/>
          <w:szCs w:val="32"/>
        </w:rPr>
        <w:t>水产品包括甲鱼</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鱼、虾、牛蛙、螃蟹等，共监测样品</w:t>
      </w:r>
      <w:r>
        <w:rPr>
          <w:rFonts w:hint="eastAsia" w:ascii="仿宋_GB2312" w:hAnsi="宋体" w:eastAsia="仿宋_GB2312"/>
          <w:color w:val="auto"/>
          <w:sz w:val="32"/>
          <w:szCs w:val="32"/>
          <w:lang w:val="en-US" w:eastAsia="zh-CN"/>
        </w:rPr>
        <w:t>67</w:t>
      </w:r>
      <w:r>
        <w:rPr>
          <w:rFonts w:hint="eastAsia" w:ascii="仿宋_GB2312" w:hAnsi="宋体" w:eastAsia="仿宋_GB2312"/>
          <w:color w:val="auto"/>
          <w:sz w:val="32"/>
          <w:szCs w:val="32"/>
        </w:rPr>
        <w:t>份，样品检测结果均为阴性</w:t>
      </w:r>
      <w:r>
        <w:rPr>
          <w:rFonts w:hint="eastAsia" w:ascii="仿宋_GB2312" w:hAnsi="宋体" w:eastAsia="仿宋_GB2312"/>
          <w:color w:val="0000FF"/>
          <w:sz w:val="32"/>
          <w:szCs w:val="32"/>
        </w:rPr>
        <w:t>。</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5、</w:t>
      </w:r>
      <w:r>
        <w:rPr>
          <w:rFonts w:hint="eastAsia" w:ascii="仿宋" w:hAnsi="仿宋" w:eastAsia="仿宋" w:cs="仿宋"/>
          <w:sz w:val="32"/>
          <w:szCs w:val="32"/>
        </w:rPr>
        <w:t>预防性免费健康体检</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根据《食品安全法》和《公共场所卫生管理条例》，有关从业人员每年必需取得健康体检合格证方可上岗。根据财政部和国家发展改革委《关于清理规范一批行政事业性收费有关政策的通知》（财税〔2017〕20号），自2017年4月1日起取消健康体检费。</w:t>
      </w:r>
    </w:p>
    <w:p>
      <w:pPr>
        <w:ind w:firstLine="640" w:firstLineChars="200"/>
        <w:rPr>
          <w:rFonts w:hint="eastAsia" w:ascii="仿宋" w:hAnsi="仿宋" w:eastAsia="仿宋" w:cs="仿宋"/>
          <w:color w:val="auto"/>
          <w:sz w:val="32"/>
        </w:rPr>
      </w:pPr>
      <w:r>
        <w:rPr>
          <w:rFonts w:hint="eastAsia" w:ascii="仿宋" w:hAnsi="仿宋" w:eastAsia="仿宋" w:cs="仿宋"/>
          <w:color w:val="auto"/>
          <w:sz w:val="32"/>
          <w:lang w:val="en-US" w:eastAsia="zh-CN"/>
        </w:rPr>
        <w:t>2020</w:t>
      </w:r>
      <w:r>
        <w:rPr>
          <w:rFonts w:hint="eastAsia" w:ascii="仿宋" w:hAnsi="仿宋" w:eastAsia="仿宋" w:cs="仿宋"/>
          <w:color w:val="auto"/>
          <w:sz w:val="32"/>
        </w:rPr>
        <w:t>全</w:t>
      </w:r>
      <w:r>
        <w:rPr>
          <w:rFonts w:hint="eastAsia" w:ascii="仿宋" w:hAnsi="仿宋" w:eastAsia="仿宋" w:cs="仿宋"/>
          <w:color w:val="auto"/>
          <w:sz w:val="32"/>
          <w:lang w:val="en-US" w:eastAsia="zh-CN"/>
        </w:rPr>
        <w:t>年</w:t>
      </w:r>
      <w:r>
        <w:rPr>
          <w:rFonts w:hint="eastAsia" w:ascii="仿宋" w:hAnsi="仿宋" w:eastAsia="仿宋" w:cs="仿宋"/>
          <w:color w:val="auto"/>
          <w:sz w:val="32"/>
        </w:rPr>
        <w:t>共免费体检了</w:t>
      </w:r>
      <w:r>
        <w:rPr>
          <w:rFonts w:hint="eastAsia" w:ascii="仿宋" w:hAnsi="仿宋" w:eastAsia="仿宋" w:cs="仿宋"/>
          <w:color w:val="auto"/>
          <w:sz w:val="32"/>
          <w:lang w:val="en-US" w:eastAsia="zh-CN"/>
        </w:rPr>
        <w:t>32191</w:t>
      </w:r>
      <w:r>
        <w:rPr>
          <w:rFonts w:hint="eastAsia" w:ascii="仿宋" w:hAnsi="仿宋" w:eastAsia="仿宋" w:cs="仿宋"/>
          <w:color w:val="auto"/>
          <w:sz w:val="32"/>
        </w:rPr>
        <w:t>人，较去年同期（共体检</w:t>
      </w:r>
      <w:r>
        <w:rPr>
          <w:rFonts w:hint="eastAsia" w:ascii="仿宋" w:hAnsi="仿宋" w:eastAsia="仿宋" w:cs="仿宋"/>
          <w:color w:val="auto"/>
          <w:sz w:val="32"/>
          <w:lang w:val="en-US" w:eastAsia="zh-CN"/>
        </w:rPr>
        <w:t>28202</w:t>
      </w:r>
      <w:r>
        <w:rPr>
          <w:rFonts w:hint="eastAsia" w:ascii="仿宋" w:hAnsi="仿宋" w:eastAsia="仿宋" w:cs="仿宋"/>
          <w:color w:val="auto"/>
          <w:sz w:val="32"/>
        </w:rPr>
        <w:t>人）增长了</w:t>
      </w:r>
      <w:r>
        <w:rPr>
          <w:rFonts w:hint="eastAsia" w:ascii="仿宋" w:hAnsi="仿宋" w:eastAsia="仿宋" w:cs="仿宋"/>
          <w:color w:val="auto"/>
          <w:sz w:val="32"/>
          <w:lang w:val="en-US" w:eastAsia="zh-CN"/>
        </w:rPr>
        <w:t>14</w:t>
      </w:r>
      <w:r>
        <w:rPr>
          <w:rFonts w:hint="eastAsia" w:ascii="仿宋" w:hAnsi="仿宋" w:eastAsia="仿宋" w:cs="仿宋"/>
          <w:color w:val="auto"/>
          <w:sz w:val="32"/>
        </w:rPr>
        <w:t>%</w:t>
      </w:r>
      <w:r>
        <w:rPr>
          <w:rFonts w:hint="eastAsia" w:ascii="仿宋" w:hAnsi="仿宋" w:eastAsia="仿宋" w:cs="仿宋"/>
          <w:color w:val="auto"/>
          <w:sz w:val="32"/>
          <w:lang w:eastAsia="zh-CN"/>
        </w:rPr>
        <w:t>。</w:t>
      </w:r>
      <w:r>
        <w:rPr>
          <w:rFonts w:hint="eastAsia" w:ascii="仿宋" w:hAnsi="仿宋" w:eastAsia="仿宋" w:cs="仿宋"/>
          <w:color w:val="auto"/>
          <w:sz w:val="32"/>
        </w:rPr>
        <w:t>筛查发现疑似结核病例</w:t>
      </w:r>
      <w:r>
        <w:rPr>
          <w:rFonts w:hint="eastAsia" w:ascii="仿宋" w:hAnsi="仿宋" w:eastAsia="仿宋" w:cs="仿宋"/>
          <w:color w:val="auto"/>
          <w:sz w:val="32"/>
          <w:lang w:val="en-US" w:eastAsia="zh-CN"/>
        </w:rPr>
        <w:t>28</w:t>
      </w:r>
      <w:r>
        <w:rPr>
          <w:rFonts w:hint="eastAsia" w:ascii="仿宋" w:hAnsi="仿宋" w:eastAsia="仿宋" w:cs="仿宋"/>
          <w:color w:val="auto"/>
          <w:sz w:val="32"/>
        </w:rPr>
        <w:t>例，</w:t>
      </w:r>
      <w:r>
        <w:rPr>
          <w:rFonts w:hint="eastAsia" w:ascii="仿宋" w:hAnsi="仿宋" w:eastAsia="仿宋" w:cs="仿宋"/>
          <w:color w:val="auto"/>
          <w:sz w:val="32"/>
          <w:lang w:val="en-US" w:eastAsia="zh-CN"/>
        </w:rPr>
        <w:t>陈旧性结核21例，继发性结核7例，</w:t>
      </w:r>
      <w:r>
        <w:rPr>
          <w:rFonts w:hint="eastAsia" w:ascii="仿宋" w:hAnsi="仿宋" w:eastAsia="仿宋" w:cs="仿宋"/>
          <w:color w:val="auto"/>
          <w:sz w:val="32"/>
        </w:rPr>
        <w:t>传染性皮肤病的检查发现皮肤病例</w:t>
      </w:r>
      <w:r>
        <w:rPr>
          <w:rFonts w:hint="eastAsia" w:ascii="仿宋" w:hAnsi="仿宋" w:eastAsia="仿宋" w:cs="仿宋"/>
          <w:color w:val="auto"/>
          <w:sz w:val="32"/>
          <w:lang w:val="en-US" w:eastAsia="zh-CN"/>
        </w:rPr>
        <w:t>44</w:t>
      </w:r>
      <w:r>
        <w:rPr>
          <w:rFonts w:hint="eastAsia" w:ascii="仿宋" w:hAnsi="仿宋" w:eastAsia="仿宋" w:cs="仿宋"/>
          <w:color w:val="auto"/>
          <w:sz w:val="32"/>
        </w:rPr>
        <w:t>例，</w:t>
      </w:r>
      <w:r>
        <w:rPr>
          <w:rFonts w:hint="eastAsia" w:ascii="仿宋" w:hAnsi="仿宋" w:eastAsia="仿宋" w:cs="仿宋"/>
          <w:color w:val="auto"/>
          <w:sz w:val="32"/>
          <w:lang w:val="en-US" w:eastAsia="zh-CN"/>
        </w:rPr>
        <w:t>谷丙转氨酶异常3380</w:t>
      </w:r>
      <w:r>
        <w:rPr>
          <w:rFonts w:hint="eastAsia" w:ascii="仿宋" w:hAnsi="仿宋" w:eastAsia="仿宋" w:cs="仿宋"/>
          <w:color w:val="auto"/>
          <w:sz w:val="32"/>
        </w:rPr>
        <w:t>例</w:t>
      </w:r>
      <w:r>
        <w:rPr>
          <w:rFonts w:hint="eastAsia" w:ascii="仿宋" w:hAnsi="仿宋" w:eastAsia="仿宋" w:cs="仿宋"/>
          <w:color w:val="auto"/>
          <w:sz w:val="32"/>
          <w:lang w:eastAsia="zh-CN"/>
        </w:rPr>
        <w:t>，</w:t>
      </w:r>
      <w:r>
        <w:rPr>
          <w:rFonts w:hint="eastAsia" w:ascii="仿宋" w:hAnsi="仿宋" w:eastAsia="仿宋" w:cs="仿宋"/>
          <w:color w:val="auto"/>
          <w:sz w:val="32"/>
          <w:lang w:val="en-US" w:eastAsia="zh-CN"/>
        </w:rPr>
        <w:t>经复查甲肝、戊肝肝炎抗体检查，对体检不合格人员没有发放健康证，不能从事饮食及公共场所的工作。真正意义是控制了上述传染病的传染源，从而防止了上述传染病的传播，保障人民的生命安全。</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6、</w:t>
      </w:r>
      <w:r>
        <w:rPr>
          <w:rFonts w:hint="eastAsia" w:ascii="仿宋" w:hAnsi="仿宋" w:eastAsia="仿宋" w:cs="仿宋"/>
          <w:sz w:val="32"/>
          <w:szCs w:val="32"/>
        </w:rPr>
        <w:t>卫生监测及设备维护</w:t>
      </w:r>
    </w:p>
    <w:p>
      <w:pPr>
        <w:autoSpaceDE w:val="0"/>
        <w:autoSpaceDN w:val="0"/>
        <w:adjustRightInd w:val="0"/>
        <w:spacing w:line="520" w:lineRule="exact"/>
        <w:ind w:firstLine="640" w:firstLineChars="200"/>
        <w:rPr>
          <w:rFonts w:ascii="仿宋" w:hAnsi="仿宋" w:eastAsia="仿宋" w:cs="仿宋"/>
          <w:color w:val="auto"/>
          <w:kern w:val="0"/>
          <w:sz w:val="32"/>
          <w:szCs w:val="32"/>
          <w:shd w:val="clear" w:color="auto" w:fill="FFFFFF"/>
        </w:rPr>
      </w:pPr>
      <w:r>
        <w:rPr>
          <w:rFonts w:hint="eastAsia" w:ascii="仿宋" w:hAnsi="仿宋" w:eastAsia="仿宋" w:cs="仿宋"/>
          <w:kern w:val="0"/>
          <w:sz w:val="32"/>
          <w:szCs w:val="32"/>
        </w:rPr>
        <w:t>根据《公共场所卫生管理条例》、《突发公共事件处理》、</w:t>
      </w:r>
      <w:r>
        <w:rPr>
          <w:rFonts w:hint="eastAsia" w:ascii="仿宋" w:hAnsi="仿宋" w:eastAsia="仿宋" w:cs="仿宋"/>
          <w:sz w:val="32"/>
          <w:szCs w:val="32"/>
        </w:rPr>
        <w:t>《湖南省卫生计生委关于印发&lt;湖南省城乡饮用水水质卫生监测工作方案（2020版）&gt;的通知》、</w:t>
      </w:r>
      <w:r>
        <w:rPr>
          <w:rFonts w:hint="eastAsia" w:ascii="仿宋" w:hAnsi="仿宋" w:eastAsia="仿宋" w:cs="仿宋"/>
          <w:kern w:val="0"/>
          <w:sz w:val="32"/>
          <w:szCs w:val="32"/>
        </w:rPr>
        <w:t>全区中小学卫生监测、全区中小学“护苗行动”方案要求等</w:t>
      </w:r>
      <w:r>
        <w:rPr>
          <w:rFonts w:hint="eastAsia" w:ascii="仿宋" w:hAnsi="仿宋" w:eastAsia="仿宋" w:cs="仿宋"/>
          <w:kern w:val="0"/>
          <w:sz w:val="32"/>
          <w:szCs w:val="32"/>
          <w:shd w:val="clear" w:color="auto" w:fill="FFFFFF"/>
        </w:rPr>
        <w:t>2020年安排我中心专项资金50万元，其使用严格按文件要求做到专款专用，专人负责，其中农村饮水安全工程水质检测15.6万元、涉及水体污染事件检测5.8万元、学校生活饮用水专项行动（护苗行动）5.8万元、学校卫生监测4.5万元及双随机监测17万元、购买检测试剂耗材1.5万元。</w:t>
      </w:r>
    </w:p>
    <w:p>
      <w:pPr>
        <w:keepNext w:val="0"/>
        <w:keepLines w:val="0"/>
        <w:pageBreakBefore w:val="0"/>
        <w:widowControl w:val="0"/>
        <w:kinsoku/>
        <w:wordWrap/>
        <w:overflowPunct/>
        <w:topLinePunct w:val="0"/>
        <w:bidi w:val="0"/>
        <w:snapToGrid/>
        <w:spacing w:line="52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xml:space="preserve"> 7、入学新生肺结核筛查、学生结核密切接触者筛查</w:t>
      </w:r>
    </w:p>
    <w:p>
      <w:pPr>
        <w:rPr>
          <w:rFonts w:hint="eastAsia" w:eastAsia="仿宋_GB2312"/>
          <w:color w:val="auto"/>
          <w:kern w:val="0"/>
          <w:sz w:val="32"/>
          <w:szCs w:val="32"/>
        </w:rPr>
      </w:pPr>
      <w:r>
        <w:rPr>
          <w:rFonts w:hint="eastAsia" w:ascii="仿宋" w:hAnsi="仿宋" w:eastAsia="仿宋"/>
          <w:color w:val="auto"/>
          <w:sz w:val="32"/>
          <w:szCs w:val="32"/>
        </w:rPr>
        <w:t>根据《结核病防治管理办法》（原卫生部令第92号）、《关于印发学校结核病防控工作规范（2017版）的通知》（国卫办疾控发[2017]22号）和《关于印发学校&lt;湖南省入学新生肺结核筛查工作实施方案&gt;的通知》（湘卫疾控发[2018]4号），学校按有关规定将结核病检查项目作为新生入学体检必查项目，20</w:t>
      </w:r>
      <w:r>
        <w:rPr>
          <w:rFonts w:hint="eastAsia" w:ascii="仿宋" w:hAnsi="仿宋" w:eastAsia="仿宋"/>
          <w:color w:val="auto"/>
          <w:sz w:val="32"/>
          <w:szCs w:val="32"/>
          <w:lang w:val="en-US" w:eastAsia="zh-CN"/>
        </w:rPr>
        <w:t>20</w:t>
      </w:r>
      <w:r>
        <w:rPr>
          <w:rFonts w:hint="eastAsia" w:ascii="仿宋" w:hAnsi="仿宋" w:eastAsia="仿宋"/>
          <w:color w:val="auto"/>
          <w:sz w:val="32"/>
          <w:szCs w:val="32"/>
        </w:rPr>
        <w:t>年全区应筛查幼儿园</w:t>
      </w:r>
      <w:r>
        <w:rPr>
          <w:rFonts w:hint="eastAsia" w:ascii="仿宋" w:hAnsi="仿宋" w:eastAsia="仿宋"/>
          <w:color w:val="auto"/>
          <w:sz w:val="32"/>
          <w:szCs w:val="32"/>
          <w:lang w:val="en-US" w:eastAsia="zh-CN"/>
        </w:rPr>
        <w:t>229</w:t>
      </w:r>
      <w:r>
        <w:rPr>
          <w:rFonts w:hint="eastAsia" w:ascii="仿宋" w:hAnsi="仿宋" w:eastAsia="仿宋"/>
          <w:color w:val="auto"/>
          <w:sz w:val="32"/>
          <w:szCs w:val="32"/>
        </w:rPr>
        <w:t>所，实筛查</w:t>
      </w:r>
      <w:r>
        <w:rPr>
          <w:rFonts w:hint="eastAsia" w:ascii="仿宋" w:hAnsi="仿宋" w:eastAsia="仿宋"/>
          <w:color w:val="auto"/>
          <w:sz w:val="32"/>
          <w:szCs w:val="32"/>
          <w:lang w:val="en-US" w:eastAsia="zh-CN"/>
        </w:rPr>
        <w:t>229</w:t>
      </w:r>
      <w:r>
        <w:rPr>
          <w:rFonts w:hint="eastAsia" w:ascii="仿宋" w:hAnsi="仿宋" w:eastAsia="仿宋"/>
          <w:color w:val="auto"/>
          <w:sz w:val="32"/>
          <w:szCs w:val="32"/>
        </w:rPr>
        <w:t>所，应筛查学期儿童计</w:t>
      </w:r>
      <w:r>
        <w:rPr>
          <w:rFonts w:hint="eastAsia" w:ascii="仿宋" w:hAnsi="仿宋" w:eastAsia="仿宋"/>
          <w:color w:val="auto"/>
          <w:sz w:val="32"/>
          <w:szCs w:val="32"/>
          <w:lang w:val="en-US" w:eastAsia="zh-CN"/>
        </w:rPr>
        <w:t>21314</w:t>
      </w:r>
      <w:r>
        <w:rPr>
          <w:rFonts w:hint="eastAsia" w:ascii="仿宋" w:hAnsi="仿宋" w:eastAsia="仿宋"/>
          <w:color w:val="auto"/>
          <w:sz w:val="32"/>
          <w:szCs w:val="32"/>
        </w:rPr>
        <w:t>人，实筛查学期儿童</w:t>
      </w:r>
      <w:r>
        <w:rPr>
          <w:rFonts w:hint="eastAsia" w:ascii="仿宋" w:hAnsi="仿宋" w:eastAsia="仿宋"/>
          <w:color w:val="auto"/>
          <w:sz w:val="32"/>
          <w:szCs w:val="32"/>
          <w:lang w:val="en-US" w:eastAsia="zh-CN"/>
        </w:rPr>
        <w:t>21306</w:t>
      </w:r>
      <w:r>
        <w:rPr>
          <w:rFonts w:hint="eastAsia" w:ascii="仿宋" w:hAnsi="仿宋" w:eastAsia="仿宋"/>
          <w:color w:val="auto"/>
          <w:sz w:val="32"/>
          <w:szCs w:val="32"/>
        </w:rPr>
        <w:t>人，筛查率为</w:t>
      </w:r>
      <w:r>
        <w:rPr>
          <w:rFonts w:hint="eastAsia" w:ascii="仿宋" w:hAnsi="仿宋" w:eastAsia="仿宋"/>
          <w:color w:val="auto"/>
          <w:sz w:val="32"/>
          <w:szCs w:val="32"/>
          <w:lang w:val="en-US" w:eastAsia="zh-CN"/>
        </w:rPr>
        <w:t>99.96</w:t>
      </w:r>
      <w:r>
        <w:rPr>
          <w:rFonts w:hint="eastAsia" w:ascii="仿宋" w:hAnsi="仿宋" w:eastAsia="仿宋"/>
          <w:color w:val="auto"/>
          <w:sz w:val="32"/>
          <w:szCs w:val="32"/>
        </w:rPr>
        <w:t>%；全区小学及非寄宿制初中新生应筛查</w:t>
      </w:r>
      <w:r>
        <w:rPr>
          <w:rFonts w:hint="eastAsia" w:ascii="仿宋" w:hAnsi="仿宋" w:eastAsia="仿宋"/>
          <w:color w:val="auto"/>
          <w:sz w:val="32"/>
          <w:szCs w:val="32"/>
          <w:lang w:val="en-US" w:eastAsia="zh-CN"/>
        </w:rPr>
        <w:t>60</w:t>
      </w:r>
      <w:r>
        <w:rPr>
          <w:rFonts w:hint="eastAsia" w:ascii="仿宋" w:hAnsi="仿宋" w:eastAsia="仿宋"/>
          <w:color w:val="auto"/>
          <w:sz w:val="32"/>
          <w:szCs w:val="32"/>
        </w:rPr>
        <w:t>所，已筛查</w:t>
      </w:r>
      <w:r>
        <w:rPr>
          <w:rFonts w:hint="eastAsia" w:ascii="仿宋" w:hAnsi="仿宋" w:eastAsia="仿宋"/>
          <w:color w:val="auto"/>
          <w:sz w:val="32"/>
          <w:szCs w:val="32"/>
          <w:lang w:val="en-US" w:eastAsia="zh-CN"/>
        </w:rPr>
        <w:t>60</w:t>
      </w:r>
      <w:r>
        <w:rPr>
          <w:rFonts w:hint="eastAsia" w:ascii="仿宋" w:hAnsi="仿宋" w:eastAsia="仿宋"/>
          <w:color w:val="auto"/>
          <w:sz w:val="32"/>
          <w:szCs w:val="32"/>
        </w:rPr>
        <w:t>所，应筛查学生</w:t>
      </w:r>
      <w:r>
        <w:rPr>
          <w:rFonts w:hint="eastAsia" w:ascii="仿宋" w:hAnsi="仿宋" w:eastAsia="仿宋"/>
          <w:color w:val="auto"/>
          <w:sz w:val="32"/>
          <w:szCs w:val="32"/>
          <w:lang w:val="en-US" w:eastAsia="zh-CN"/>
        </w:rPr>
        <w:t>13873</w:t>
      </w:r>
      <w:r>
        <w:rPr>
          <w:rFonts w:hint="eastAsia" w:ascii="仿宋" w:hAnsi="仿宋" w:eastAsia="仿宋"/>
          <w:color w:val="auto"/>
          <w:sz w:val="32"/>
          <w:szCs w:val="32"/>
        </w:rPr>
        <w:t>人，实筛查</w:t>
      </w:r>
      <w:r>
        <w:rPr>
          <w:rFonts w:hint="eastAsia" w:ascii="仿宋" w:hAnsi="仿宋" w:eastAsia="仿宋"/>
          <w:color w:val="auto"/>
          <w:sz w:val="32"/>
          <w:szCs w:val="32"/>
          <w:lang w:val="en-US" w:eastAsia="zh-CN"/>
        </w:rPr>
        <w:t>13872</w:t>
      </w:r>
      <w:r>
        <w:rPr>
          <w:rFonts w:hint="eastAsia" w:ascii="仿宋" w:hAnsi="仿宋" w:eastAsia="仿宋"/>
          <w:color w:val="auto"/>
          <w:sz w:val="32"/>
          <w:szCs w:val="32"/>
        </w:rPr>
        <w:t>人，筛查率</w:t>
      </w:r>
      <w:r>
        <w:rPr>
          <w:rFonts w:hint="eastAsia" w:ascii="仿宋" w:hAnsi="仿宋" w:eastAsia="仿宋"/>
          <w:color w:val="auto"/>
          <w:sz w:val="32"/>
          <w:szCs w:val="32"/>
          <w:lang w:val="en-US" w:eastAsia="zh-CN"/>
        </w:rPr>
        <w:t>99.99</w:t>
      </w:r>
      <w:r>
        <w:rPr>
          <w:rFonts w:hint="eastAsia" w:ascii="仿宋" w:hAnsi="仿宋" w:eastAsia="仿宋"/>
          <w:color w:val="auto"/>
          <w:sz w:val="32"/>
          <w:szCs w:val="32"/>
        </w:rPr>
        <w:t>%；高中和寄宿制初中应筛查</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所，实筛查</w:t>
      </w:r>
      <w:r>
        <w:rPr>
          <w:rFonts w:hint="eastAsia" w:ascii="仿宋" w:hAnsi="仿宋" w:eastAsia="仿宋"/>
          <w:color w:val="auto"/>
          <w:sz w:val="32"/>
          <w:szCs w:val="32"/>
          <w:lang w:val="en-US" w:eastAsia="zh-CN"/>
        </w:rPr>
        <w:t>22</w:t>
      </w:r>
      <w:r>
        <w:rPr>
          <w:rFonts w:hint="eastAsia" w:ascii="仿宋" w:hAnsi="仿宋" w:eastAsia="仿宋"/>
          <w:color w:val="auto"/>
          <w:sz w:val="32"/>
          <w:szCs w:val="32"/>
        </w:rPr>
        <w:t>所，此次应筛查学生</w:t>
      </w:r>
      <w:r>
        <w:rPr>
          <w:rFonts w:hint="eastAsia" w:ascii="仿宋" w:hAnsi="仿宋" w:eastAsia="仿宋"/>
          <w:color w:val="auto"/>
          <w:sz w:val="32"/>
          <w:szCs w:val="32"/>
          <w:lang w:val="en-US" w:eastAsia="zh-CN"/>
        </w:rPr>
        <w:t>15753</w:t>
      </w:r>
      <w:r>
        <w:rPr>
          <w:rFonts w:hint="eastAsia" w:ascii="仿宋" w:hAnsi="仿宋" w:eastAsia="仿宋"/>
          <w:color w:val="auto"/>
          <w:sz w:val="32"/>
          <w:szCs w:val="32"/>
        </w:rPr>
        <w:t>人，实筛查学生</w:t>
      </w:r>
      <w:r>
        <w:rPr>
          <w:rFonts w:hint="eastAsia" w:ascii="仿宋" w:hAnsi="仿宋" w:eastAsia="仿宋"/>
          <w:color w:val="auto"/>
          <w:sz w:val="32"/>
          <w:szCs w:val="32"/>
          <w:lang w:val="en-US" w:eastAsia="zh-CN"/>
        </w:rPr>
        <w:t>15643人</w:t>
      </w:r>
      <w:r>
        <w:rPr>
          <w:rFonts w:hint="eastAsia" w:ascii="仿宋" w:hAnsi="仿宋" w:eastAsia="仿宋"/>
          <w:color w:val="auto"/>
          <w:sz w:val="32"/>
          <w:szCs w:val="32"/>
        </w:rPr>
        <w:t>，筛查率</w:t>
      </w:r>
      <w:r>
        <w:rPr>
          <w:rFonts w:hint="eastAsia" w:ascii="仿宋" w:hAnsi="仿宋" w:eastAsia="仿宋"/>
          <w:color w:val="auto"/>
          <w:sz w:val="32"/>
          <w:szCs w:val="32"/>
          <w:lang w:val="en-US" w:eastAsia="zh-CN"/>
        </w:rPr>
        <w:t>99.05</w:t>
      </w:r>
      <w:r>
        <w:rPr>
          <w:rFonts w:hint="eastAsia" w:ascii="仿宋" w:hAnsi="仿宋" w:eastAsia="仿宋"/>
          <w:color w:val="auto"/>
          <w:sz w:val="32"/>
          <w:szCs w:val="32"/>
        </w:rPr>
        <w:t>%，</w:t>
      </w:r>
      <w:r>
        <w:rPr>
          <w:rFonts w:hint="eastAsia" w:ascii="仿宋" w:hAnsi="仿宋" w:eastAsia="仿宋"/>
          <w:color w:val="auto"/>
          <w:sz w:val="32"/>
          <w:szCs w:val="32"/>
          <w:lang w:val="en-US" w:eastAsia="zh-CN"/>
        </w:rPr>
        <w:t>筛查结果为：PPD</w:t>
      </w:r>
      <w:r>
        <w:rPr>
          <w:rFonts w:hint="eastAsia" w:ascii="仿宋_GB2312" w:hAnsi="仿宋_GB2312" w:eastAsia="仿宋_GB2312" w:cs="仿宋_GB2312"/>
          <w:color w:val="auto"/>
          <w:sz w:val="32"/>
          <w:szCs w:val="32"/>
          <w:lang w:val="en-US" w:eastAsia="zh-CN"/>
        </w:rPr>
        <w:t>强阳性259人，强阳性率为1.66%。经到定点医院复查后有4名诊断为活动性肺结核（现已经休学回家治疗）、有1名学生诊断为疑似肺结核</w:t>
      </w:r>
      <w:r>
        <w:rPr>
          <w:rFonts w:hint="eastAsia" w:ascii="仿宋" w:hAnsi="仿宋" w:eastAsia="仿宋"/>
          <w:color w:val="auto"/>
          <w:sz w:val="32"/>
          <w:szCs w:val="32"/>
        </w:rPr>
        <w:t>；我区的两所大专以上学校，全部开展了筛查。应筛查学生</w:t>
      </w:r>
      <w:r>
        <w:rPr>
          <w:rFonts w:hint="eastAsia" w:ascii="仿宋" w:hAnsi="仿宋" w:eastAsia="仿宋"/>
          <w:color w:val="auto"/>
          <w:sz w:val="32"/>
          <w:szCs w:val="32"/>
          <w:lang w:val="en-US" w:eastAsia="zh-CN"/>
        </w:rPr>
        <w:t>3079</w:t>
      </w:r>
      <w:r>
        <w:rPr>
          <w:rFonts w:hint="eastAsia" w:ascii="仿宋" w:hAnsi="仿宋" w:eastAsia="仿宋"/>
          <w:color w:val="auto"/>
          <w:sz w:val="32"/>
          <w:szCs w:val="32"/>
        </w:rPr>
        <w:t>人，实际筛查</w:t>
      </w:r>
      <w:r>
        <w:rPr>
          <w:rFonts w:hint="eastAsia" w:ascii="仿宋" w:hAnsi="仿宋" w:eastAsia="仿宋"/>
          <w:color w:val="auto"/>
          <w:sz w:val="32"/>
          <w:szCs w:val="32"/>
          <w:lang w:val="en-US" w:eastAsia="zh-CN"/>
        </w:rPr>
        <w:t>2913</w:t>
      </w:r>
      <w:r>
        <w:rPr>
          <w:rFonts w:hint="eastAsia" w:ascii="仿宋" w:hAnsi="仿宋" w:eastAsia="仿宋"/>
          <w:color w:val="auto"/>
          <w:sz w:val="32"/>
          <w:szCs w:val="32"/>
        </w:rPr>
        <w:t>人，筛查率</w:t>
      </w:r>
      <w:r>
        <w:rPr>
          <w:rFonts w:hint="eastAsia" w:ascii="仿宋" w:hAnsi="仿宋" w:eastAsia="仿宋"/>
          <w:color w:val="auto"/>
          <w:sz w:val="32"/>
          <w:szCs w:val="32"/>
          <w:lang w:val="en-US" w:eastAsia="zh-CN"/>
        </w:rPr>
        <w:t>99.61</w:t>
      </w:r>
      <w:r>
        <w:rPr>
          <w:rFonts w:hint="eastAsia" w:ascii="仿宋" w:hAnsi="仿宋" w:eastAsia="仿宋"/>
          <w:color w:val="auto"/>
          <w:sz w:val="32"/>
          <w:szCs w:val="32"/>
        </w:rPr>
        <w:t>%。筛查结果：</w:t>
      </w:r>
      <w:r>
        <w:rPr>
          <w:rFonts w:hint="eastAsia" w:ascii="仿宋_GB2312" w:eastAsia="仿宋_GB2312"/>
          <w:color w:val="auto"/>
          <w:sz w:val="32"/>
          <w:szCs w:val="32"/>
          <w:lang w:val="en-US" w:eastAsia="zh-CN"/>
        </w:rPr>
        <w:t>PPD强阳性118人，胸部</w:t>
      </w:r>
      <w:r>
        <w:rPr>
          <w:rFonts w:hint="eastAsia" w:ascii="仿宋_GB2312" w:hAnsi="仿宋_GB2312" w:eastAsia="仿宋_GB2312" w:cs="仿宋_GB2312"/>
          <w:color w:val="auto"/>
          <w:sz w:val="32"/>
          <w:szCs w:val="32"/>
          <w:lang w:val="en-US" w:eastAsia="zh-CN"/>
        </w:rPr>
        <w:t>X光异常8人。经定点医院进一步有3名诊断为活动性肺结核</w:t>
      </w:r>
      <w:r>
        <w:rPr>
          <w:rFonts w:hint="eastAsia" w:ascii="仿宋" w:hAnsi="仿宋" w:eastAsia="仿宋"/>
          <w:color w:val="auto"/>
          <w:sz w:val="32"/>
          <w:szCs w:val="32"/>
        </w:rPr>
        <w:t>。20</w:t>
      </w:r>
      <w:r>
        <w:rPr>
          <w:rFonts w:hint="eastAsia" w:ascii="仿宋" w:hAnsi="仿宋" w:eastAsia="仿宋"/>
          <w:color w:val="auto"/>
          <w:sz w:val="32"/>
          <w:szCs w:val="32"/>
          <w:lang w:val="en-US" w:eastAsia="zh-CN"/>
        </w:rPr>
        <w:t>20</w:t>
      </w:r>
      <w:r>
        <w:rPr>
          <w:rFonts w:hint="eastAsia" w:ascii="仿宋" w:hAnsi="仿宋" w:eastAsia="仿宋"/>
          <w:color w:val="auto"/>
          <w:sz w:val="32"/>
          <w:szCs w:val="32"/>
        </w:rPr>
        <w:t>年共发现学生和教师结核病确诊病例</w:t>
      </w:r>
      <w:r>
        <w:rPr>
          <w:rFonts w:hint="eastAsia" w:ascii="仿宋" w:hAnsi="仿宋" w:eastAsia="仿宋"/>
          <w:color w:val="auto"/>
          <w:sz w:val="32"/>
          <w:szCs w:val="32"/>
          <w:lang w:val="en-US" w:eastAsia="zh-CN"/>
        </w:rPr>
        <w:t>44</w:t>
      </w:r>
      <w:r>
        <w:rPr>
          <w:rFonts w:hint="eastAsia" w:ascii="仿宋" w:hAnsi="仿宋" w:eastAsia="仿宋"/>
          <w:color w:val="auto"/>
          <w:sz w:val="32"/>
          <w:szCs w:val="32"/>
        </w:rPr>
        <w:t>例，报告聚集性疫情1起。所有病例的所在班级、同宿舍学生及授课教师等密切接触者均开展结核病筛查工作，筛查发</w:t>
      </w:r>
      <w:bookmarkStart w:id="0" w:name="_GoBack"/>
      <w:r>
        <w:rPr>
          <w:rFonts w:hint="eastAsia" w:ascii="仿宋" w:hAnsi="仿宋" w:eastAsia="仿宋"/>
          <w:color w:val="auto"/>
          <w:sz w:val="32"/>
          <w:szCs w:val="32"/>
        </w:rPr>
        <w:t>现</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例活动性肺结核。</w:t>
      </w:r>
    </w:p>
    <w:bookmarkEnd w:id="0"/>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三、项目资金使用及管理情况</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（一）项目资金（包括财政资金、自筹资金等）安排落实、总投入等情况分析。</w:t>
      </w:r>
    </w:p>
    <w:p>
      <w:pPr>
        <w:spacing w:line="520" w:lineRule="exact"/>
        <w:ind w:firstLine="640" w:firstLineChars="200"/>
        <w:rPr>
          <w:rFonts w:hint="eastAsia" w:ascii="仿宋" w:hAnsi="仿宋" w:eastAsia="仿宋" w:cs="仿宋"/>
          <w:kern w:val="0"/>
          <w:sz w:val="32"/>
          <w:szCs w:val="32"/>
        </w:rPr>
      </w:pPr>
      <w:r>
        <w:rPr>
          <w:rFonts w:hint="eastAsia" w:ascii="仿宋" w:hAnsi="仿宋" w:eastAsia="仿宋" w:cs="仿宋"/>
          <w:sz w:val="32"/>
          <w:szCs w:val="32"/>
        </w:rPr>
        <w:t>我单位7个专项资金总金额为2</w:t>
      </w:r>
      <w:r>
        <w:rPr>
          <w:rFonts w:hint="eastAsia" w:ascii="仿宋" w:hAnsi="仿宋" w:eastAsia="仿宋" w:cs="仿宋"/>
          <w:sz w:val="32"/>
          <w:szCs w:val="32"/>
          <w:lang w:val="en-US" w:eastAsia="zh-CN"/>
        </w:rPr>
        <w:t>33</w:t>
      </w:r>
      <w:r>
        <w:rPr>
          <w:rFonts w:hint="eastAsia" w:ascii="仿宋" w:hAnsi="仿宋" w:eastAsia="仿宋" w:cs="仿宋"/>
          <w:sz w:val="32"/>
          <w:szCs w:val="32"/>
        </w:rPr>
        <w:t>.23万元，财政已经全部下达，资金已全部投入使用。</w:t>
      </w:r>
    </w:p>
    <w:p>
      <w:pPr>
        <w:spacing w:line="520" w:lineRule="exact"/>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（二）项目资金实际使用情况分析。</w:t>
      </w:r>
    </w:p>
    <w:tbl>
      <w:tblPr>
        <w:tblStyle w:val="2"/>
        <w:tblW w:w="8076" w:type="dxa"/>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15" w:type="dxa"/>
          <w:left w:w="15" w:type="dxa"/>
          <w:bottom w:w="15" w:type="dxa"/>
          <w:right w:w="15" w:type="dxa"/>
        </w:tblCellMar>
      </w:tblPr>
      <w:tblGrid>
        <w:gridCol w:w="2361"/>
        <w:gridCol w:w="4755"/>
        <w:gridCol w:w="960"/>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tcBorders>
              <w:bottom w:val="single" w:color="000000" w:sz="4" w:space="0"/>
              <w:right w:val="single" w:color="000000" w:sz="4" w:space="0"/>
            </w:tcBorders>
            <w:vAlign w:val="center"/>
          </w:tcPr>
          <w:p>
            <w:pPr>
              <w:spacing w:line="520" w:lineRule="exact"/>
              <w:rPr>
                <w:rFonts w:ascii="宋体" w:cs="宋体"/>
                <w:sz w:val="20"/>
                <w:szCs w:val="20"/>
              </w:rPr>
            </w:pPr>
          </w:p>
        </w:tc>
        <w:tc>
          <w:tcPr>
            <w:tcW w:w="4755" w:type="dxa"/>
            <w:tcBorders>
              <w:left w:val="single" w:color="000000" w:sz="4" w:space="0"/>
              <w:bottom w:val="single" w:color="000000" w:sz="4" w:space="0"/>
              <w:right w:val="single" w:color="000000" w:sz="4" w:space="0"/>
            </w:tcBorders>
            <w:vAlign w:val="center"/>
          </w:tcPr>
          <w:p>
            <w:pPr>
              <w:widowControl/>
              <w:spacing w:line="520" w:lineRule="exact"/>
              <w:jc w:val="center"/>
              <w:textAlignment w:val="center"/>
              <w:rPr>
                <w:rFonts w:ascii="宋体" w:cs="宋体"/>
                <w:sz w:val="20"/>
                <w:szCs w:val="20"/>
              </w:rPr>
            </w:pPr>
            <w:r>
              <w:rPr>
                <w:rFonts w:ascii="宋体" w:hAnsi="宋体" w:cs="宋体"/>
                <w:kern w:val="0"/>
                <w:sz w:val="20"/>
                <w:szCs w:val="20"/>
              </w:rPr>
              <w:t xml:space="preserve">  </w:t>
            </w:r>
            <w:r>
              <w:rPr>
                <w:rFonts w:hint="eastAsia" w:ascii="宋体" w:hAnsi="宋体" w:cs="宋体"/>
                <w:kern w:val="0"/>
                <w:sz w:val="20"/>
                <w:szCs w:val="20"/>
              </w:rPr>
              <w:t>专项实施内容</w:t>
            </w:r>
            <w:r>
              <w:rPr>
                <w:rFonts w:ascii="宋体" w:hAnsi="宋体" w:cs="宋体"/>
                <w:kern w:val="0"/>
                <w:sz w:val="20"/>
                <w:szCs w:val="20"/>
              </w:rPr>
              <w:t xml:space="preserve">                      </w:t>
            </w:r>
          </w:p>
        </w:tc>
        <w:tc>
          <w:tcPr>
            <w:tcW w:w="960" w:type="dxa"/>
            <w:tcBorders>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hint="eastAsia" w:ascii="宋体" w:hAnsi="宋体" w:cs="宋体"/>
                <w:kern w:val="0"/>
                <w:sz w:val="20"/>
                <w:szCs w:val="20"/>
              </w:rPr>
              <w:t>使用资金</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restart"/>
            <w:tcBorders>
              <w:top w:val="single" w:color="000000" w:sz="4" w:space="0"/>
              <w:bottom w:val="single" w:color="000000" w:sz="4" w:space="0"/>
              <w:right w:val="single" w:color="000000" w:sz="4" w:space="0"/>
            </w:tcBorders>
            <w:vAlign w:val="center"/>
          </w:tcPr>
          <w:p>
            <w:pPr>
              <w:widowControl/>
              <w:spacing w:line="520" w:lineRule="exact"/>
              <w:jc w:val="center"/>
              <w:textAlignment w:val="center"/>
              <w:rPr>
                <w:rFonts w:ascii="宋体" w:cs="宋体"/>
                <w:sz w:val="20"/>
                <w:szCs w:val="20"/>
              </w:rPr>
            </w:pPr>
            <w:r>
              <w:rPr>
                <w:rFonts w:hint="eastAsia" w:ascii="宋体" w:hAnsi="宋体" w:cs="宋体"/>
                <w:kern w:val="0"/>
                <w:sz w:val="20"/>
                <w:szCs w:val="20"/>
              </w:rPr>
              <w:t>儿童免疫规划及注射补助</w:t>
            </w: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1</w:t>
            </w:r>
            <w:r>
              <w:rPr>
                <w:rFonts w:hint="eastAsia" w:ascii="宋体" w:hAnsi="宋体" w:cs="宋体"/>
                <w:kern w:val="0"/>
                <w:sz w:val="20"/>
                <w:szCs w:val="20"/>
              </w:rPr>
              <w:t>、国家免疫规划疫苗接种工作</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23</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2</w:t>
            </w:r>
            <w:r>
              <w:rPr>
                <w:rFonts w:hint="eastAsia" w:ascii="宋体" w:hAnsi="宋体" w:cs="宋体"/>
                <w:kern w:val="0"/>
                <w:sz w:val="20"/>
                <w:szCs w:val="20"/>
              </w:rPr>
              <w:t>、预防接种技术指导；预防接种人员培训</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3</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3</w:t>
            </w:r>
            <w:r>
              <w:rPr>
                <w:rFonts w:hint="eastAsia" w:ascii="宋体" w:hAnsi="宋体" w:cs="宋体"/>
                <w:kern w:val="0"/>
                <w:sz w:val="20"/>
                <w:szCs w:val="20"/>
              </w:rPr>
              <w:t>、儿童预防接种信息管理系统维护和正常运行管理；</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3</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4</w:t>
            </w:r>
            <w:r>
              <w:rPr>
                <w:rFonts w:hint="eastAsia" w:ascii="宋体" w:hAnsi="宋体" w:cs="宋体"/>
                <w:kern w:val="0"/>
                <w:sz w:val="20"/>
                <w:szCs w:val="20"/>
              </w:rPr>
              <w:t>、疑似预防接种异常反应的调查、报告、处置等</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3</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5</w:t>
            </w:r>
            <w:r>
              <w:rPr>
                <w:rFonts w:hint="eastAsia" w:ascii="宋体" w:hAnsi="宋体" w:cs="宋体"/>
                <w:kern w:val="0"/>
                <w:sz w:val="20"/>
                <w:szCs w:val="20"/>
              </w:rPr>
              <w:t>、预防接种绩效考核和督导；免疫规划监测评估；</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1.73</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restart"/>
            <w:tcBorders>
              <w:top w:val="single" w:color="000000" w:sz="4" w:space="0"/>
              <w:bottom w:val="single" w:color="000000" w:sz="4" w:space="0"/>
              <w:right w:val="single" w:color="000000" w:sz="4" w:space="0"/>
            </w:tcBorders>
            <w:vAlign w:val="center"/>
          </w:tcPr>
          <w:p>
            <w:pPr>
              <w:widowControl/>
              <w:spacing w:line="520" w:lineRule="exact"/>
              <w:jc w:val="center"/>
              <w:textAlignment w:val="center"/>
              <w:rPr>
                <w:rFonts w:ascii="宋体" w:cs="宋体"/>
                <w:sz w:val="20"/>
                <w:szCs w:val="20"/>
              </w:rPr>
            </w:pPr>
            <w:r>
              <w:rPr>
                <w:rFonts w:hint="eastAsia" w:ascii="宋体" w:hAnsi="宋体" w:cs="宋体"/>
                <w:kern w:val="0"/>
                <w:sz w:val="20"/>
                <w:szCs w:val="20"/>
              </w:rPr>
              <w:t>灰质炎防治</w:t>
            </w: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1</w:t>
            </w:r>
            <w:r>
              <w:rPr>
                <w:rFonts w:hint="eastAsia" w:ascii="宋体" w:hAnsi="宋体" w:cs="宋体"/>
                <w:kern w:val="0"/>
                <w:sz w:val="20"/>
                <w:szCs w:val="20"/>
              </w:rPr>
              <w:t>、国家免疫规划疫苗接种工作</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1</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2</w:t>
            </w:r>
            <w:r>
              <w:rPr>
                <w:rFonts w:hint="eastAsia" w:ascii="宋体" w:hAnsi="宋体" w:cs="宋体"/>
                <w:kern w:val="0"/>
                <w:sz w:val="20"/>
                <w:szCs w:val="20"/>
              </w:rPr>
              <w:t>、脊灰疫苗培训监测督导</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_GB2312" w:hAnsi="宋体" w:eastAsia="Times New Roman" w:cs="??_GB2312"/>
                <w:sz w:val="20"/>
                <w:szCs w:val="20"/>
              </w:rPr>
            </w:pPr>
            <w:r>
              <w:rPr>
                <w:rFonts w:ascii="??_GB2312" w:hAnsi="宋体" w:eastAsia="Times New Roman" w:cs="??_GB2312"/>
                <w:kern w:val="0"/>
                <w:sz w:val="20"/>
                <w:szCs w:val="20"/>
              </w:rPr>
              <w:t>1万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480" w:hRule="atLeast"/>
        </w:trPr>
        <w:tc>
          <w:tcPr>
            <w:tcW w:w="2361" w:type="dxa"/>
            <w:vMerge w:val="restart"/>
            <w:tcBorders>
              <w:top w:val="single" w:color="000000" w:sz="4" w:space="0"/>
              <w:bottom w:val="single" w:color="000000" w:sz="4" w:space="0"/>
              <w:right w:val="single" w:color="000000" w:sz="4" w:space="0"/>
            </w:tcBorders>
            <w:vAlign w:val="center"/>
          </w:tcPr>
          <w:p>
            <w:pPr>
              <w:widowControl/>
              <w:spacing w:line="520" w:lineRule="exact"/>
              <w:jc w:val="center"/>
              <w:textAlignment w:val="center"/>
              <w:rPr>
                <w:rFonts w:ascii="宋体" w:cs="宋体"/>
                <w:sz w:val="20"/>
                <w:szCs w:val="20"/>
              </w:rPr>
            </w:pPr>
            <w:r>
              <w:rPr>
                <w:rFonts w:hint="eastAsia" w:ascii="宋体" w:hAnsi="宋体" w:cs="宋体"/>
                <w:kern w:val="0"/>
                <w:sz w:val="20"/>
                <w:szCs w:val="20"/>
              </w:rPr>
              <w:t>结核病控制及世行贷款</w:t>
            </w: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1</w:t>
            </w:r>
            <w:r>
              <w:rPr>
                <w:rFonts w:hint="eastAsia" w:ascii="宋体" w:hAnsi="宋体" w:cs="宋体"/>
                <w:kern w:val="0"/>
                <w:sz w:val="20"/>
                <w:szCs w:val="20"/>
              </w:rPr>
              <w:t>、以</w:t>
            </w:r>
            <w:r>
              <w:rPr>
                <w:rFonts w:ascii="宋体" w:hAnsi="宋体" w:cs="宋体"/>
                <w:kern w:val="0"/>
                <w:sz w:val="20"/>
                <w:szCs w:val="20"/>
              </w:rPr>
              <w:t>3.24</w:t>
            </w:r>
            <w:r>
              <w:rPr>
                <w:rFonts w:hint="eastAsia" w:ascii="宋体" w:hAnsi="宋体" w:cs="宋体"/>
                <w:kern w:val="0"/>
                <w:sz w:val="20"/>
                <w:szCs w:val="20"/>
              </w:rPr>
              <w:t>日结核病宣传日现场宣传为重点结合日常的宣传及手机短信</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_GB2312" w:hAnsi="宋体" w:eastAsia="Times New Roman" w:cs="??_GB2312"/>
                <w:sz w:val="20"/>
                <w:szCs w:val="20"/>
              </w:rPr>
            </w:pPr>
            <w:r>
              <w:rPr>
                <w:rFonts w:ascii="??_GB2312" w:hAnsi="宋体" w:eastAsia="Times New Roman" w:cs="??_GB2312"/>
                <w:kern w:val="0"/>
                <w:sz w:val="20"/>
                <w:szCs w:val="20"/>
              </w:rPr>
              <w:t>2万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2</w:t>
            </w:r>
            <w:r>
              <w:rPr>
                <w:rFonts w:hint="eastAsia" w:ascii="宋体" w:hAnsi="宋体" w:cs="宋体"/>
                <w:kern w:val="0"/>
                <w:sz w:val="20"/>
                <w:szCs w:val="20"/>
              </w:rPr>
              <w:t>、每月对定点医院及基层医疗机构的督导检查</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_GB2312" w:hAnsi="宋体" w:eastAsia="Times New Roman" w:cs="??_GB2312"/>
                <w:sz w:val="20"/>
                <w:szCs w:val="20"/>
              </w:rPr>
            </w:pPr>
            <w:r>
              <w:rPr>
                <w:rFonts w:ascii="??_GB2312" w:hAnsi="宋体" w:eastAsia="Times New Roman" w:cs="??_GB2312"/>
                <w:kern w:val="0"/>
                <w:sz w:val="20"/>
                <w:szCs w:val="20"/>
              </w:rPr>
              <w:t>1万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3</w:t>
            </w:r>
            <w:r>
              <w:rPr>
                <w:rFonts w:hint="eastAsia" w:ascii="宋体" w:hAnsi="宋体" w:cs="宋体"/>
                <w:kern w:val="0"/>
                <w:sz w:val="20"/>
                <w:szCs w:val="20"/>
              </w:rPr>
              <w:t>、每季度对基层医疗机构的业务培训</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_GB2312" w:hAnsi="宋体" w:eastAsia="Times New Roman" w:cs="??_GB2312"/>
                <w:sz w:val="20"/>
                <w:szCs w:val="20"/>
              </w:rPr>
            </w:pPr>
            <w:r>
              <w:rPr>
                <w:rFonts w:ascii="??_GB2312" w:hAnsi="宋体" w:eastAsia="Times New Roman" w:cs="??_GB2312"/>
                <w:kern w:val="0"/>
                <w:sz w:val="20"/>
                <w:szCs w:val="20"/>
              </w:rPr>
              <w:t>0.5万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4</w:t>
            </w:r>
            <w:r>
              <w:rPr>
                <w:rFonts w:hint="eastAsia" w:ascii="宋体" w:hAnsi="宋体" w:cs="宋体"/>
                <w:kern w:val="0"/>
                <w:sz w:val="20"/>
                <w:szCs w:val="20"/>
              </w:rPr>
              <w:t>、每月对结核病患者的督导及健康宣讲</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_GB2312" w:hAnsi="宋体" w:eastAsia="Times New Roman" w:cs="??_GB2312"/>
                <w:sz w:val="20"/>
                <w:szCs w:val="20"/>
              </w:rPr>
            </w:pPr>
            <w:r>
              <w:rPr>
                <w:rFonts w:ascii="??_GB2312" w:hAnsi="宋体" w:eastAsia="Times New Roman" w:cs="??_GB2312"/>
                <w:kern w:val="0"/>
                <w:sz w:val="20"/>
                <w:szCs w:val="20"/>
              </w:rPr>
              <w:t>2万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restart"/>
            <w:tcBorders>
              <w:top w:val="single" w:color="000000" w:sz="4" w:space="0"/>
              <w:bottom w:val="single" w:color="000000" w:sz="4" w:space="0"/>
              <w:right w:val="single" w:color="000000" w:sz="4" w:space="0"/>
            </w:tcBorders>
            <w:vAlign w:val="center"/>
          </w:tcPr>
          <w:p>
            <w:pPr>
              <w:widowControl/>
              <w:spacing w:line="520" w:lineRule="exact"/>
              <w:jc w:val="center"/>
              <w:textAlignment w:val="center"/>
              <w:rPr>
                <w:rFonts w:ascii="宋体" w:cs="宋体"/>
                <w:sz w:val="20"/>
                <w:szCs w:val="20"/>
              </w:rPr>
            </w:pPr>
            <w:r>
              <w:rPr>
                <w:rFonts w:hint="eastAsia" w:ascii="宋体" w:hAnsi="宋体" w:cs="宋体"/>
                <w:kern w:val="0"/>
                <w:sz w:val="20"/>
                <w:szCs w:val="20"/>
              </w:rPr>
              <w:t>霍乱防控</w:t>
            </w: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1</w:t>
            </w:r>
            <w:r>
              <w:rPr>
                <w:rFonts w:hint="eastAsia" w:ascii="宋体" w:hAnsi="宋体" w:cs="宋体"/>
                <w:kern w:val="0"/>
                <w:sz w:val="20"/>
                <w:szCs w:val="20"/>
              </w:rPr>
              <w:t>、霍乱疫情处置</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_GB2312" w:hAnsi="宋体" w:eastAsia="Times New Roman" w:cs="??_GB2312"/>
                <w:sz w:val="20"/>
                <w:szCs w:val="20"/>
              </w:rPr>
            </w:pPr>
            <w:r>
              <w:rPr>
                <w:rFonts w:ascii="??_GB2312" w:hAnsi="宋体" w:eastAsia="Times New Roman" w:cs="??_GB2312"/>
                <w:kern w:val="0"/>
                <w:sz w:val="20"/>
                <w:szCs w:val="20"/>
              </w:rPr>
              <w:t>1万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2</w:t>
            </w:r>
            <w:r>
              <w:rPr>
                <w:rFonts w:hint="eastAsia" w:ascii="宋体" w:hAnsi="宋体" w:cs="宋体"/>
                <w:kern w:val="0"/>
                <w:sz w:val="20"/>
                <w:szCs w:val="20"/>
              </w:rPr>
              <w:t>、霍乱防控培训监测督导</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_GB2312" w:hAnsi="宋体" w:eastAsia="Times New Roman" w:cs="??_GB2312"/>
                <w:sz w:val="20"/>
                <w:szCs w:val="20"/>
              </w:rPr>
            </w:pPr>
            <w:r>
              <w:rPr>
                <w:rFonts w:ascii="??_GB2312" w:hAnsi="宋体" w:eastAsia="Times New Roman" w:cs="??_GB2312"/>
                <w:kern w:val="0"/>
                <w:sz w:val="20"/>
                <w:szCs w:val="20"/>
              </w:rPr>
              <w:t>1万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675" w:hRule="atLeast"/>
        </w:trPr>
        <w:tc>
          <w:tcPr>
            <w:tcW w:w="2361" w:type="dxa"/>
            <w:tcBorders>
              <w:top w:val="single" w:color="000000" w:sz="4" w:space="0"/>
              <w:bottom w:val="single" w:color="000000" w:sz="4" w:space="0"/>
              <w:right w:val="single" w:color="000000" w:sz="4" w:space="0"/>
            </w:tcBorders>
            <w:vAlign w:val="center"/>
          </w:tcPr>
          <w:p>
            <w:pPr>
              <w:widowControl/>
              <w:spacing w:line="520" w:lineRule="exact"/>
              <w:jc w:val="center"/>
              <w:textAlignment w:val="center"/>
              <w:rPr>
                <w:rFonts w:ascii="宋体" w:cs="宋体"/>
                <w:sz w:val="24"/>
                <w:szCs w:val="24"/>
              </w:rPr>
            </w:pPr>
            <w:r>
              <w:rPr>
                <w:rFonts w:hint="eastAsia" w:ascii="宋体" w:hAnsi="宋体" w:cs="宋体"/>
                <w:sz w:val="24"/>
                <w:szCs w:val="24"/>
              </w:rPr>
              <w:t>预防性免费健康体检</w:t>
            </w: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1</w:t>
            </w:r>
            <w:r>
              <w:rPr>
                <w:rFonts w:hint="eastAsia" w:ascii="宋体" w:hAnsi="宋体" w:cs="宋体"/>
                <w:kern w:val="0"/>
                <w:sz w:val="20"/>
                <w:szCs w:val="20"/>
              </w:rPr>
              <w:t>、从业人员健康体检（约</w:t>
            </w:r>
            <w:r>
              <w:rPr>
                <w:rFonts w:ascii="宋体" w:hAnsi="宋体" w:cs="宋体"/>
                <w:kern w:val="0"/>
                <w:sz w:val="20"/>
                <w:szCs w:val="20"/>
              </w:rPr>
              <w:t>20000</w:t>
            </w:r>
            <w:r>
              <w:rPr>
                <w:rFonts w:hint="eastAsia" w:ascii="宋体" w:hAnsi="宋体" w:cs="宋体"/>
                <w:kern w:val="0"/>
                <w:sz w:val="20"/>
                <w:szCs w:val="20"/>
              </w:rPr>
              <w:t>人）</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60</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restart"/>
            <w:tcBorders>
              <w:top w:val="single" w:color="000000" w:sz="4" w:space="0"/>
              <w:bottom w:val="single" w:color="000000" w:sz="4" w:space="0"/>
              <w:right w:val="single" w:color="000000" w:sz="4" w:space="0"/>
            </w:tcBorders>
            <w:vAlign w:val="center"/>
          </w:tcPr>
          <w:p>
            <w:pPr>
              <w:spacing w:line="520" w:lineRule="exact"/>
              <w:rPr>
                <w:rFonts w:ascii="宋体" w:cs="宋体"/>
                <w:kern w:val="0"/>
              </w:rPr>
            </w:pPr>
            <w:r>
              <w:rPr>
                <w:rFonts w:hint="eastAsia" w:ascii="宋体" w:hAnsi="宋体" w:cs="宋体"/>
              </w:rPr>
              <w:t>卫生监测及设备维护</w:t>
            </w:r>
          </w:p>
          <w:p>
            <w:pPr>
              <w:widowControl/>
              <w:spacing w:line="520" w:lineRule="exact"/>
              <w:jc w:val="center"/>
              <w:textAlignment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1</w:t>
            </w:r>
            <w:r>
              <w:rPr>
                <w:rFonts w:hint="eastAsia" w:ascii="宋体" w:hAnsi="宋体" w:cs="宋体"/>
                <w:kern w:val="0"/>
                <w:sz w:val="20"/>
                <w:szCs w:val="20"/>
              </w:rPr>
              <w:t>、水质应急检测</w:t>
            </w:r>
            <w:r>
              <w:rPr>
                <w:rFonts w:ascii="宋体" w:hAnsi="宋体" w:cs="宋体"/>
                <w:kern w:val="0"/>
                <w:sz w:val="20"/>
                <w:szCs w:val="20"/>
              </w:rPr>
              <w:t>(</w:t>
            </w:r>
            <w:r>
              <w:rPr>
                <w:rFonts w:hint="eastAsia" w:ascii="宋体" w:hAnsi="宋体" w:cs="宋体"/>
                <w:kern w:val="0"/>
                <w:sz w:val="20"/>
                <w:szCs w:val="20"/>
              </w:rPr>
              <w:t>突发公共事件处理）</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5</w:t>
            </w:r>
            <w:r>
              <w:rPr>
                <w:rFonts w:hint="eastAsia" w:ascii="宋体" w:hAnsi="宋体" w:cs="宋体"/>
                <w:kern w:val="0"/>
                <w:sz w:val="20"/>
                <w:szCs w:val="20"/>
              </w:rPr>
              <w:t>万元</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2</w:t>
            </w:r>
            <w:r>
              <w:rPr>
                <w:rFonts w:hint="eastAsia" w:ascii="宋体" w:hAnsi="宋体" w:cs="宋体"/>
                <w:kern w:val="0"/>
                <w:sz w:val="20"/>
                <w:szCs w:val="20"/>
              </w:rPr>
              <w:t>、涉及水污染事件检测</w:t>
            </w:r>
            <w:r>
              <w:rPr>
                <w:rFonts w:ascii="宋体" w:hAnsi="宋体" w:cs="宋体"/>
                <w:kern w:val="0"/>
                <w:sz w:val="20"/>
                <w:szCs w:val="20"/>
              </w:rPr>
              <w:t>(</w:t>
            </w:r>
            <w:r>
              <w:rPr>
                <w:rFonts w:hint="eastAsia" w:ascii="宋体" w:hAnsi="宋体" w:cs="宋体"/>
                <w:kern w:val="0"/>
                <w:sz w:val="20"/>
                <w:szCs w:val="20"/>
              </w:rPr>
              <w:t>突发公共事件处理）</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5</w:t>
            </w:r>
            <w:r>
              <w:rPr>
                <w:rFonts w:hint="eastAsia" w:ascii="宋体" w:hAnsi="宋体" w:cs="宋体"/>
                <w:kern w:val="0"/>
                <w:sz w:val="20"/>
                <w:szCs w:val="20"/>
              </w:rPr>
              <w:t>万元</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3</w:t>
            </w:r>
            <w:r>
              <w:rPr>
                <w:rFonts w:hint="eastAsia" w:ascii="宋体" w:hAnsi="宋体" w:cs="宋体"/>
                <w:kern w:val="0"/>
                <w:sz w:val="20"/>
                <w:szCs w:val="20"/>
              </w:rPr>
              <w:t>、全区中小学校卫生监测（国卫要求）</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10</w:t>
            </w:r>
            <w:r>
              <w:rPr>
                <w:rFonts w:hint="eastAsia" w:ascii="宋体" w:hAnsi="宋体" w:cs="宋体"/>
                <w:kern w:val="0"/>
                <w:sz w:val="20"/>
                <w:szCs w:val="20"/>
              </w:rPr>
              <w:t>万元</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18"/>
                <w:szCs w:val="18"/>
              </w:rPr>
            </w:pPr>
            <w:r>
              <w:rPr>
                <w:rFonts w:ascii="宋体" w:hAnsi="宋体" w:cs="宋体"/>
                <w:kern w:val="0"/>
                <w:sz w:val="18"/>
                <w:szCs w:val="18"/>
              </w:rPr>
              <w:t>4</w:t>
            </w:r>
            <w:r>
              <w:rPr>
                <w:rFonts w:hint="eastAsia" w:ascii="宋体" w:hAnsi="宋体" w:cs="宋体"/>
                <w:kern w:val="0"/>
                <w:sz w:val="18"/>
                <w:szCs w:val="18"/>
              </w:rPr>
              <w:t>、中小学“护苗行动”开展学校生活饮用水专项行动</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5</w:t>
            </w:r>
            <w:r>
              <w:rPr>
                <w:rFonts w:hint="eastAsia" w:ascii="宋体" w:hAnsi="宋体" w:cs="宋体"/>
                <w:kern w:val="0"/>
                <w:sz w:val="20"/>
                <w:szCs w:val="20"/>
              </w:rPr>
              <w:t>万元</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5</w:t>
            </w:r>
            <w:r>
              <w:rPr>
                <w:rFonts w:hint="eastAsia" w:ascii="宋体" w:hAnsi="宋体" w:cs="宋体"/>
                <w:kern w:val="0"/>
                <w:sz w:val="20"/>
                <w:szCs w:val="20"/>
              </w:rPr>
              <w:t>、公共场所卫生监测</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15</w:t>
            </w:r>
            <w:r>
              <w:rPr>
                <w:rFonts w:hint="eastAsia" w:ascii="宋体" w:hAnsi="宋体" w:cs="宋体"/>
                <w:kern w:val="0"/>
                <w:sz w:val="20"/>
                <w:szCs w:val="20"/>
              </w:rPr>
              <w:t>万元</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286" w:hRule="atLeast"/>
        </w:trPr>
        <w:tc>
          <w:tcPr>
            <w:tcW w:w="2361" w:type="dxa"/>
            <w:vMerge w:val="continue"/>
            <w:tcBorders>
              <w:top w:val="single" w:color="000000" w:sz="4" w:space="0"/>
              <w:bottom w:val="single" w:color="000000" w:sz="4" w:space="0"/>
              <w:right w:val="single" w:color="000000" w:sz="4" w:space="0"/>
            </w:tcBorders>
            <w:vAlign w:val="center"/>
          </w:tcPr>
          <w:p>
            <w:pPr>
              <w:spacing w:line="520" w:lineRule="exact"/>
              <w:jc w:val="center"/>
              <w:rPr>
                <w:rFonts w:ascii="宋体" w:cs="宋体"/>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6</w:t>
            </w:r>
            <w:r>
              <w:rPr>
                <w:rFonts w:hint="eastAsia" w:ascii="宋体" w:hAnsi="宋体" w:cs="宋体"/>
                <w:kern w:val="0"/>
                <w:sz w:val="20"/>
                <w:szCs w:val="20"/>
              </w:rPr>
              <w:t>、省、市、区指令性抽检</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10</w:t>
            </w:r>
            <w:r>
              <w:rPr>
                <w:rFonts w:hint="eastAsia" w:ascii="宋体" w:hAnsi="宋体" w:cs="宋体"/>
                <w:kern w:val="0"/>
                <w:sz w:val="20"/>
                <w:szCs w:val="20"/>
              </w:rPr>
              <w:t>万元</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830" w:hRule="atLeast"/>
        </w:trPr>
        <w:tc>
          <w:tcPr>
            <w:tcW w:w="2361" w:type="dxa"/>
            <w:vMerge w:val="restart"/>
            <w:tcBorders>
              <w:top w:val="single" w:color="000000" w:sz="4" w:space="0"/>
              <w:right w:val="single" w:color="000000" w:sz="4" w:space="0"/>
            </w:tcBorders>
            <w:vAlign w:val="center"/>
          </w:tcPr>
          <w:p>
            <w:pPr>
              <w:widowControl/>
              <w:spacing w:line="520" w:lineRule="exact"/>
              <w:jc w:val="center"/>
              <w:textAlignment w:val="center"/>
              <w:rPr>
                <w:rFonts w:ascii="宋体" w:cs="宋体"/>
                <w:sz w:val="20"/>
                <w:szCs w:val="20"/>
              </w:rPr>
            </w:pPr>
            <w:r>
              <w:rPr>
                <w:rFonts w:hint="eastAsia" w:ascii="宋体" w:hAnsi="宋体" w:cs="宋体"/>
                <w:kern w:val="0"/>
                <w:sz w:val="20"/>
                <w:szCs w:val="20"/>
              </w:rPr>
              <w:t>入学新生肺结核筛查、学生结核密切接触者筛查（</w:t>
            </w:r>
            <w:r>
              <w:rPr>
                <w:rFonts w:ascii="宋体" w:hAnsi="宋体" w:cs="宋体"/>
                <w:kern w:val="0"/>
                <w:sz w:val="20"/>
                <w:szCs w:val="20"/>
              </w:rPr>
              <w:t>5.3</w:t>
            </w:r>
            <w:r>
              <w:rPr>
                <w:rFonts w:hint="eastAsia" w:ascii="宋体" w:hAnsi="宋体" w:cs="宋体"/>
                <w:kern w:val="0"/>
                <w:sz w:val="20"/>
                <w:szCs w:val="20"/>
              </w:rPr>
              <w:t>万人）</w:t>
            </w: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sz w:val="20"/>
                <w:szCs w:val="20"/>
              </w:rPr>
            </w:pPr>
            <w:r>
              <w:rPr>
                <w:rFonts w:hint="eastAsia" w:ascii="宋体" w:hAnsi="宋体" w:cs="宋体"/>
                <w:kern w:val="0"/>
                <w:sz w:val="20"/>
                <w:szCs w:val="20"/>
              </w:rPr>
              <w:t>幼儿园儿童结核病筛查</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sz w:val="20"/>
                <w:szCs w:val="20"/>
              </w:rPr>
            </w:pPr>
            <w:r>
              <w:rPr>
                <w:rFonts w:ascii="宋体" w:hAnsi="宋体" w:cs="宋体"/>
                <w:kern w:val="0"/>
                <w:sz w:val="20"/>
                <w:szCs w:val="20"/>
              </w:rPr>
              <w:t>7</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390" w:hRule="atLeast"/>
        </w:trPr>
        <w:tc>
          <w:tcPr>
            <w:tcW w:w="2361" w:type="dxa"/>
            <w:vMerge w:val="continue"/>
            <w:tcBorders>
              <w:right w:val="single" w:color="000000" w:sz="4" w:space="0"/>
            </w:tcBorders>
            <w:vAlign w:val="center"/>
          </w:tcPr>
          <w:p>
            <w:pPr>
              <w:widowControl/>
              <w:spacing w:line="520" w:lineRule="exact"/>
              <w:jc w:val="center"/>
              <w:textAlignment w:val="center"/>
              <w:rPr>
                <w:rFonts w:ascii="宋体" w:cs="宋体"/>
                <w:kern w:val="0"/>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hAnsi="宋体" w:cs="宋体"/>
                <w:kern w:val="0"/>
                <w:sz w:val="20"/>
                <w:szCs w:val="20"/>
              </w:rPr>
              <w:t>专用材料费</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kern w:val="0"/>
                <w:sz w:val="20"/>
                <w:szCs w:val="20"/>
              </w:rPr>
            </w:pPr>
            <w:r>
              <w:rPr>
                <w:rFonts w:ascii="宋体" w:hAnsi="宋体" w:cs="宋体"/>
                <w:kern w:val="0"/>
                <w:sz w:val="20"/>
                <w:szCs w:val="20"/>
              </w:rPr>
              <w:t>6</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390" w:hRule="atLeast"/>
        </w:trPr>
        <w:tc>
          <w:tcPr>
            <w:tcW w:w="2361" w:type="dxa"/>
            <w:vMerge w:val="continue"/>
            <w:tcBorders>
              <w:right w:val="single" w:color="000000" w:sz="4" w:space="0"/>
            </w:tcBorders>
            <w:vAlign w:val="center"/>
          </w:tcPr>
          <w:p>
            <w:pPr>
              <w:widowControl/>
              <w:spacing w:line="520" w:lineRule="exact"/>
              <w:jc w:val="center"/>
              <w:textAlignment w:val="center"/>
              <w:rPr>
                <w:rFonts w:ascii="宋体" w:cs="宋体"/>
                <w:kern w:val="0"/>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hAnsi="宋体" w:cs="宋体"/>
                <w:kern w:val="0"/>
                <w:sz w:val="20"/>
                <w:szCs w:val="20"/>
              </w:rPr>
              <w:t>宣传印刷资料费</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kern w:val="0"/>
                <w:sz w:val="20"/>
                <w:szCs w:val="20"/>
              </w:rPr>
            </w:pPr>
            <w:r>
              <w:rPr>
                <w:rFonts w:ascii="宋体" w:hAnsi="宋体" w:cs="宋体"/>
                <w:kern w:val="0"/>
                <w:sz w:val="20"/>
                <w:szCs w:val="20"/>
              </w:rPr>
              <w:t>2</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390" w:hRule="atLeast"/>
        </w:trPr>
        <w:tc>
          <w:tcPr>
            <w:tcW w:w="2361" w:type="dxa"/>
            <w:vMerge w:val="continue"/>
            <w:tcBorders>
              <w:right w:val="single" w:color="000000" w:sz="4" w:space="0"/>
            </w:tcBorders>
            <w:vAlign w:val="center"/>
          </w:tcPr>
          <w:p>
            <w:pPr>
              <w:widowControl/>
              <w:spacing w:line="520" w:lineRule="exact"/>
              <w:jc w:val="center"/>
              <w:textAlignment w:val="center"/>
              <w:rPr>
                <w:rFonts w:ascii="宋体" w:cs="宋体"/>
                <w:kern w:val="0"/>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hAnsi="宋体" w:cs="宋体"/>
                <w:kern w:val="0"/>
                <w:sz w:val="20"/>
                <w:szCs w:val="20"/>
              </w:rPr>
              <w:t>办公费等</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cs="宋体"/>
                <w:kern w:val="0"/>
                <w:sz w:val="20"/>
                <w:szCs w:val="20"/>
                <w:lang w:val="en-US" w:eastAsia="zh-CN"/>
              </w:rPr>
              <w:t>1</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390" w:hRule="atLeast"/>
        </w:trPr>
        <w:tc>
          <w:tcPr>
            <w:tcW w:w="2361" w:type="dxa"/>
            <w:vMerge w:val="continue"/>
            <w:tcBorders>
              <w:right w:val="single" w:color="000000" w:sz="4" w:space="0"/>
            </w:tcBorders>
            <w:vAlign w:val="center"/>
          </w:tcPr>
          <w:p>
            <w:pPr>
              <w:widowControl/>
              <w:spacing w:line="520" w:lineRule="exact"/>
              <w:jc w:val="center"/>
              <w:textAlignment w:val="center"/>
              <w:rPr>
                <w:rFonts w:ascii="宋体" w:cs="宋体"/>
                <w:kern w:val="0"/>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hAnsi="宋体" w:cs="宋体"/>
                <w:kern w:val="0"/>
                <w:sz w:val="20"/>
                <w:szCs w:val="20"/>
              </w:rPr>
              <w:t>业务费</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hAnsi="宋体" w:cs="宋体"/>
                <w:kern w:val="0"/>
                <w:sz w:val="20"/>
                <w:szCs w:val="20"/>
                <w:lang w:val="en-US" w:eastAsia="zh-CN"/>
              </w:rPr>
              <w:t>4</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390" w:hRule="atLeast"/>
        </w:trPr>
        <w:tc>
          <w:tcPr>
            <w:tcW w:w="2361" w:type="dxa"/>
            <w:vMerge w:val="continue"/>
            <w:tcBorders>
              <w:right w:val="single" w:color="000000" w:sz="4" w:space="0"/>
            </w:tcBorders>
            <w:vAlign w:val="center"/>
          </w:tcPr>
          <w:p>
            <w:pPr>
              <w:widowControl/>
              <w:spacing w:line="520" w:lineRule="exact"/>
              <w:jc w:val="center"/>
              <w:textAlignment w:val="center"/>
              <w:rPr>
                <w:rFonts w:ascii="宋体" w:cs="宋体"/>
                <w:kern w:val="0"/>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hAnsi="宋体" w:cs="宋体"/>
                <w:kern w:val="0"/>
                <w:sz w:val="20"/>
                <w:szCs w:val="20"/>
              </w:rPr>
              <w:t>交通费</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hAnsi="宋体" w:cs="宋体"/>
                <w:kern w:val="0"/>
                <w:sz w:val="20"/>
                <w:szCs w:val="20"/>
                <w:lang w:val="en-US" w:eastAsia="zh-CN"/>
              </w:rPr>
              <w:t>2</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390" w:hRule="atLeast"/>
        </w:trPr>
        <w:tc>
          <w:tcPr>
            <w:tcW w:w="2361" w:type="dxa"/>
            <w:vMerge w:val="continue"/>
            <w:tcBorders>
              <w:right w:val="single" w:color="000000" w:sz="4" w:space="0"/>
            </w:tcBorders>
            <w:vAlign w:val="center"/>
          </w:tcPr>
          <w:p>
            <w:pPr>
              <w:widowControl/>
              <w:spacing w:line="520" w:lineRule="exact"/>
              <w:jc w:val="center"/>
              <w:textAlignment w:val="center"/>
              <w:rPr>
                <w:rFonts w:ascii="宋体" w:cs="宋体"/>
                <w:kern w:val="0"/>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cs="宋体"/>
                <w:kern w:val="0"/>
                <w:sz w:val="20"/>
                <w:szCs w:val="20"/>
              </w:rPr>
              <w:t>培训费</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cs="宋体"/>
                <w:kern w:val="0"/>
                <w:sz w:val="20"/>
                <w:szCs w:val="20"/>
                <w:lang w:val="en-US" w:eastAsia="zh-CN"/>
              </w:rPr>
              <w:t>1</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390" w:hRule="atLeast"/>
        </w:trPr>
        <w:tc>
          <w:tcPr>
            <w:tcW w:w="2361" w:type="dxa"/>
            <w:vMerge w:val="continue"/>
            <w:tcBorders>
              <w:right w:val="single" w:color="000000" w:sz="4" w:space="0"/>
            </w:tcBorders>
            <w:vAlign w:val="center"/>
          </w:tcPr>
          <w:p>
            <w:pPr>
              <w:widowControl/>
              <w:spacing w:line="520" w:lineRule="exact"/>
              <w:jc w:val="center"/>
              <w:textAlignment w:val="center"/>
              <w:rPr>
                <w:rFonts w:ascii="宋体" w:cs="宋体"/>
                <w:kern w:val="0"/>
                <w:sz w:val="20"/>
                <w:szCs w:val="20"/>
              </w:rPr>
            </w:pPr>
          </w:p>
        </w:tc>
        <w:tc>
          <w:tcPr>
            <w:tcW w:w="4755" w:type="dxa"/>
            <w:tcBorders>
              <w:top w:val="single" w:color="000000" w:sz="4" w:space="0"/>
              <w:left w:val="single" w:color="000000" w:sz="4" w:space="0"/>
              <w:bottom w:val="single" w:color="000000" w:sz="4" w:space="0"/>
              <w:right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hAnsi="宋体" w:cs="宋体"/>
                <w:kern w:val="0"/>
                <w:sz w:val="20"/>
                <w:szCs w:val="20"/>
              </w:rPr>
              <w:t>学生密切接触者筛查</w:t>
            </w:r>
          </w:p>
        </w:tc>
        <w:tc>
          <w:tcPr>
            <w:tcW w:w="960" w:type="dxa"/>
            <w:tcBorders>
              <w:top w:val="single" w:color="000000" w:sz="4" w:space="0"/>
              <w:left w:val="single" w:color="000000" w:sz="4" w:space="0"/>
              <w:bottom w:val="single" w:color="000000" w:sz="4" w:space="0"/>
            </w:tcBorders>
            <w:vAlign w:val="center"/>
          </w:tcPr>
          <w:p>
            <w:pPr>
              <w:widowControl/>
              <w:spacing w:line="520" w:lineRule="exact"/>
              <w:jc w:val="left"/>
              <w:textAlignment w:val="center"/>
              <w:rPr>
                <w:rFonts w:ascii="宋体" w:cs="宋体"/>
                <w:kern w:val="0"/>
                <w:sz w:val="20"/>
                <w:szCs w:val="20"/>
              </w:rPr>
            </w:pPr>
            <w:r>
              <w:rPr>
                <w:rFonts w:ascii="宋体" w:hAnsi="宋体" w:cs="宋体"/>
                <w:kern w:val="0"/>
                <w:sz w:val="20"/>
                <w:szCs w:val="20"/>
              </w:rPr>
              <w:t>5</w:t>
            </w:r>
            <w:r>
              <w:rPr>
                <w:rFonts w:hint="eastAsia" w:ascii="宋体" w:hAnsi="宋体" w:cs="宋体"/>
                <w:kern w:val="0"/>
                <w:sz w:val="20"/>
                <w:szCs w:val="20"/>
              </w:rPr>
              <w:t>万</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15" w:type="dxa"/>
            <w:left w:w="15" w:type="dxa"/>
            <w:bottom w:w="15" w:type="dxa"/>
            <w:right w:w="15" w:type="dxa"/>
          </w:tblCellMar>
        </w:tblPrEx>
        <w:trPr>
          <w:trHeight w:val="390" w:hRule="atLeast"/>
        </w:trPr>
        <w:tc>
          <w:tcPr>
            <w:tcW w:w="2361" w:type="dxa"/>
            <w:vMerge w:val="continue"/>
            <w:tcBorders>
              <w:right w:val="single" w:color="000000" w:sz="4" w:space="0"/>
            </w:tcBorders>
            <w:vAlign w:val="center"/>
          </w:tcPr>
          <w:p>
            <w:pPr>
              <w:widowControl/>
              <w:spacing w:line="520" w:lineRule="exact"/>
              <w:jc w:val="center"/>
              <w:textAlignment w:val="center"/>
              <w:rPr>
                <w:rFonts w:ascii="宋体" w:cs="宋体"/>
                <w:kern w:val="0"/>
                <w:sz w:val="20"/>
                <w:szCs w:val="20"/>
              </w:rPr>
            </w:pPr>
          </w:p>
        </w:tc>
        <w:tc>
          <w:tcPr>
            <w:tcW w:w="4755" w:type="dxa"/>
            <w:tcBorders>
              <w:top w:val="single" w:color="000000" w:sz="4" w:space="0"/>
              <w:left w:val="single" w:color="000000" w:sz="4" w:space="0"/>
              <w:right w:val="single" w:color="000000" w:sz="4" w:space="0"/>
            </w:tcBorders>
            <w:vAlign w:val="center"/>
          </w:tcPr>
          <w:p>
            <w:pPr>
              <w:widowControl/>
              <w:spacing w:line="520" w:lineRule="exact"/>
              <w:jc w:val="left"/>
              <w:textAlignment w:val="center"/>
              <w:rPr>
                <w:rFonts w:ascii="宋体" w:cs="宋体"/>
                <w:kern w:val="0"/>
                <w:sz w:val="20"/>
                <w:szCs w:val="20"/>
              </w:rPr>
            </w:pPr>
            <w:r>
              <w:rPr>
                <w:rFonts w:hint="eastAsia" w:ascii="宋体" w:hAnsi="宋体" w:cs="宋体"/>
                <w:kern w:val="0"/>
                <w:sz w:val="20"/>
                <w:szCs w:val="20"/>
              </w:rPr>
              <w:t>结核菌筛查药品</w:t>
            </w:r>
          </w:p>
        </w:tc>
        <w:tc>
          <w:tcPr>
            <w:tcW w:w="960" w:type="dxa"/>
            <w:tcBorders>
              <w:top w:val="single" w:color="000000" w:sz="4" w:space="0"/>
              <w:left w:val="single" w:color="000000" w:sz="4" w:space="0"/>
            </w:tcBorders>
            <w:vAlign w:val="center"/>
          </w:tcPr>
          <w:p>
            <w:pPr>
              <w:widowControl/>
              <w:spacing w:line="520" w:lineRule="exact"/>
              <w:jc w:val="left"/>
              <w:textAlignment w:val="center"/>
              <w:rPr>
                <w:rFonts w:hint="eastAsia" w:ascii="宋体" w:eastAsia="宋体" w:cs="宋体"/>
                <w:kern w:val="0"/>
                <w:sz w:val="20"/>
                <w:szCs w:val="20"/>
                <w:lang w:eastAsia="zh-CN"/>
              </w:rPr>
            </w:pPr>
            <w:r>
              <w:rPr>
                <w:rFonts w:hint="eastAsia" w:ascii="宋体" w:cs="宋体"/>
                <w:kern w:val="0"/>
                <w:sz w:val="20"/>
                <w:szCs w:val="20"/>
                <w:lang w:val="en-US" w:eastAsia="zh-CN"/>
              </w:rPr>
              <w:t>52</w:t>
            </w:r>
            <w:r>
              <w:rPr>
                <w:rFonts w:hint="eastAsia" w:ascii="宋体" w:cs="宋体"/>
                <w:kern w:val="0"/>
                <w:sz w:val="20"/>
                <w:szCs w:val="20"/>
                <w:lang w:eastAsia="zh-CN"/>
              </w:rPr>
              <w:t>万</w:t>
            </w:r>
          </w:p>
        </w:tc>
      </w:tr>
    </w:tbl>
    <w:p>
      <w:pPr>
        <w:spacing w:line="620" w:lineRule="exact"/>
        <w:ind w:firstLine="640" w:firstLineChars="200"/>
        <w:rPr>
          <w:rFonts w:hint="eastAsia" w:eastAsia="仿宋_GB2312"/>
          <w:color w:val="000000"/>
          <w:kern w:val="0"/>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textAlignment w:val="auto"/>
        <w:rPr>
          <w:rFonts w:hint="eastAsia" w:eastAsia="仿宋_GB2312"/>
          <w:color w:val="000000"/>
          <w:kern w:val="0"/>
          <w:sz w:val="32"/>
          <w:szCs w:val="32"/>
        </w:rPr>
      </w:pPr>
      <w:r>
        <w:rPr>
          <w:rFonts w:hint="eastAsia" w:eastAsia="仿宋_GB2312"/>
          <w:color w:val="000000"/>
          <w:kern w:val="0"/>
          <w:sz w:val="32"/>
          <w:szCs w:val="32"/>
        </w:rPr>
        <w:t>项目资金管理情况分析，主要包括管理制度、办法的制订及执行情况。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firstLine="320" w:firstLineChars="100"/>
        <w:textAlignment w:val="auto"/>
        <w:rPr>
          <w:rFonts w:hint="eastAsia" w:ascii="仿宋" w:hAnsi="仿宋" w:eastAsia="仿宋" w:cs="仿宋"/>
          <w:kern w:val="0"/>
          <w:sz w:val="32"/>
          <w:szCs w:val="32"/>
        </w:rPr>
      </w:pPr>
      <w:r>
        <w:rPr>
          <w:rFonts w:hint="eastAsia" w:ascii="仿宋" w:hAnsi="仿宋" w:eastAsia="仿宋" w:cs="仿宋"/>
          <w:sz w:val="32"/>
          <w:szCs w:val="32"/>
        </w:rPr>
        <w:t>1、</w:t>
      </w:r>
      <w:r>
        <w:rPr>
          <w:rFonts w:hint="eastAsia" w:ascii="仿宋" w:hAnsi="仿宋" w:eastAsia="仿宋" w:cs="仿宋"/>
          <w:kern w:val="0"/>
          <w:sz w:val="32"/>
          <w:szCs w:val="32"/>
        </w:rPr>
        <w:t xml:space="preserve">管理制度的制订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在执行项目时，“做好三个严格”一是严格按所下达的项目进行实施；二是严格保证质量；三是严格项目资金管理。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rPr>
        <w:t>（1）建立了科学合理、层次清晰、分工明确、覆盖全面的资金管理制度体系，如：</w:t>
      </w:r>
      <w:r>
        <w:rPr>
          <w:rFonts w:hint="eastAsia" w:ascii="仿宋" w:hAnsi="仿宋" w:eastAsia="仿宋" w:cs="仿宋"/>
          <w:bCs/>
          <w:sz w:val="32"/>
          <w:szCs w:val="32"/>
        </w:rPr>
        <w:t>《冷水滩区疾控中心财务管理制度》、《冷水滩区疾控中心项目资金管理制度》。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（2）建立了财政资金到位和管理使用的监督机制，对专项资金使用情况进行监督检查,如：《冷水滩区疾控中心财务工作内部牵制制度》、《冷水滩区疾控中心</w:t>
      </w:r>
      <w:r>
        <w:rPr>
          <w:rFonts w:hint="eastAsia" w:ascii="仿宋" w:hAnsi="仿宋" w:eastAsia="仿宋" w:cs="仿宋"/>
          <w:bCs/>
          <w:sz w:val="32"/>
          <w:szCs w:val="32"/>
        </w:rPr>
        <w:t>资产清查制度》。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2、制度执行情况。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资金管理使用的各个环节是严格按照财政资金相关类别项目专项资金管理办法的规定执行。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color w:val="000000"/>
          <w:kern w:val="0"/>
          <w:sz w:val="32"/>
          <w:szCs w:val="32"/>
        </w:rPr>
      </w:pPr>
      <w:r>
        <w:rPr>
          <w:rFonts w:hint="eastAsia" w:ascii="仿宋" w:hAnsi="仿宋" w:eastAsia="仿宋" w:cs="仿宋"/>
          <w:sz w:val="32"/>
          <w:szCs w:val="32"/>
        </w:rPr>
        <w:t xml:space="preserve"> 3、资金监管情况。采用资金运行全程监控等管理手段进行资金的有效管理，建立了资金使用和监管的责任，做到项目资金专账核算、专款专用、专人负责</w:t>
      </w:r>
      <w:r>
        <w:rPr>
          <w:rFonts w:hint="eastAsia" w:ascii="仿宋" w:hAnsi="仿宋" w:eastAsia="仿宋" w:cs="仿宋"/>
          <w:sz w:val="32"/>
          <w:szCs w:val="32"/>
          <w:lang w:eastAsia="zh-CN"/>
        </w:rPr>
        <w:t>。</w:t>
      </w:r>
    </w:p>
    <w:p>
      <w:pPr>
        <w:spacing w:line="620" w:lineRule="exact"/>
        <w:ind w:firstLine="640" w:firstLineChars="200"/>
        <w:rPr>
          <w:rFonts w:hint="eastAsia" w:ascii="黑体" w:eastAsia="黑体"/>
          <w:color w:val="000000"/>
          <w:kern w:val="0"/>
          <w:sz w:val="32"/>
          <w:szCs w:val="32"/>
        </w:rPr>
      </w:pPr>
      <w:r>
        <w:rPr>
          <w:rFonts w:hint="eastAsia" w:ascii="黑体" w:eastAsia="黑体"/>
          <w:color w:val="000000"/>
          <w:kern w:val="0"/>
          <w:sz w:val="32"/>
          <w:szCs w:val="32"/>
        </w:rPr>
        <w:t>四、项目绩效指标完成情况</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（一）产出指标完成情况分析。</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各项目（专项）完成各项任务100%完成；专项资金培训人员达到总体要求95%；201</w:t>
      </w:r>
      <w:r>
        <w:rPr>
          <w:rFonts w:hint="eastAsia" w:ascii="仿宋" w:hAnsi="仿宋" w:eastAsia="仿宋" w:cs="仿宋"/>
          <w:sz w:val="32"/>
          <w:szCs w:val="32"/>
          <w:lang w:val="en-US" w:eastAsia="zh-CN"/>
        </w:rPr>
        <w:t>9</w:t>
      </w:r>
      <w:r>
        <w:rPr>
          <w:rFonts w:hint="eastAsia" w:ascii="仿宋" w:hAnsi="仿宋" w:eastAsia="仿宋" w:cs="仿宋"/>
          <w:sz w:val="32"/>
          <w:szCs w:val="32"/>
        </w:rPr>
        <w:t>年节约三公经费</w:t>
      </w:r>
      <w:r>
        <w:rPr>
          <w:rFonts w:hint="eastAsia" w:ascii="仿宋" w:hAnsi="仿宋" w:eastAsia="仿宋" w:cs="仿宋"/>
          <w:sz w:val="32"/>
          <w:szCs w:val="32"/>
          <w:lang w:eastAsia="zh-CN"/>
        </w:rPr>
        <w:t>比</w:t>
      </w:r>
      <w:r>
        <w:rPr>
          <w:rFonts w:hint="eastAsia" w:ascii="仿宋" w:hAnsi="仿宋" w:eastAsia="仿宋" w:cs="仿宋"/>
          <w:sz w:val="32"/>
          <w:szCs w:val="32"/>
        </w:rPr>
        <w:t>去年同比下降</w:t>
      </w:r>
      <w:r>
        <w:rPr>
          <w:rFonts w:hint="eastAsia" w:ascii="仿宋" w:hAnsi="仿宋" w:eastAsia="仿宋" w:cs="仿宋"/>
          <w:sz w:val="32"/>
          <w:szCs w:val="32"/>
          <w:lang w:val="en-US" w:eastAsia="zh-CN"/>
        </w:rPr>
        <w:t>58%</w:t>
      </w:r>
      <w:r>
        <w:rPr>
          <w:rFonts w:hint="eastAsia" w:ascii="仿宋" w:hAnsi="仿宋" w:eastAsia="仿宋" w:cs="仿宋"/>
          <w:sz w:val="32"/>
          <w:szCs w:val="32"/>
        </w:rPr>
        <w:t>。</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（二）效益指标完成情况分析。</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商品和服务性支出比去年相比下降 5%；提高固定资产利用率，发挥固定资产最大效率98%。</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（三）满意度指标完成情况分析。</w:t>
      </w:r>
    </w:p>
    <w:p>
      <w:pPr>
        <w:spacing w:line="620" w:lineRule="exact"/>
        <w:ind w:firstLine="640" w:firstLineChars="200"/>
        <w:rPr>
          <w:rFonts w:hint="eastAsia" w:eastAsia="仿宋_GB2312"/>
          <w:color w:val="000000"/>
          <w:kern w:val="0"/>
          <w:sz w:val="32"/>
          <w:szCs w:val="32"/>
        </w:rPr>
      </w:pPr>
      <w:r>
        <w:rPr>
          <w:rFonts w:hint="eastAsia" w:ascii="仿宋" w:hAnsi="仿宋" w:eastAsia="仿宋" w:cs="仿宋"/>
          <w:kern w:val="0"/>
          <w:sz w:val="32"/>
          <w:szCs w:val="32"/>
        </w:rPr>
        <w:t>提高办事效率，群众满意度提高，零投拆</w:t>
      </w:r>
      <w:r>
        <w:rPr>
          <w:rFonts w:hint="eastAsia" w:eastAsia="仿宋_GB2312"/>
          <w:color w:val="000000"/>
          <w:kern w:val="0"/>
          <w:sz w:val="32"/>
          <w:szCs w:val="32"/>
        </w:rPr>
        <w:t>主要从项目的经济性、效率性、有效性和可持续性等方面进行量化、具体分析。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numPr>
          <w:ilvl w:val="0"/>
          <w:numId w:val="2"/>
        </w:numPr>
        <w:spacing w:line="54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绩效目标未完成原因和下一步改进措施</w:t>
      </w:r>
    </w:p>
    <w:p>
      <w:pPr>
        <w:numPr>
          <w:ilvl w:val="0"/>
          <w:numId w:val="0"/>
        </w:numPr>
        <w:spacing w:line="54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lang w:eastAsia="zh-CN"/>
        </w:rPr>
        <w:t>无</w:t>
      </w:r>
    </w:p>
    <w:p>
      <w:pPr>
        <w:numPr>
          <w:ilvl w:val="0"/>
          <w:numId w:val="2"/>
        </w:numPr>
        <w:spacing w:line="540" w:lineRule="exact"/>
        <w:ind w:left="0" w:leftChars="0" w:firstLine="643" w:firstLineChars="200"/>
        <w:rPr>
          <w:rFonts w:hint="eastAsia" w:ascii="黑体" w:hAnsi="黑体" w:eastAsia="黑体" w:cs="黑体"/>
          <w:b/>
          <w:bCs/>
          <w:sz w:val="32"/>
          <w:szCs w:val="32"/>
        </w:rPr>
      </w:pPr>
      <w:r>
        <w:rPr>
          <w:rFonts w:hint="eastAsia" w:ascii="黑体" w:hAnsi="黑体" w:eastAsia="黑体" w:cs="黑体"/>
          <w:b/>
          <w:bCs/>
          <w:sz w:val="32"/>
          <w:szCs w:val="32"/>
        </w:rPr>
        <w:t>绩效自评得分等级结果及拟应用和公开情况</w:t>
      </w:r>
    </w:p>
    <w:p>
      <w:pPr>
        <w:spacing w:line="540" w:lineRule="exact"/>
        <w:ind w:firstLine="643" w:firstLineChars="200"/>
        <w:rPr>
          <w:rFonts w:hint="eastAsia" w:ascii="仿宋" w:hAnsi="仿宋" w:eastAsia="仿宋" w:cs="仿宋"/>
          <w:b/>
          <w:bCs/>
          <w:sz w:val="32"/>
          <w:szCs w:val="32"/>
        </w:rPr>
      </w:pPr>
      <w:r>
        <w:rPr>
          <w:rFonts w:hint="eastAsia" w:ascii="黑体" w:hAnsi="黑体" w:eastAsia="黑体" w:cs="黑体"/>
          <w:b/>
          <w:bCs/>
          <w:sz w:val="32"/>
          <w:szCs w:val="32"/>
          <w:lang w:val="en-US" w:eastAsia="zh-CN"/>
        </w:rPr>
        <w:t xml:space="preserve">  </w:t>
      </w:r>
      <w:r>
        <w:rPr>
          <w:rFonts w:hint="eastAsia" w:ascii="仿宋" w:hAnsi="仿宋" w:eastAsia="仿宋" w:cs="仿宋"/>
          <w:sz w:val="32"/>
          <w:szCs w:val="32"/>
        </w:rPr>
        <w:t>我单位自评为</w:t>
      </w:r>
      <w:r>
        <w:rPr>
          <w:rFonts w:hint="eastAsia" w:ascii="仿宋" w:hAnsi="仿宋" w:eastAsia="仿宋" w:cs="仿宋"/>
          <w:sz w:val="32"/>
          <w:szCs w:val="32"/>
          <w:lang w:val="en-US" w:eastAsia="zh-CN"/>
        </w:rPr>
        <w:t>97</w:t>
      </w:r>
      <w:r>
        <w:rPr>
          <w:rFonts w:hint="eastAsia" w:ascii="仿宋" w:hAnsi="仿宋" w:eastAsia="仿宋" w:cs="仿宋"/>
          <w:sz w:val="32"/>
          <w:szCs w:val="32"/>
        </w:rPr>
        <w:t>分，绩效评价等级为“良”。</w:t>
      </w:r>
    </w:p>
    <w:p>
      <w:pPr>
        <w:numPr>
          <w:ilvl w:val="0"/>
          <w:numId w:val="2"/>
        </w:numPr>
        <w:spacing w:line="620" w:lineRule="exact"/>
        <w:ind w:left="0" w:leftChars="0" w:firstLine="643" w:firstLineChars="200"/>
        <w:rPr>
          <w:rFonts w:hint="eastAsia" w:ascii="黑体" w:hAnsi="黑体" w:eastAsia="黑体" w:cs="黑体"/>
          <w:b/>
          <w:bCs/>
          <w:color w:val="000000"/>
          <w:kern w:val="0"/>
          <w:sz w:val="32"/>
          <w:szCs w:val="32"/>
        </w:rPr>
      </w:pPr>
      <w:r>
        <w:rPr>
          <w:rFonts w:hint="eastAsia" w:ascii="黑体" w:hAnsi="黑体" w:eastAsia="黑体" w:cs="黑体"/>
          <w:b/>
          <w:bCs/>
          <w:sz w:val="32"/>
          <w:szCs w:val="32"/>
        </w:rPr>
        <w:t>绩效自评工作的经验、问题和建议。</w:t>
      </w:r>
      <w:r>
        <w:rPr>
          <w:rFonts w:hint="eastAsia" w:ascii="黑体" w:hAnsi="黑体" w:eastAsia="黑体" w:cs="黑体"/>
          <w:b/>
          <w:bCs/>
          <w:color w:val="000000"/>
          <w:kern w:val="0"/>
          <w:sz w:val="32"/>
          <w:szCs w:val="32"/>
        </w:rPr>
        <w:t>主要包括资金安排、使用过程中的经验、做法、存在的问题、改进措施和有关建议等。</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为做好项目实施的跟踪检查工作。我中心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r>
    </w:p>
    <w:p>
      <w:pPr>
        <w:spacing w:line="520" w:lineRule="exact"/>
        <w:ind w:firstLine="640" w:firstLineChars="200"/>
        <w:rPr>
          <w:rFonts w:hint="eastAsia" w:ascii="黑体" w:hAnsi="黑体" w:eastAsia="黑体" w:cs="黑体"/>
          <w:b/>
          <w:bCs/>
          <w:color w:val="000000"/>
          <w:kern w:val="0"/>
          <w:sz w:val="32"/>
          <w:szCs w:val="32"/>
        </w:rPr>
      </w:pPr>
      <w:r>
        <w:rPr>
          <w:rFonts w:hint="eastAsia" w:ascii="仿宋" w:hAnsi="仿宋" w:eastAsia="仿宋" w:cs="仿宋"/>
          <w:sz w:val="32"/>
          <w:szCs w:val="32"/>
        </w:rPr>
        <w:t>2、执行单位对专项资金预算了解不透彻，使用范围过于笼统，建议加大专项资金管理使用培训力度，进一步提高业务人员对专项资金管理的重视程度与业务能力。</w:t>
      </w:r>
    </w:p>
    <w:p>
      <w:pPr>
        <w:spacing w:line="54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八、其他需说明的问题。</w:t>
      </w:r>
    </w:p>
    <w:p>
      <w:pPr>
        <w:spacing w:line="540" w:lineRule="exact"/>
        <w:ind w:firstLine="640" w:firstLineChars="200"/>
        <w:rPr>
          <w:rFonts w:hint="eastAsia"/>
          <w:kern w:val="0"/>
        </w:rPr>
      </w:pPr>
      <w:r>
        <w:rPr>
          <w:rFonts w:hint="eastAsia" w:ascii="仿宋" w:hAnsi="仿宋" w:eastAsia="仿宋" w:cs="仿宋"/>
          <w:b w:val="0"/>
          <w:bCs w:val="0"/>
          <w:sz w:val="32"/>
          <w:szCs w:val="32"/>
          <w:lang w:eastAsia="zh-CN"/>
        </w:rPr>
        <w:t>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C33AAE"/>
    <w:multiLevelType w:val="singleLevel"/>
    <w:tmpl w:val="9DC33AAE"/>
    <w:lvl w:ilvl="0" w:tentative="0">
      <w:start w:val="2"/>
      <w:numFmt w:val="chineseCounting"/>
      <w:suff w:val="nothing"/>
      <w:lvlText w:val="（%1）"/>
      <w:lvlJc w:val="left"/>
      <w:rPr>
        <w:rFonts w:hint="eastAsia"/>
      </w:rPr>
    </w:lvl>
  </w:abstractNum>
  <w:abstractNum w:abstractNumId="1">
    <w:nsid w:val="15BA24A6"/>
    <w:multiLevelType w:val="singleLevel"/>
    <w:tmpl w:val="15BA24A6"/>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B509DF"/>
    <w:rsid w:val="0036616E"/>
    <w:rsid w:val="15934D6C"/>
    <w:rsid w:val="278709F8"/>
    <w:rsid w:val="27B509DF"/>
    <w:rsid w:val="3774145A"/>
    <w:rsid w:val="38B96599"/>
    <w:rsid w:val="3DEC0EC1"/>
    <w:rsid w:val="48312AA3"/>
    <w:rsid w:val="4BCB0385"/>
    <w:rsid w:val="5EC04979"/>
    <w:rsid w:val="64D65A64"/>
    <w:rsid w:val="71385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2021-09-02T07:24:00Z</dcterms:created>
  <dc:creator>少林正宗</dc:creator>
  <cp:lastModifiedBy>少林正宗</cp:lastModifiedBy>
  <dcterms:modified xsi:type="dcterms:W3CDTF">2021-09-06T01:28:04Z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