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5AA7">
      <w:pPr>
        <w:jc w:val="center"/>
        <w:rPr>
          <w:rFonts w:hint="eastAsia" w:ascii="黑体" w:hAnsi="黑体" w:eastAsia="黑体" w:cs="黑体"/>
          <w:sz w:val="44"/>
          <w:szCs w:val="44"/>
        </w:rPr>
      </w:pPr>
      <w:r>
        <w:rPr>
          <w:rFonts w:hint="eastAsia" w:ascii="黑体" w:hAnsi="黑体" w:eastAsia="黑体" w:cs="黑体"/>
          <w:sz w:val="44"/>
          <w:szCs w:val="44"/>
          <w:lang w:eastAsia="zh-CN"/>
        </w:rPr>
        <w:t>永州市零陵区商务</w:t>
      </w:r>
      <w:r>
        <w:rPr>
          <w:rFonts w:hint="eastAsia" w:ascii="黑体" w:hAnsi="黑体" w:eastAsia="黑体" w:cs="黑体"/>
          <w:sz w:val="44"/>
          <w:szCs w:val="44"/>
        </w:rPr>
        <w:t>系统涉企行政检查事项清单</w:t>
      </w:r>
    </w:p>
    <w:tbl>
      <w:tblPr>
        <w:tblStyle w:val="6"/>
        <w:tblW w:w="15611" w:type="dxa"/>
        <w:tblInd w:w="-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00"/>
        <w:gridCol w:w="1222"/>
        <w:gridCol w:w="4081"/>
        <w:gridCol w:w="1215"/>
        <w:gridCol w:w="1200"/>
        <w:gridCol w:w="3969"/>
        <w:gridCol w:w="620"/>
        <w:gridCol w:w="643"/>
        <w:gridCol w:w="484"/>
      </w:tblGrid>
      <w:tr w14:paraId="2567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77" w:type="dxa"/>
            <w:vAlign w:val="center"/>
          </w:tcPr>
          <w:p w14:paraId="0B5B8937">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序号</w:t>
            </w:r>
          </w:p>
        </w:tc>
        <w:tc>
          <w:tcPr>
            <w:tcW w:w="1500" w:type="dxa"/>
            <w:vAlign w:val="center"/>
          </w:tcPr>
          <w:p w14:paraId="74D31C56">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检查事项</w:t>
            </w:r>
          </w:p>
        </w:tc>
        <w:tc>
          <w:tcPr>
            <w:tcW w:w="1222" w:type="dxa"/>
            <w:vAlign w:val="center"/>
          </w:tcPr>
          <w:p w14:paraId="055608B6">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检查主体</w:t>
            </w:r>
          </w:p>
          <w:p w14:paraId="005ACD9E">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(实施层级)</w:t>
            </w:r>
          </w:p>
        </w:tc>
        <w:tc>
          <w:tcPr>
            <w:tcW w:w="4081" w:type="dxa"/>
            <w:vAlign w:val="center"/>
          </w:tcPr>
          <w:p w14:paraId="3C419E17">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实施依据</w:t>
            </w:r>
          </w:p>
        </w:tc>
        <w:tc>
          <w:tcPr>
            <w:tcW w:w="1215" w:type="dxa"/>
            <w:vAlign w:val="center"/>
          </w:tcPr>
          <w:p w14:paraId="061FF367">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承办机构</w:t>
            </w:r>
          </w:p>
        </w:tc>
        <w:tc>
          <w:tcPr>
            <w:tcW w:w="1200" w:type="dxa"/>
            <w:vAlign w:val="center"/>
          </w:tcPr>
          <w:p w14:paraId="26C14D33">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检查对象</w:t>
            </w:r>
          </w:p>
        </w:tc>
        <w:tc>
          <w:tcPr>
            <w:tcW w:w="3969" w:type="dxa"/>
            <w:vAlign w:val="center"/>
          </w:tcPr>
          <w:p w14:paraId="629D752A">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检查内容</w:t>
            </w:r>
          </w:p>
        </w:tc>
        <w:tc>
          <w:tcPr>
            <w:tcW w:w="620" w:type="dxa"/>
            <w:vAlign w:val="center"/>
          </w:tcPr>
          <w:p w14:paraId="7DCF7C26">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检查方式</w:t>
            </w:r>
          </w:p>
        </w:tc>
        <w:tc>
          <w:tcPr>
            <w:tcW w:w="643" w:type="dxa"/>
            <w:vAlign w:val="center"/>
          </w:tcPr>
          <w:p w14:paraId="0F6A9A59">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检查频次</w:t>
            </w:r>
          </w:p>
        </w:tc>
        <w:tc>
          <w:tcPr>
            <w:tcW w:w="484" w:type="dxa"/>
            <w:vAlign w:val="center"/>
          </w:tcPr>
          <w:p w14:paraId="2C6AA8CF">
            <w:pPr>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备注</w:t>
            </w:r>
          </w:p>
        </w:tc>
      </w:tr>
      <w:tr w14:paraId="2B1F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677" w:type="dxa"/>
            <w:vAlign w:val="center"/>
          </w:tcPr>
          <w:p w14:paraId="61131622">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1</w:t>
            </w:r>
          </w:p>
        </w:tc>
        <w:tc>
          <w:tcPr>
            <w:tcW w:w="1500" w:type="dxa"/>
            <w:vAlign w:val="center"/>
          </w:tcPr>
          <w:p w14:paraId="0DDBDF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报废汽车回收管理行政监督检查</w:t>
            </w:r>
          </w:p>
        </w:tc>
        <w:tc>
          <w:tcPr>
            <w:tcW w:w="1222" w:type="dxa"/>
            <w:vAlign w:val="center"/>
          </w:tcPr>
          <w:p w14:paraId="7DEF71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县级以上</w:t>
            </w:r>
          </w:p>
        </w:tc>
        <w:tc>
          <w:tcPr>
            <w:tcW w:w="4081" w:type="dxa"/>
            <w:vAlign w:val="center"/>
          </w:tcPr>
          <w:p w14:paraId="4604ACA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《报废机动车回收管理实施办法》（商务部令 2020 年第 2 号） 第四条  省商务厅负责组织全省报废机动车回收拆解的监督管理工作，省发展改革委、经济和信息化厅、公安厅、生态环境厅、交通运输厅、市场监督管理局等部门在各自职责范围内负责报废机动车有关监督管理工作。第五条 市级商务主管部门对本行政区域内报废机动车回收拆解活动实施监督管理，负责回收拆解企业资质认定审核转报，配合省商务厅组织实施现场验收评审，核发《报废机动车回收证明》，促进行业健康有序发展。 第七条  市级商务主管部门应当坚持供需总体平衡原则，强化对本地区回收拆解企业动态管理和指导。因地制宜优化报废机动车回收产业布局，完善报废机动车回收体系，便利车主交售车辆，同时加强拆解产能监测，及时发布本地区拆解产能利用情况，并按要求上报本地区拆解产能情况。</w:t>
            </w:r>
          </w:p>
          <w:p w14:paraId="6B092C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val="en-US" w:eastAsia="zh-CN"/>
              </w:rPr>
            </w:pPr>
          </w:p>
        </w:tc>
        <w:tc>
          <w:tcPr>
            <w:tcW w:w="1215" w:type="dxa"/>
            <w:vAlign w:val="center"/>
          </w:tcPr>
          <w:p w14:paraId="403D64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区商务局市场秩序室</w:t>
            </w:r>
          </w:p>
        </w:tc>
        <w:tc>
          <w:tcPr>
            <w:tcW w:w="1200" w:type="dxa"/>
            <w:vAlign w:val="center"/>
          </w:tcPr>
          <w:p w14:paraId="259C71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报废机动车回收拆解场所</w:t>
            </w:r>
          </w:p>
        </w:tc>
        <w:tc>
          <w:tcPr>
            <w:tcW w:w="3969" w:type="dxa"/>
            <w:vAlign w:val="center"/>
          </w:tcPr>
          <w:p w14:paraId="42090DC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是否存在未取得资质认定，擅自从事报废机动车回收拆解活动情况；2.报废机动车回收企业是否未如实记录本企业回收的报废机动车“五大总成”等主要部件的数量、型号、流向等信息并上传至报废机动车回收信息系统。3.资质企业是否存在涂改、出租、出借或者以其他形式非法转让《报废机动车回收拆解企业资质认定证书》;买卖或者伪造、变造《资质认定书》、《报废机动车回收证明》。4.回收拆解企业是否存在未建立生产经营全覆盖的电子监控系统。</w:t>
            </w:r>
          </w:p>
          <w:p w14:paraId="5ACEA31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18"/>
                <w:szCs w:val="18"/>
                <w:vertAlign w:val="baseline"/>
                <w:lang w:val="en-US" w:eastAsia="zh-CN"/>
              </w:rPr>
            </w:pPr>
          </w:p>
        </w:tc>
        <w:tc>
          <w:tcPr>
            <w:tcW w:w="620" w:type="dxa"/>
            <w:vAlign w:val="center"/>
          </w:tcPr>
          <w:p w14:paraId="525565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0F49D2AE">
            <w:pPr>
              <w:jc w:val="both"/>
              <w:rPr>
                <w:rFonts w:hint="eastAsia" w:ascii="黑体" w:hAnsi="黑体" w:eastAsia="黑体" w:cs="黑体"/>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0B24551F">
            <w:pPr>
              <w:jc w:val="both"/>
              <w:rPr>
                <w:rFonts w:hint="eastAsia" w:ascii="黑体" w:hAnsi="黑体" w:eastAsia="黑体" w:cs="黑体"/>
                <w:sz w:val="18"/>
                <w:szCs w:val="18"/>
                <w:vertAlign w:val="baseline"/>
              </w:rPr>
            </w:pPr>
          </w:p>
        </w:tc>
      </w:tr>
      <w:tr w14:paraId="4303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677" w:type="dxa"/>
            <w:vAlign w:val="center"/>
          </w:tcPr>
          <w:p w14:paraId="599BFD1F">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2</w:t>
            </w:r>
          </w:p>
        </w:tc>
        <w:tc>
          <w:tcPr>
            <w:tcW w:w="1500" w:type="dxa"/>
            <w:vAlign w:val="center"/>
          </w:tcPr>
          <w:p w14:paraId="07B65C0D">
            <w:pPr>
              <w:pStyle w:val="4"/>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对汽车销售及其相关服务活动实施日常监督检查</w:t>
            </w:r>
          </w:p>
          <w:p w14:paraId="67AE41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val="en-US" w:eastAsia="zh-CN"/>
              </w:rPr>
            </w:pPr>
          </w:p>
        </w:tc>
        <w:tc>
          <w:tcPr>
            <w:tcW w:w="1222" w:type="dxa"/>
            <w:vAlign w:val="center"/>
          </w:tcPr>
          <w:p w14:paraId="4445737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县级以上</w:t>
            </w:r>
          </w:p>
        </w:tc>
        <w:tc>
          <w:tcPr>
            <w:tcW w:w="4081" w:type="dxa"/>
            <w:vAlign w:val="center"/>
          </w:tcPr>
          <w:p w14:paraId="43853910">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汽车销售管理办法》（商务部令2017年第1号）第七条国务院商务主管部门负责制定全国汽车销售及其相关服务活动的政策规章，对地方商务主管部门的监督管理工作进行指导、协调和监督。第二十九条县级以上地方商务主管部门应当依据职责，采取“双随机”办法对汽车销售及其相关服务活动实施日常监督检查。</w:t>
            </w:r>
          </w:p>
          <w:p w14:paraId="43DF8A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18"/>
                <w:szCs w:val="18"/>
                <w:vertAlign w:val="baseline"/>
                <w:lang w:val="en-US" w:eastAsia="zh-CN" w:bidi="ar-SA"/>
              </w:rPr>
            </w:pPr>
          </w:p>
        </w:tc>
        <w:tc>
          <w:tcPr>
            <w:tcW w:w="1215" w:type="dxa"/>
            <w:shd w:val="clear" w:color="auto" w:fill="auto"/>
            <w:vAlign w:val="center"/>
          </w:tcPr>
          <w:p w14:paraId="0D52C23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区商务局市场秩序室</w:t>
            </w:r>
          </w:p>
        </w:tc>
        <w:tc>
          <w:tcPr>
            <w:tcW w:w="1200" w:type="dxa"/>
            <w:shd w:val="clear" w:color="auto" w:fill="auto"/>
            <w:vAlign w:val="center"/>
          </w:tcPr>
          <w:p w14:paraId="2A498B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汽车销售场所</w:t>
            </w:r>
          </w:p>
        </w:tc>
        <w:tc>
          <w:tcPr>
            <w:tcW w:w="3969" w:type="dxa"/>
            <w:vAlign w:val="center"/>
          </w:tcPr>
          <w:p w14:paraId="721E25B1">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进入供应商、经销商企业从事经营活动的场所进行现场检查；2.询问与监督检查事项有关的单位和个人，要求其说明情况；3.查阅、复制有关文件、资料，检查相关数据信息系统及复制相关信息数据；4.依据国家有关规定采取的其他措施。</w:t>
            </w:r>
          </w:p>
          <w:p w14:paraId="5FA305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18"/>
                <w:szCs w:val="18"/>
                <w:vertAlign w:val="baseline"/>
                <w:lang w:val="en-US" w:eastAsia="zh-CN" w:bidi="ar-SA"/>
              </w:rPr>
            </w:pPr>
          </w:p>
        </w:tc>
        <w:tc>
          <w:tcPr>
            <w:tcW w:w="620" w:type="dxa"/>
            <w:vAlign w:val="center"/>
          </w:tcPr>
          <w:p w14:paraId="76D2209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080915BC">
            <w:pPr>
              <w:jc w:val="both"/>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2C2CA758">
            <w:pPr>
              <w:jc w:val="both"/>
              <w:rPr>
                <w:rFonts w:hint="eastAsia" w:ascii="黑体" w:hAnsi="黑体" w:eastAsia="黑体" w:cs="黑体"/>
                <w:sz w:val="18"/>
                <w:szCs w:val="18"/>
                <w:vertAlign w:val="baseline"/>
              </w:rPr>
            </w:pPr>
          </w:p>
        </w:tc>
      </w:tr>
      <w:tr w14:paraId="6B7E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677" w:type="dxa"/>
            <w:vAlign w:val="center"/>
          </w:tcPr>
          <w:p w14:paraId="206F4445">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3</w:t>
            </w:r>
          </w:p>
        </w:tc>
        <w:tc>
          <w:tcPr>
            <w:tcW w:w="1500" w:type="dxa"/>
            <w:vAlign w:val="center"/>
          </w:tcPr>
          <w:p w14:paraId="670F0FF6">
            <w:pPr>
              <w:pStyle w:val="4"/>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二手车流通监督检查</w:t>
            </w:r>
          </w:p>
          <w:p w14:paraId="2F9B40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val="en-US" w:eastAsia="zh-CN"/>
              </w:rPr>
            </w:pPr>
          </w:p>
        </w:tc>
        <w:tc>
          <w:tcPr>
            <w:tcW w:w="1222" w:type="dxa"/>
            <w:vAlign w:val="center"/>
          </w:tcPr>
          <w:p w14:paraId="7471011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县级以上</w:t>
            </w:r>
          </w:p>
        </w:tc>
        <w:tc>
          <w:tcPr>
            <w:tcW w:w="4081" w:type="dxa"/>
            <w:vAlign w:val="center"/>
          </w:tcPr>
          <w:p w14:paraId="1E729BC7">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二手车流通管理办法》（商务部、公安部、工商总局、税务总局令【2005】第2号，根据2017年9月14日《商务部关于废止和修改部分规章的决定》修改）第七条国务院商务主管部门、工商行政管理部门、税务部门在各自的职责范围内负责二手车流通有关监督管理工作。第三十二条商务主管部门、工商行政管理部门应当在各自的职责范围内采取有效措施,加强对二手车交易市场经营者和经营主体的监督管理,依法查处违法违规行为,维护市场秩序,保护消费者的合法权益。</w:t>
            </w:r>
          </w:p>
          <w:p w14:paraId="5FBE27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2"/>
                <w:sz w:val="18"/>
                <w:szCs w:val="18"/>
                <w:vertAlign w:val="baseline"/>
                <w:lang w:val="en-US" w:eastAsia="zh-CN" w:bidi="ar-SA"/>
              </w:rPr>
            </w:pPr>
          </w:p>
        </w:tc>
        <w:tc>
          <w:tcPr>
            <w:tcW w:w="1215" w:type="dxa"/>
            <w:vAlign w:val="center"/>
          </w:tcPr>
          <w:p w14:paraId="753BE9F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区商务局市场秩序室</w:t>
            </w:r>
          </w:p>
        </w:tc>
        <w:tc>
          <w:tcPr>
            <w:tcW w:w="1200" w:type="dxa"/>
            <w:vAlign w:val="center"/>
          </w:tcPr>
          <w:p w14:paraId="70861A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二手车销售场所</w:t>
            </w:r>
          </w:p>
        </w:tc>
        <w:tc>
          <w:tcPr>
            <w:tcW w:w="3969" w:type="dxa"/>
            <w:vAlign w:val="center"/>
          </w:tcPr>
          <w:p w14:paraId="2262F21D">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进入二手车企业从事经营活动的场所进行现场检查；2.询问与监督检查事项有关的单位和个人，要求其说明情况；3.查阅、复制有关文件、资料，检查相关数据信息系统及复制相关信息数据；4.依据国家有关规定采取的其他措施。</w:t>
            </w:r>
          </w:p>
          <w:p w14:paraId="6A44F5F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620" w:type="dxa"/>
            <w:vAlign w:val="center"/>
          </w:tcPr>
          <w:p w14:paraId="07B7F9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1B8D4317">
            <w:pPr>
              <w:jc w:val="both"/>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2219649A">
            <w:pPr>
              <w:jc w:val="both"/>
              <w:rPr>
                <w:rFonts w:hint="eastAsia" w:ascii="黑体" w:hAnsi="黑体" w:eastAsia="黑体" w:cs="黑体"/>
                <w:sz w:val="18"/>
                <w:szCs w:val="18"/>
                <w:vertAlign w:val="baseline"/>
              </w:rPr>
            </w:pPr>
          </w:p>
        </w:tc>
      </w:tr>
      <w:tr w14:paraId="4B2F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2" w:hRule="atLeast"/>
        </w:trPr>
        <w:tc>
          <w:tcPr>
            <w:tcW w:w="677" w:type="dxa"/>
            <w:vAlign w:val="center"/>
          </w:tcPr>
          <w:p w14:paraId="204FA2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1500" w:type="dxa"/>
            <w:vAlign w:val="center"/>
          </w:tcPr>
          <w:p w14:paraId="2DBA7FA7">
            <w:pPr>
              <w:pStyle w:val="4"/>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对成品油零售经营企业的行政检查</w:t>
            </w:r>
          </w:p>
          <w:p w14:paraId="2B6C2F4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22" w:type="dxa"/>
            <w:vAlign w:val="center"/>
          </w:tcPr>
          <w:p w14:paraId="1170C2F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县级以上</w:t>
            </w:r>
          </w:p>
        </w:tc>
        <w:tc>
          <w:tcPr>
            <w:tcW w:w="4081" w:type="dxa"/>
            <w:vAlign w:val="center"/>
          </w:tcPr>
          <w:p w14:paraId="2269BD28">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国务院办公厅关于加快发展流通促进商业消费的意见》（国办发【2019】42号），“取消成品油批发、仓储经营资格审批，将成品油零售经营资格审批下放至地市级人民政府，加强成品油流通事中事后监管，强化安全保障措施落实”。2.《中华人民共和国安全生产法》第六十三条 。3.商务领域成品油流通安全生产管理工作指引手册</w:t>
            </w:r>
          </w:p>
          <w:p w14:paraId="4D29A29B">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15" w:type="dxa"/>
            <w:shd w:val="clear" w:color="auto" w:fill="auto"/>
            <w:vAlign w:val="center"/>
          </w:tcPr>
          <w:p w14:paraId="4EE904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区商务局消费促进室</w:t>
            </w:r>
          </w:p>
        </w:tc>
        <w:tc>
          <w:tcPr>
            <w:tcW w:w="1200" w:type="dxa"/>
            <w:shd w:val="clear" w:color="auto" w:fill="auto"/>
            <w:vAlign w:val="center"/>
          </w:tcPr>
          <w:p w14:paraId="3BD684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成品油销售场所</w:t>
            </w:r>
          </w:p>
        </w:tc>
        <w:tc>
          <w:tcPr>
            <w:tcW w:w="3969" w:type="dxa"/>
            <w:vAlign w:val="center"/>
          </w:tcPr>
          <w:p w14:paraId="73C96B2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督促指导企业安全生产经营，检查企业安全生产资质管理、制度管理、设施设备管理。2、企业购销台账检查，检查企业是否严格落实购销台账制度，健全油品来源、检验报告、检查记录等凭证资料档案，督促企业依法依规经营。</w:t>
            </w:r>
          </w:p>
        </w:tc>
        <w:tc>
          <w:tcPr>
            <w:tcW w:w="620" w:type="dxa"/>
            <w:vAlign w:val="center"/>
          </w:tcPr>
          <w:p w14:paraId="5FDF0E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2D891C2E">
            <w:pPr>
              <w:jc w:val="both"/>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4E5A77CD">
            <w:pPr>
              <w:jc w:val="both"/>
              <w:rPr>
                <w:rFonts w:hint="eastAsia" w:ascii="黑体" w:hAnsi="黑体" w:eastAsia="黑体" w:cs="黑体"/>
                <w:sz w:val="18"/>
                <w:szCs w:val="18"/>
                <w:vertAlign w:val="baseline"/>
              </w:rPr>
            </w:pPr>
          </w:p>
        </w:tc>
      </w:tr>
      <w:tr w14:paraId="7025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677" w:type="dxa"/>
            <w:vAlign w:val="center"/>
          </w:tcPr>
          <w:p w14:paraId="5B17DB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1500" w:type="dxa"/>
            <w:vAlign w:val="center"/>
          </w:tcPr>
          <w:p w14:paraId="5541FCCB">
            <w:pPr>
              <w:pStyle w:val="4"/>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单用途商业预付卡发卡企业和售卡企业的监督检查</w:t>
            </w:r>
          </w:p>
          <w:p w14:paraId="7E3B4B9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22" w:type="dxa"/>
            <w:vAlign w:val="center"/>
          </w:tcPr>
          <w:p w14:paraId="622BF46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县级以上</w:t>
            </w:r>
          </w:p>
        </w:tc>
        <w:tc>
          <w:tcPr>
            <w:tcW w:w="4081" w:type="dxa"/>
            <w:vAlign w:val="center"/>
          </w:tcPr>
          <w:p w14:paraId="3348447B">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单用途商业预付卡管理办法（试行）》（商务部令2012年第9号）第三十三条商务部和地方人民政府商务主管部门应对发卡企业和售卡企业的单用途卡业务活动、内部控制和风险状况等进行定期或不定期的现场及非现场检查。发卡企业和售卡企业应配合商务主管部门的检查。</w:t>
            </w:r>
          </w:p>
          <w:p w14:paraId="1C5A2EE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15" w:type="dxa"/>
            <w:shd w:val="clear" w:color="auto" w:fill="auto"/>
            <w:vAlign w:val="center"/>
          </w:tcPr>
          <w:p w14:paraId="2C0359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区商务局消费促进室</w:t>
            </w:r>
          </w:p>
        </w:tc>
        <w:tc>
          <w:tcPr>
            <w:tcW w:w="1200" w:type="dxa"/>
            <w:shd w:val="clear" w:color="auto" w:fill="auto"/>
            <w:vAlign w:val="center"/>
          </w:tcPr>
          <w:p w14:paraId="478262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单用预付卡使用场所</w:t>
            </w:r>
          </w:p>
        </w:tc>
        <w:tc>
          <w:tcPr>
            <w:tcW w:w="3969" w:type="dxa"/>
            <w:vAlign w:val="center"/>
          </w:tcPr>
          <w:p w14:paraId="11223DDC">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检查单用途商业预付卡备案表、购卡章程、协议及资金管理制度建立、执行情况；2.检查单用途商业预付卡购买登记情况、购卡方式、购卡限额、退卡等操作程序执行情况；3.检查发卡企业预售资金用途、预收资金金额比例、资金存管制度、资金存管协议与账户情况。</w:t>
            </w:r>
          </w:p>
          <w:p w14:paraId="69E526B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620" w:type="dxa"/>
            <w:vAlign w:val="center"/>
          </w:tcPr>
          <w:p w14:paraId="0CDF08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50C1E0A6">
            <w:pPr>
              <w:jc w:val="both"/>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04F421F7">
            <w:pPr>
              <w:jc w:val="both"/>
              <w:rPr>
                <w:rFonts w:hint="eastAsia" w:ascii="黑体" w:hAnsi="黑体" w:eastAsia="黑体" w:cs="黑体"/>
                <w:sz w:val="18"/>
                <w:szCs w:val="18"/>
                <w:vertAlign w:val="baseline"/>
              </w:rPr>
            </w:pPr>
          </w:p>
        </w:tc>
      </w:tr>
      <w:tr w14:paraId="6F4F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1" w:hRule="atLeast"/>
        </w:trPr>
        <w:tc>
          <w:tcPr>
            <w:tcW w:w="677" w:type="dxa"/>
            <w:vAlign w:val="center"/>
          </w:tcPr>
          <w:p w14:paraId="283B0026">
            <w:pPr>
              <w:jc w:val="cente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6</w:t>
            </w:r>
          </w:p>
        </w:tc>
        <w:tc>
          <w:tcPr>
            <w:tcW w:w="1500" w:type="dxa"/>
            <w:vAlign w:val="center"/>
          </w:tcPr>
          <w:p w14:paraId="77F4BB7B">
            <w:pPr>
              <w:pStyle w:val="4"/>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技术进出口合同登记管理监督检查</w:t>
            </w:r>
          </w:p>
          <w:p w14:paraId="1D5948A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22" w:type="dxa"/>
            <w:vAlign w:val="center"/>
          </w:tcPr>
          <w:p w14:paraId="06CC7BA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县级以上</w:t>
            </w:r>
          </w:p>
        </w:tc>
        <w:tc>
          <w:tcPr>
            <w:tcW w:w="4081" w:type="dxa"/>
            <w:vAlign w:val="center"/>
          </w:tcPr>
          <w:p w14:paraId="36F53C59">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技术进出口管理条例》第17-19条，第37-39条：对属于自由进出口的技术，实行合同登记管理。《技术进出口合同登记管理办法》第5条：各省、自治区、直辖市和计划单列市商务主管部门可授权下一级商务主管部门对自由进出口技术合同进行登记管理。</w:t>
            </w:r>
          </w:p>
          <w:p w14:paraId="48C40EF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15" w:type="dxa"/>
            <w:shd w:val="clear" w:color="auto" w:fill="auto"/>
            <w:vAlign w:val="center"/>
          </w:tcPr>
          <w:p w14:paraId="2231D4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区商务局外经外贸室</w:t>
            </w:r>
          </w:p>
        </w:tc>
        <w:tc>
          <w:tcPr>
            <w:tcW w:w="1200" w:type="dxa"/>
            <w:shd w:val="clear" w:color="auto" w:fill="auto"/>
            <w:vAlign w:val="center"/>
          </w:tcPr>
          <w:p w14:paraId="291D168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进出口场所</w:t>
            </w:r>
          </w:p>
        </w:tc>
        <w:tc>
          <w:tcPr>
            <w:tcW w:w="3969" w:type="dxa"/>
            <w:vAlign w:val="center"/>
          </w:tcPr>
          <w:p w14:paraId="05222371">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1.申请登记的技术是否符合《技术进出口合同登记管理办法》的规定；2.申请登记的技术是否未列入《中国禁止进口限制进口技术目录》或《中国禁止出口限制出口目录》；3.填报登记或申请变更的内容是否与合同及相关单证材料等一致；4.申报材料是否完备。</w:t>
            </w:r>
          </w:p>
          <w:p w14:paraId="7ED87C56">
            <w:pPr>
              <w:jc w:val="both"/>
              <w:rPr>
                <w:rFonts w:hint="eastAsia" w:ascii="仿宋_GB2312" w:hAnsi="仿宋_GB2312" w:eastAsia="仿宋_GB2312" w:cs="仿宋_GB2312"/>
                <w:kern w:val="2"/>
                <w:sz w:val="18"/>
                <w:szCs w:val="18"/>
                <w:vertAlign w:val="baseline"/>
                <w:lang w:val="en-US" w:eastAsia="zh-CN" w:bidi="ar-SA"/>
              </w:rPr>
            </w:pPr>
          </w:p>
        </w:tc>
        <w:tc>
          <w:tcPr>
            <w:tcW w:w="620" w:type="dxa"/>
            <w:vAlign w:val="center"/>
          </w:tcPr>
          <w:p w14:paraId="7DD498DD">
            <w:pPr>
              <w:jc w:val="center"/>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32AFAF75">
            <w:pPr>
              <w:jc w:val="both"/>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595F289B">
            <w:pPr>
              <w:jc w:val="both"/>
              <w:rPr>
                <w:rFonts w:hint="eastAsia" w:ascii="黑体" w:hAnsi="黑体" w:eastAsia="黑体" w:cs="黑体"/>
                <w:sz w:val="18"/>
                <w:szCs w:val="18"/>
                <w:vertAlign w:val="baseline"/>
              </w:rPr>
            </w:pPr>
          </w:p>
        </w:tc>
      </w:tr>
      <w:tr w14:paraId="40DE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atLeast"/>
        </w:trPr>
        <w:tc>
          <w:tcPr>
            <w:tcW w:w="677" w:type="dxa"/>
            <w:vAlign w:val="center"/>
          </w:tcPr>
          <w:p w14:paraId="44D511B4">
            <w:pPr>
              <w:jc w:val="center"/>
              <w:rPr>
                <w:rFonts w:hint="default"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7</w:t>
            </w:r>
          </w:p>
        </w:tc>
        <w:tc>
          <w:tcPr>
            <w:tcW w:w="1500" w:type="dxa"/>
            <w:vAlign w:val="center"/>
          </w:tcPr>
          <w:p w14:paraId="08925BB2">
            <w:pPr>
              <w:pStyle w:val="4"/>
              <w:keepNext w:val="0"/>
              <w:keepLines w:val="0"/>
              <w:widowControl/>
              <w:suppressLineNumbers w:val="0"/>
              <w:spacing w:before="0" w:beforeAutospacing="0" w:after="0" w:afterAutospacing="0" w:line="300" w:lineRule="atLeast"/>
              <w:ind w:left="0" w:right="0"/>
              <w:jc w:val="center"/>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对外劳务合作监督检查</w:t>
            </w:r>
          </w:p>
          <w:p w14:paraId="7B4C717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22" w:type="dxa"/>
            <w:vAlign w:val="center"/>
          </w:tcPr>
          <w:p w14:paraId="675B049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县级以上</w:t>
            </w:r>
          </w:p>
        </w:tc>
        <w:tc>
          <w:tcPr>
            <w:tcW w:w="4081" w:type="dxa"/>
            <w:vAlign w:val="center"/>
          </w:tcPr>
          <w:p w14:paraId="5E6935EC">
            <w:pPr>
              <w:pStyle w:val="4"/>
              <w:keepNext w:val="0"/>
              <w:keepLines w:val="0"/>
              <w:widowControl/>
              <w:suppressLineNumbers w:val="0"/>
              <w:spacing w:before="0" w:beforeAutospacing="0" w:after="0" w:afterAutospacing="0" w:line="300" w:lineRule="atLeast"/>
              <w:ind w:left="0" w:right="0"/>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《对外劳务合作管理条例》（国务院令第620号）第4条 国务院商务主管部门负责全国的对外劳务合作监督管理工作。国务院外交、公安、人力资源社会保障、交通运输、住房城乡建设、渔业、工商行政管理等有关部门在各自职责范围内，负责对外劳务合作监督管理的相关工作。</w:t>
            </w:r>
          </w:p>
          <w:p w14:paraId="140C61EC">
            <w:pPr>
              <w:pStyle w:val="4"/>
              <w:keepNext w:val="0"/>
              <w:keepLines w:val="0"/>
              <w:widowControl/>
              <w:suppressLineNumbers w:val="0"/>
              <w:spacing w:before="0" w:beforeAutospacing="0" w:after="0" w:afterAutospacing="0" w:line="300" w:lineRule="atLeast"/>
              <w:ind w:left="0" w:right="0"/>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县级以上地方人民政府统一领导、组织、协调本行政区域的对外劳务合作监督管理工作。县级以上地方人民政府商务主管部门负责本行政区域的对外劳务合作监督管理工作，其他有关部门在各自职责范围内负责对外劳务合作监督管理的相关工作。</w:t>
            </w:r>
          </w:p>
          <w:p w14:paraId="477DCA2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kern w:val="2"/>
                <w:sz w:val="18"/>
                <w:szCs w:val="18"/>
                <w:vertAlign w:val="baseline"/>
                <w:lang w:val="en-US" w:eastAsia="zh-CN" w:bidi="ar-SA"/>
              </w:rPr>
            </w:pPr>
          </w:p>
        </w:tc>
        <w:tc>
          <w:tcPr>
            <w:tcW w:w="1215" w:type="dxa"/>
            <w:vAlign w:val="center"/>
          </w:tcPr>
          <w:p w14:paraId="520E42B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区</w:t>
            </w:r>
            <w:bookmarkStart w:id="0" w:name="_GoBack"/>
            <w:bookmarkEnd w:id="0"/>
            <w:r>
              <w:rPr>
                <w:rFonts w:hint="eastAsia" w:ascii="仿宋_GB2312" w:hAnsi="仿宋_GB2312" w:eastAsia="仿宋_GB2312" w:cs="仿宋_GB2312"/>
                <w:kern w:val="2"/>
                <w:sz w:val="18"/>
                <w:szCs w:val="18"/>
                <w:vertAlign w:val="baseline"/>
                <w:lang w:val="en-US" w:eastAsia="zh-CN" w:bidi="ar-SA"/>
              </w:rPr>
              <w:t>商务局外经外贸室</w:t>
            </w:r>
          </w:p>
        </w:tc>
        <w:tc>
          <w:tcPr>
            <w:tcW w:w="1200" w:type="dxa"/>
            <w:vAlign w:val="center"/>
          </w:tcPr>
          <w:p w14:paraId="112ED8E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对外劳务场所</w:t>
            </w:r>
          </w:p>
        </w:tc>
        <w:tc>
          <w:tcPr>
            <w:tcW w:w="3969" w:type="dxa"/>
            <w:vAlign w:val="center"/>
          </w:tcPr>
          <w:p w14:paraId="7FB8F72E">
            <w:pPr>
              <w:pStyle w:val="4"/>
              <w:keepNext w:val="0"/>
              <w:keepLines w:val="0"/>
              <w:widowControl/>
              <w:suppressLineNumbers w:val="0"/>
              <w:spacing w:before="0" w:beforeAutospacing="0" w:after="0" w:afterAutospacing="0" w:line="300" w:lineRule="atLeast"/>
              <w:ind w:left="0" w:right="0"/>
              <w:rPr>
                <w:rFonts w:hint="default"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kern w:val="2"/>
                <w:sz w:val="18"/>
                <w:szCs w:val="18"/>
                <w:vertAlign w:val="baseline"/>
                <w:lang w:val="en-US" w:eastAsia="zh-CN" w:bidi="ar-SA"/>
              </w:rPr>
              <w:t>经营主体责任落实情况1.与国外雇主订立劳务合作合同、与劳务人员订立服务或劳动合同情况；2.是否存在允许其他单位或个人以本企业名义组织劳务人员赴国外工作情况；3.是否存在以商务、旅游、留学等名义组织劳务人员赴国外工作情况；4.是否存在组织劳务人员赴国外从事与赌博、色情活动相关的工作情况；5.是否按规定安排随行管理人员；6.组织劳务人员出境后，是否将有关情况向中国驻用工项目所在国使(领)馆报告；7.是否按规定通过对外投资合作在外人员信息系统办理有关合同及人员名单备案，并及时准确填报统计资料；8.根据管理需要确定的其他事项。防范化解境外风险，安全主体责任落实情况1.安排劳务人员接受安全防范知识、外语及相关法律，宗教信仰、风俗习惯等知识培训情况；2.是否按规定足额缴纳或及时补足备用金；3.是否为劳务人员购买相关保险；4.是否制定境外劳务纠纷和突发事件应急预案；5.处置境外劳务纠纷和突发事件情况。</w:t>
            </w:r>
          </w:p>
          <w:p w14:paraId="048A3E1C">
            <w:pPr>
              <w:jc w:val="left"/>
              <w:rPr>
                <w:rFonts w:hint="eastAsia" w:ascii="仿宋_GB2312" w:hAnsi="仿宋_GB2312" w:eastAsia="仿宋_GB2312" w:cs="仿宋_GB2312"/>
                <w:kern w:val="2"/>
                <w:sz w:val="18"/>
                <w:szCs w:val="18"/>
                <w:vertAlign w:val="baseline"/>
                <w:lang w:val="en-US" w:eastAsia="zh-CN" w:bidi="ar-SA"/>
              </w:rPr>
            </w:pPr>
          </w:p>
        </w:tc>
        <w:tc>
          <w:tcPr>
            <w:tcW w:w="620" w:type="dxa"/>
            <w:vAlign w:val="center"/>
          </w:tcPr>
          <w:p w14:paraId="79C09833">
            <w:pPr>
              <w:jc w:val="center"/>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实地核查</w:t>
            </w:r>
          </w:p>
        </w:tc>
        <w:tc>
          <w:tcPr>
            <w:tcW w:w="643" w:type="dxa"/>
            <w:vAlign w:val="center"/>
          </w:tcPr>
          <w:p w14:paraId="08E4FD58">
            <w:pPr>
              <w:jc w:val="both"/>
              <w:rPr>
                <w:rFonts w:hint="eastAsia" w:ascii="黑体" w:hAnsi="黑体" w:eastAsia="黑体" w:cs="黑体"/>
                <w:sz w:val="18"/>
                <w:szCs w:val="18"/>
                <w:vertAlign w:val="baseline"/>
              </w:rPr>
            </w:pPr>
            <w:r>
              <w:rPr>
                <w:rFonts w:hint="eastAsia" w:ascii="仿宋_GB2312" w:hAnsi="仿宋_GB2312" w:eastAsia="仿宋_GB2312" w:cs="仿宋_GB2312"/>
                <w:sz w:val="18"/>
                <w:szCs w:val="18"/>
                <w:vertAlign w:val="baseline"/>
                <w:lang w:val="en-US" w:eastAsia="zh-CN"/>
              </w:rPr>
              <w:t>每季度检一次</w:t>
            </w:r>
          </w:p>
        </w:tc>
        <w:tc>
          <w:tcPr>
            <w:tcW w:w="484" w:type="dxa"/>
            <w:vAlign w:val="center"/>
          </w:tcPr>
          <w:p w14:paraId="2553C645">
            <w:pPr>
              <w:jc w:val="both"/>
              <w:rPr>
                <w:rFonts w:hint="eastAsia" w:ascii="黑体" w:hAnsi="黑体" w:eastAsia="黑体" w:cs="黑体"/>
                <w:sz w:val="18"/>
                <w:szCs w:val="18"/>
                <w:vertAlign w:val="baseline"/>
              </w:rPr>
            </w:pPr>
          </w:p>
        </w:tc>
      </w:tr>
    </w:tbl>
    <w:p w14:paraId="0595771F">
      <w:pPr>
        <w:jc w:val="both"/>
        <w:rPr>
          <w:rFonts w:hint="eastAsia" w:ascii="黑体" w:hAnsi="黑体" w:eastAsia="黑体" w:cs="黑体"/>
          <w:sz w:val="44"/>
          <w:szCs w:val="44"/>
        </w:rPr>
      </w:pPr>
    </w:p>
    <w:sectPr>
      <w:footerReference r:id="rId3" w:type="default"/>
      <w:pgSz w:w="16838" w:h="11906" w:orient="landscape"/>
      <w:pgMar w:top="96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0D9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E060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0E06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D4D34"/>
    <w:rsid w:val="0909677B"/>
    <w:rsid w:val="0F2008DC"/>
    <w:rsid w:val="120D335D"/>
    <w:rsid w:val="1A0C5B94"/>
    <w:rsid w:val="1ECB589F"/>
    <w:rsid w:val="1EE26A7B"/>
    <w:rsid w:val="27170B35"/>
    <w:rsid w:val="37653A9F"/>
    <w:rsid w:val="3BA33843"/>
    <w:rsid w:val="3E152263"/>
    <w:rsid w:val="3F170A05"/>
    <w:rsid w:val="40526FD9"/>
    <w:rsid w:val="451D3228"/>
    <w:rsid w:val="45224346"/>
    <w:rsid w:val="47223330"/>
    <w:rsid w:val="48527B30"/>
    <w:rsid w:val="4A6209BE"/>
    <w:rsid w:val="6A2B7E36"/>
    <w:rsid w:val="6B4A697B"/>
    <w:rsid w:val="6B637A3C"/>
    <w:rsid w:val="70AE3508"/>
    <w:rsid w:val="774664BA"/>
    <w:rsid w:val="7BC21475"/>
    <w:rsid w:val="7CB5181E"/>
    <w:rsid w:val="7CD75D91"/>
    <w:rsid w:val="7D711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FF"/>
      <w:u w:val="single"/>
    </w:rPr>
  </w:style>
  <w:style w:type="character" w:styleId="14">
    <w:name w:val="HTML Code"/>
    <w:basedOn w:val="7"/>
    <w:qFormat/>
    <w:uiPriority w:val="0"/>
    <w:rPr>
      <w:rFonts w:ascii="Courier New" w:hAnsi="Courier New"/>
      <w:color w:val="FF6600"/>
      <w:sz w:val="20"/>
      <w:u w:val="none"/>
    </w:rPr>
  </w:style>
  <w:style w:type="character" w:styleId="15">
    <w:name w:val="HTML Cit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2806</Words>
  <Characters>2868</Characters>
  <Lines>0</Lines>
  <Paragraphs>0</Paragraphs>
  <TotalTime>66</TotalTime>
  <ScaleCrop>false</ScaleCrop>
  <LinksUpToDate>false</LinksUpToDate>
  <CharactersWithSpaces>2875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2025-02-19T08:26:00Z</dcterms:created>
  <dc:creator>Administrator</dc:creator>
  <cp:lastModifiedBy>夜空中最亮的星</cp:lastModifiedBy>
  <dcterms:modified xsi:type="dcterms:W3CDTF">2025-06-05T06:54:05Z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eyJoZGlkIjoiMWQ5ZDNjN2ExNmM2YzIxMGM1MjA2OTExYTY2MzQ1NWEiLCJ1c2VySWQiOiI0NTg1MDcxODEifQ==</vt:lpwstr>
  </property>
  <property fmtid="{D5CDD505-2E9C-101B-9397-08002B2CF9AE}" pid="4" name="ICV">
    <vt:lpwstr>0B3FF2505A19476BACAD56ACE13F5B60_13</vt:lpwstr>
  </property>
</Properties>
</file>